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spacing w:line="500" w:lineRule="exact"/>
        <w:jc w:val="center"/>
        <w:rPr>
          <w:rFonts w:hint="eastAsia" w:ascii="仿宋_GB2312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44"/>
          <w:szCs w:val="44"/>
          <w:lang w:val="en-US" w:eastAsia="zh-CN"/>
        </w:rPr>
        <w:t>马尾区</w:t>
      </w:r>
      <w:r>
        <w:rPr>
          <w:rFonts w:hint="eastAsia" w:ascii="仿宋_GB2312" w:eastAsia="仿宋_GB2312" w:cs="Times New Roman"/>
          <w:b/>
          <w:bCs/>
          <w:sz w:val="44"/>
          <w:szCs w:val="44"/>
          <w:lang w:val="en-US" w:eastAsia="zh-CN"/>
        </w:rPr>
        <w:t>城市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  <w:lang w:val="en-US" w:eastAsia="zh-CN"/>
        </w:rPr>
        <w:t>管理局行政处罚案件流程图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一般程序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中队发现违法事实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9" o:spid="_x0000_s1027" style="position:absolute;left:0;margin-left:118.6pt;margin-top:30.8pt;height:56.6pt;width:206.65pt;rotation:0f;z-index:25165824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中队调查取证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二名以上执法人员向当事人出示执法证，开展调查、检查，制作笔录</w:t>
                  </w:r>
                </w:p>
              </w:txbxContent>
            </v:textbox>
          </v:rect>
        </w:pict>
      </w: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中队立案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1" o:spid="_x0000_s1028" style="position:absolute;left:0;margin-left:383.25pt;margin-top:26.05pt;height:52.5pt;width:102.95pt;rotation:0f;z-index:25166028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不符合要求的，由审理中心退回经办中队补充调查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0" o:spid="_x0000_s1029" style="position:absolute;left:0;margin-left:105.7pt;margin-top:3.3pt;height:57.15pt;width:237.95pt;rotation:0f;z-index:25165926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中队提出处理意见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中队根据认定的违法事实、法律依据和裁量标准填写案件处理审批表，提出处理意见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 大队提出处理意见  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局领导审核  </w:t>
      </w:r>
      <w:bookmarkStart w:id="0" w:name="_GoBack"/>
      <w:bookmarkEnd w:id="0"/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    法制科提出审核意见     </w:t>
      </w:r>
    </w:p>
    <w:p>
      <w:pPr>
        <w:jc w:val="both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2" o:spid="_x0000_s1030" style="position:absolute;left:0;margin-left:125.55pt;margin-top:7.9pt;height:42.3pt;width:214.7pt;rotation:0f;z-index:25166131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eastAsia="zh-CN"/>
                    </w:rPr>
                    <w:t>审理中心作出行政处罚告知书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eastAsia="zh-CN"/>
                    </w:rPr>
                    <w:t>告知当事人所处罚的事实、理由和依据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</w:txbxContent>
            </v:textbox>
          </v:rect>
        </w:pict>
      </w:r>
    </w:p>
    <w:p>
      <w:pPr>
        <w:jc w:val="both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>不予处罚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3" o:spid="_x0000_s1031" style="position:absolute;left:0;margin-left:392.8pt;margin-top:9.1pt;height:53.15pt;width:68.85pt;rotation:0f;z-index:25166233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依法需听证的由局法制科组织听证</w:t>
                  </w:r>
                </w:p>
              </w:txbxContent>
            </v:textbox>
          </v:rect>
        </w:pict>
      </w: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审理中心听取当事人陈述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审理中心制作行政处罚决定书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审理中心送达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中队执行行政处罚决定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审理中心结案归案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简易程序 </w:t>
      </w:r>
    </w:p>
    <w:p>
      <w:pPr>
        <w:jc w:val="center"/>
        <w:rPr>
          <w:rFonts w:hint="eastAsia"/>
          <w:b/>
          <w:bCs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4" o:spid="_x0000_s1032" style="position:absolute;left:0;margin-left:33.45pt;margin-top:30.15pt;height:65.45pt;width:367.5pt;rotation:0f;z-index:25166336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36"/>
                      <w:lang w:eastAsia="zh-CN"/>
                    </w:rPr>
                    <w:t>中队调查取证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eastAsia="zh-CN"/>
                    </w:rPr>
                    <w:t>二名以上执法人员向当事人出示执法证，制作检查记录或询问笔录</w:t>
                  </w:r>
                </w:p>
              </w:txbxContent>
            </v:textbox>
          </v:rect>
        </w:pict>
      </w:r>
      <w:r>
        <w:rPr>
          <w:rFonts w:hint="eastAsia"/>
          <w:b/>
          <w:bCs/>
          <w:sz w:val="28"/>
          <w:szCs w:val="36"/>
          <w:bdr w:val="single" w:color="auto" w:sz="4" w:space="0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>中心发现违法事</w:t>
      </w:r>
      <w:r>
        <w:rPr>
          <w:rFonts w:hint="eastAsia"/>
          <w:b/>
          <w:bCs/>
          <w:sz w:val="28"/>
          <w:szCs w:val="36"/>
          <w:bdr w:val="single" w:color="auto" w:sz="4" w:space="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5" o:spid="_x0000_s1033" style="position:absolute;left:0;margin-left:35.5pt;margin-top:10.15pt;height:54.55pt;width:364.75pt;rotation:0f;z-index:25166438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36"/>
                      <w:lang w:eastAsia="zh-CN"/>
                    </w:rPr>
                    <w:t>中队作出处理意见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根据认定的违法事实、法律依据和裁量标准作出处理意见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 中告知当事人所处罚的事实、理由和依据  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中队告知当事人陈述和申辩的权利，听取当事人陈述申辩 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   中队制作当场处罚决定书 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 中队当场送达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rect id="文本框 16" o:spid="_x0000_s1034" style="position:absolute;left:0;margin-left:25.95pt;margin-top:3.05pt;height:66.05pt;width:382.5pt;rotation:0f;z-index:25166540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36"/>
                      <w:lang w:eastAsia="zh-CN"/>
                    </w:rPr>
                    <w:t>中队执行行政处罚决定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36"/>
                      <w:lang w:eastAsia="zh-CN"/>
                    </w:rPr>
                    <w:t>（执行罚款，必须附发票）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36"/>
                      <w:lang w:eastAsia="zh-CN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</w:t>
      </w:r>
    </w:p>
    <w:p>
      <w:pPr>
        <w:jc w:val="center"/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bdr w:val="single" w:color="auto" w:sz="4" w:space="0"/>
          <w:lang w:val="en-US" w:eastAsia="zh-CN"/>
        </w:rPr>
        <w:t xml:space="preserve">  中队结案送审理中心归档 </w:t>
      </w:r>
    </w:p>
    <w:sectPr>
      <w:footerReference r:id="rId4" w:type="default"/>
      <w:pgSz w:w="11906" w:h="16838"/>
      <w:pgMar w:top="1440" w:right="1588" w:bottom="1440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91703F"/>
    <w:rsid w:val="22C75F4E"/>
    <w:rsid w:val="31761325"/>
    <w:rsid w:val="4C4B18E5"/>
    <w:rsid w:val="5991703F"/>
    <w:rsid w:val="60DA535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2021-06-25T02:13:00Z</dcterms:created>
  <dc:creator>Administrator</dc:creator>
  <cp:lastModifiedBy>Administrator</cp:lastModifiedBy>
  <dcterms:modified xsi:type="dcterms:W3CDTF">2021-11-18T08:17:27Z</dcterms:modified>
  <dc:title>马尾区城市管理局行政处罚案件流程图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