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461C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0"/>
          <w:szCs w:val="40"/>
        </w:rPr>
      </w:pPr>
      <w:r>
        <w:rPr>
          <w:rFonts w:hint="eastAsia" w:ascii="方正小标宋简体" w:hAnsi="方正小标宋简体" w:eastAsia="方正小标宋简体" w:cs="方正小标宋简体"/>
          <w:b w:val="0"/>
          <w:bCs w:val="0"/>
          <w:sz w:val="40"/>
          <w:szCs w:val="40"/>
        </w:rPr>
        <w:t>关于开展困难群众“漏保”“漏救”</w:t>
      </w:r>
    </w:p>
    <w:p w14:paraId="4C26C82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方正小标宋简体" w:eastAsia="方正小标宋简体" w:cs="方正小标宋简体"/>
          <w:b w:val="0"/>
          <w:bCs w:val="0"/>
          <w:sz w:val="40"/>
          <w:szCs w:val="40"/>
        </w:rPr>
      </w:pPr>
      <w:r>
        <w:rPr>
          <w:rFonts w:hint="eastAsia" w:ascii="方正小标宋简体" w:hAnsi="方正小标宋简体" w:eastAsia="方正小标宋简体" w:cs="方正小标宋简体"/>
          <w:b w:val="0"/>
          <w:bCs w:val="0"/>
          <w:sz w:val="40"/>
          <w:szCs w:val="40"/>
        </w:rPr>
        <w:t>问题点题整治的工作方案</w:t>
      </w:r>
    </w:p>
    <w:p w14:paraId="5C836F8B">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楷体_GB2312" w:hAnsi="楷体_GB2312" w:eastAsia="楷体_GB2312" w:cs="楷体_GB2312"/>
          <w:sz w:val="32"/>
          <w:szCs w:val="32"/>
        </w:rPr>
      </w:pPr>
    </w:p>
    <w:p w14:paraId="75AE8213">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各镇（街）社会事务办:</w:t>
      </w:r>
    </w:p>
    <w:p w14:paraId="42DDAAC8">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区纪委办公室《关于印发〈关于2021年“点题整治”群众身边腐败和不正之风突出问题的方案〉的通知》和福州市民政局印发《关于开展困难群众“漏保”“漏救”问题点题整治的工作方案》的通知（榕民〔2021〕162号）文件精神，结合党史学习教育“我为群众办实事”实践活动要求，决定就“整治困难群众‘漏保’‘漏救’问题，加强低保、特困、孤儿、事实无人抚养儿童等困难群体基本生活保障”开展点题整治。现制定工作方案如下：</w:t>
      </w:r>
    </w:p>
    <w:p w14:paraId="180F3910">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hint="eastAsia" w:ascii="仿宋_GB2312" w:hAnsi="仿宋_GB2312" w:eastAsia="仿宋_GB2312" w:cs="仿宋_GB2312"/>
          <w:color w:val="FF0000"/>
          <w:sz w:val="32"/>
          <w:szCs w:val="32"/>
        </w:rPr>
      </w:pPr>
      <w:r>
        <w:rPr>
          <w:rFonts w:hint="eastAsia" w:ascii="黑体" w:hAnsi="黑体" w:eastAsia="黑体" w:cs="黑体"/>
          <w:b w:val="0"/>
          <w:bCs w:val="0"/>
          <w:sz w:val="32"/>
          <w:szCs w:val="32"/>
        </w:rPr>
        <w:t>一、目标任务</w:t>
      </w:r>
    </w:p>
    <w:p w14:paraId="2F5FCD93">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次整治的重点是“漏保”“漏救”问题，以实现“应保尽保、应救尽救”为目标，坚持问题导向、目标导向、结果导向，在今年初兜底保障“回头看”排查基础上，继续梳理排查以下对象：（1）脱贫不稳定人口和边缘易致贫人口；（2）2020年以来个人自付医疗费用超过2万元以上对象；（3）2020年以来新增的未纳入低保（特困）保障的重度残疾人（含智力、精神三级残疾）对象；（4）2020年以来社会救助类信访对象；（5）12345、12349热线求助对象；（6）登记失业人员；（7）2020年以来因新冠肺炎疫情或自然灾害导致基本生活出现严重困难对象；（8）疑似符合孤儿、事实无人抚养儿童条件的对象。上述排查对象清单将根据省厅、市局结合各部门数据比对后另文下发。</w:t>
      </w:r>
      <w:r>
        <w:rPr>
          <w:rFonts w:hint="eastAsia" w:ascii="仿宋_GB2312" w:hAnsi="仿宋_GB2312" w:eastAsia="仿宋_GB2312" w:cs="仿宋_GB2312"/>
          <w:b/>
          <w:bCs/>
          <w:sz w:val="32"/>
          <w:szCs w:val="32"/>
        </w:rPr>
        <w:t>6月25日前</w:t>
      </w:r>
      <w:r>
        <w:rPr>
          <w:rFonts w:hint="eastAsia" w:ascii="仿宋_GB2312" w:hAnsi="仿宋_GB2312" w:eastAsia="仿宋_GB2312" w:cs="仿宋_GB2312"/>
          <w:sz w:val="32"/>
          <w:szCs w:val="32"/>
        </w:rPr>
        <w:t>完成逐户逐人排查并初步建立低收入对象数据库，</w:t>
      </w:r>
      <w:r>
        <w:rPr>
          <w:rFonts w:hint="eastAsia" w:ascii="仿宋_GB2312" w:hAnsi="仿宋_GB2312" w:eastAsia="仿宋_GB2312" w:cs="仿宋_GB2312"/>
          <w:b/>
          <w:bCs/>
          <w:sz w:val="32"/>
          <w:szCs w:val="32"/>
        </w:rPr>
        <w:t>8月25日前</w:t>
      </w:r>
      <w:r>
        <w:rPr>
          <w:rFonts w:hint="eastAsia" w:ascii="仿宋_GB2312" w:hAnsi="仿宋_GB2312" w:eastAsia="仿宋_GB2312" w:cs="仿宋_GB2312"/>
          <w:sz w:val="32"/>
          <w:szCs w:val="32"/>
        </w:rPr>
        <w:t>将符合条件对象纳入低保、特困、临时救助等基本生活保障和儿童福利保障。</w:t>
      </w:r>
    </w:p>
    <w:p w14:paraId="13665F9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rPr>
        <w:t>工作重点、工作举措和责任分工</w:t>
      </w:r>
    </w:p>
    <w:p w14:paraId="62791E5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工作重点、举措和责任分工等列表具体见附表。</w:t>
      </w:r>
    </w:p>
    <w:p w14:paraId="46D204A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三、工作进度安排</w:t>
      </w:r>
    </w:p>
    <w:p w14:paraId="6681FF8A">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（一）谋划部署阶段（6月初）。</w:t>
      </w:r>
      <w:r>
        <w:rPr>
          <w:rFonts w:hint="eastAsia" w:ascii="仿宋_GB2312" w:hAnsi="仿宋_GB2312" w:eastAsia="仿宋_GB2312" w:cs="仿宋_GB2312"/>
          <w:sz w:val="32"/>
          <w:szCs w:val="32"/>
        </w:rPr>
        <w:t>按照省、市、区纪委监委统一部署，制定《关于开展困难群众“漏保”“漏救”问题点题整治的工作方案》，明确责任分工，细化分解任务，明确具体举措和完成时限。</w:t>
      </w:r>
    </w:p>
    <w:p w14:paraId="6C36709D">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（二）摸排治理阶段（6—8月）。</w:t>
      </w:r>
      <w:r>
        <w:rPr>
          <w:rFonts w:hint="eastAsia" w:ascii="仿宋_GB2312" w:hAnsi="仿宋_GB2312" w:eastAsia="仿宋_GB2312" w:cs="仿宋_GB2312"/>
          <w:sz w:val="32"/>
          <w:szCs w:val="32"/>
        </w:rPr>
        <w:t>督促指导各乡镇（街道）开展全面摸排、梳理，抓紧整改相关基本生活救助政策、儿童福利政策落实不到位、群众诉求解决不到位、工作作风不实、政策规定与上级规定不符等问题，推动各项工作举措落实。</w:t>
      </w:r>
      <w:r>
        <w:rPr>
          <w:rFonts w:hint="eastAsia" w:ascii="仿宋_GB2312" w:hAnsi="仿宋_GB2312" w:eastAsia="仿宋_GB2312" w:cs="仿宋_GB2312"/>
          <w:b/>
          <w:bCs/>
          <w:sz w:val="32"/>
          <w:szCs w:val="32"/>
        </w:rPr>
        <w:t>6月25日前</w:t>
      </w:r>
      <w:r>
        <w:rPr>
          <w:rFonts w:hint="eastAsia" w:ascii="仿宋_GB2312" w:hAnsi="仿宋_GB2312" w:eastAsia="仿宋_GB2312" w:cs="仿宋_GB2312"/>
          <w:sz w:val="32"/>
          <w:szCs w:val="32"/>
        </w:rPr>
        <w:t>，各乡镇（街道）应完成政策落实情况排查，建立问题台账；</w:t>
      </w:r>
      <w:r>
        <w:rPr>
          <w:rFonts w:hint="eastAsia" w:ascii="仿宋_GB2312" w:hAnsi="仿宋_GB2312" w:eastAsia="仿宋_GB2312" w:cs="仿宋_GB2312"/>
          <w:b/>
          <w:bCs/>
          <w:sz w:val="32"/>
          <w:szCs w:val="32"/>
        </w:rPr>
        <w:t>7月，</w:t>
      </w:r>
      <w:r>
        <w:rPr>
          <w:rFonts w:hint="eastAsia" w:ascii="仿宋_GB2312" w:hAnsi="仿宋_GB2312" w:eastAsia="仿宋_GB2312" w:cs="仿宋_GB2312"/>
          <w:bCs/>
          <w:sz w:val="32"/>
          <w:szCs w:val="32"/>
        </w:rPr>
        <w:t>区民政局</w:t>
      </w:r>
      <w:r>
        <w:rPr>
          <w:rFonts w:hint="eastAsia" w:ascii="仿宋_GB2312" w:hAnsi="仿宋_GB2312" w:eastAsia="仿宋_GB2312" w:cs="仿宋_GB2312"/>
          <w:sz w:val="32"/>
          <w:szCs w:val="32"/>
        </w:rPr>
        <w:t>相关业务处室将会同驻局纪检监察组，对各地“点题整治”开展情况进行调研，通报工作进展情况，对整治工作进展缓慢、成效不明显的地方进行约谈，并将“漏保”“漏救”相关问题线索移交纪检监察部门；</w:t>
      </w:r>
      <w:r>
        <w:rPr>
          <w:rFonts w:hint="eastAsia" w:ascii="仿宋_GB2312" w:hAnsi="仿宋_GB2312" w:eastAsia="仿宋_GB2312" w:cs="仿宋_GB2312"/>
          <w:b/>
          <w:bCs/>
          <w:sz w:val="32"/>
          <w:szCs w:val="32"/>
        </w:rPr>
        <w:t>8月25日前</w:t>
      </w:r>
      <w:r>
        <w:rPr>
          <w:rFonts w:hint="eastAsia" w:ascii="仿宋_GB2312" w:hAnsi="仿宋_GB2312" w:eastAsia="仿宋_GB2312" w:cs="仿宋_GB2312"/>
          <w:sz w:val="32"/>
          <w:szCs w:val="32"/>
        </w:rPr>
        <w:t>问题全部整改到位。</w:t>
      </w:r>
    </w:p>
    <w:p w14:paraId="5245C07D">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（三）总结验收阶段（9月）。</w:t>
      </w:r>
      <w:r>
        <w:rPr>
          <w:rFonts w:hint="eastAsia" w:ascii="仿宋_GB2312" w:hAnsi="仿宋_GB2312" w:eastAsia="仿宋_GB2312" w:cs="仿宋_GB2312"/>
          <w:sz w:val="32"/>
          <w:szCs w:val="32"/>
        </w:rPr>
        <w:t>各乡镇（街道）对“点题整治”开展情况进行全面总结，形成“问题（整改）清单、制度清单、成果清单”三项清单，于9月5日前报送区民政局汇总。</w:t>
      </w:r>
    </w:p>
    <w:p w14:paraId="2E97A769">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黑体" w:hAnsi="黑体" w:eastAsia="黑体" w:cs="黑体"/>
          <w:sz w:val="32"/>
          <w:szCs w:val="32"/>
        </w:rPr>
      </w:pPr>
      <w:r>
        <w:rPr>
          <w:rFonts w:hint="eastAsia" w:ascii="黑体" w:hAnsi="黑体" w:eastAsia="黑体" w:cs="黑体"/>
          <w:sz w:val="32"/>
          <w:szCs w:val="32"/>
        </w:rPr>
        <w:t>四、其他要求</w:t>
      </w:r>
    </w:p>
    <w:p w14:paraId="67F8C2A7">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（一）加强组织领导，强化责任担当。</w:t>
      </w:r>
      <w:r>
        <w:rPr>
          <w:rFonts w:hint="eastAsia" w:ascii="仿宋_GB2312" w:hAnsi="仿宋_GB2312" w:eastAsia="仿宋_GB2312" w:cs="仿宋_GB2312"/>
          <w:sz w:val="32"/>
          <w:szCs w:val="32"/>
        </w:rPr>
        <w:t>各乡镇（街道）要深入学习领会习近平总书记关于持续整治群众身边腐败和不正之风重要指示精神，把抓好“漏保”“漏救”点题整治作为坚持人民立场、维护困难群众利益的实际行动，提高政治站位，加强组织领导，强化责任担当，精心谋划部署，细化分解任务，倒排工作进度，明确责任单位、责任人，确保责任到岗到位。落实容错免责机制，对已依规履行调查核实程序无主观上过错，因申请人虚报、隐瞒等造成错保的，免于问责。通过整治，进一步提升基层经办能力和服务水平，对困难群众“应保尽保、应救尽救”，不使一个困难群众掉队。</w:t>
      </w:r>
    </w:p>
    <w:p w14:paraId="5091878C">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（二）加强部门联动，强化政策衔接。</w:t>
      </w:r>
      <w:r>
        <w:rPr>
          <w:rFonts w:hint="eastAsia" w:ascii="仿宋_GB2312" w:hAnsi="仿宋_GB2312" w:eastAsia="仿宋_GB2312" w:cs="仿宋_GB2312"/>
          <w:sz w:val="32"/>
          <w:szCs w:val="32"/>
        </w:rPr>
        <w:t>各乡镇（街道）应加强与派驻纪检监察机构和同级纪检监察机关的协同配合，主动接受指导和监督。要充分发挥困难群众基本生活保障工作协调机制作用，密切与同级乡村振兴、医保、残联、人社、应急、信访等部门的沟通联系，强化政策衔接，确保整治工作协同配合、整体推进，按时保质取得成效。</w:t>
      </w:r>
    </w:p>
    <w:p w14:paraId="2CAFDEB0">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（三）加强宣传引导，营造积极氛围。</w:t>
      </w:r>
      <w:r>
        <w:rPr>
          <w:rFonts w:hint="eastAsia" w:ascii="仿宋_GB2312" w:hAnsi="仿宋_GB2312" w:eastAsia="仿宋_GB2312" w:cs="仿宋_GB2312"/>
          <w:sz w:val="32"/>
          <w:szCs w:val="32"/>
        </w:rPr>
        <w:t>坚持开门搞整治，结合“社会救助政策宣讲进村（社区）”活动，多形式多渠道宣传社会救助政策、儿童福利政策，积极总结宣传整治工作中形成的好经验、好做法，结合实际在政府网站、村（社区）宣传栏等设置专栏，及时公开整治工作进展情况。区民政局落实分级培训制度，提升基层队伍政策业务水平，用政策排忧解难，用行动温暖民心。</w:t>
      </w:r>
    </w:p>
    <w:p w14:paraId="4DA5BCD2">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（四）严肃追责问责，确保整改到位。</w:t>
      </w:r>
      <w:r>
        <w:rPr>
          <w:rFonts w:hint="eastAsia" w:ascii="仿宋_GB2312" w:hAnsi="仿宋_GB2312" w:eastAsia="仿宋_GB2312" w:cs="仿宋_GB2312"/>
          <w:sz w:val="32"/>
          <w:szCs w:val="32"/>
        </w:rPr>
        <w:t>整治结果将以适当形式通报各乡镇（街道）党委政府主要负责同志。对工作不力的各乡镇（街道），将约谈主要负责人；对整治“漏保”“漏救”问题工作推进不力、措施不落实、整改不彻底和不担当、不作为的，将及时移交纪检监察部门严肃追责问责。</w:t>
      </w:r>
      <w:bookmarkStart w:id="0" w:name="抄送"/>
      <w:bookmarkEnd w:id="0"/>
    </w:p>
    <w:p w14:paraId="75A7D8DB">
      <w:pPr>
        <w:rPr>
          <w:rFonts w:hint="eastAsia" w:ascii="仿宋_GB2312" w:hAnsi="仿宋_GB2312" w:eastAsia="仿宋_GB2312" w:cs="仿宋_GB2312"/>
          <w:sz w:val="32"/>
        </w:rPr>
      </w:pPr>
    </w:p>
    <w:p w14:paraId="5A8FA20C">
      <w:pPr>
        <w:rPr>
          <w:rFonts w:hint="eastAsia" w:ascii="仿宋_GB2312" w:hAnsi="仿宋_GB2312" w:eastAsia="仿宋_GB2312" w:cs="仿宋_GB2312"/>
          <w:sz w:val="32"/>
        </w:rPr>
      </w:pPr>
    </w:p>
    <w:p w14:paraId="60C6F56E">
      <w:pPr>
        <w:rPr>
          <w:rFonts w:hint="eastAsia" w:ascii="仿宋_GB2312" w:hAnsi="仿宋_GB2312" w:eastAsia="仿宋_GB2312" w:cs="仿宋_GB2312"/>
          <w:sz w:val="32"/>
        </w:rPr>
      </w:pPr>
    </w:p>
    <w:p w14:paraId="1E2FB019">
      <w:pPr>
        <w:rPr>
          <w:rFonts w:hint="eastAsia" w:ascii="仿宋_GB2312" w:hAnsi="仿宋_GB2312" w:eastAsia="仿宋_GB2312" w:cs="仿宋_GB2312"/>
          <w:sz w:val="32"/>
        </w:rPr>
      </w:pPr>
    </w:p>
    <w:p w14:paraId="7646679A">
      <w:pPr>
        <w:rPr>
          <w:rFonts w:hint="eastAsia" w:ascii="仿宋_GB2312" w:hAnsi="仿宋_GB2312" w:eastAsia="仿宋_GB2312" w:cs="仿宋_GB2312"/>
          <w:sz w:val="32"/>
        </w:rPr>
      </w:pPr>
    </w:p>
    <w:p w14:paraId="3009EA1A">
      <w:pPr>
        <w:rPr>
          <w:rFonts w:hint="eastAsia" w:ascii="仿宋_GB2312" w:hAnsi="仿宋_GB2312" w:eastAsia="仿宋_GB2312" w:cs="仿宋_GB2312"/>
          <w:sz w:val="32"/>
        </w:rPr>
      </w:pPr>
    </w:p>
    <w:p w14:paraId="48836F5C">
      <w:pPr>
        <w:rPr>
          <w:rFonts w:hint="eastAsia" w:ascii="仿宋_GB2312" w:hAnsi="仿宋_GB2312" w:eastAsia="仿宋_GB2312" w:cs="仿宋_GB2312"/>
          <w:sz w:val="32"/>
        </w:rPr>
      </w:pPr>
    </w:p>
    <w:p w14:paraId="35409561">
      <w:pPr>
        <w:rPr>
          <w:rFonts w:hint="eastAsia" w:ascii="仿宋_GB2312" w:hAnsi="仿宋_GB2312" w:eastAsia="仿宋_GB2312" w:cs="仿宋_GB2312"/>
          <w:sz w:val="32"/>
        </w:rPr>
      </w:pPr>
    </w:p>
    <w:p w14:paraId="64ED5C07">
      <w:pPr>
        <w:rPr>
          <w:rFonts w:hint="eastAsia" w:ascii="仿宋_GB2312" w:hAnsi="仿宋_GB2312" w:eastAsia="仿宋_GB2312" w:cs="仿宋_GB2312"/>
          <w:sz w:val="32"/>
        </w:rPr>
      </w:pPr>
    </w:p>
    <w:p w14:paraId="1C6174A0">
      <w:pPr>
        <w:rPr>
          <w:rFonts w:hint="eastAsia" w:ascii="仿宋_GB2312" w:hAnsi="仿宋_GB2312" w:eastAsia="仿宋_GB2312" w:cs="仿宋_GB2312"/>
          <w:sz w:val="32"/>
        </w:rPr>
      </w:pPr>
    </w:p>
    <w:p w14:paraId="157C0F2D">
      <w:pPr>
        <w:rPr>
          <w:rFonts w:hint="eastAsia" w:ascii="仿宋_GB2312" w:hAnsi="仿宋_GB2312" w:eastAsia="仿宋_GB2312" w:cs="仿宋_GB2312"/>
          <w:sz w:val="32"/>
        </w:rPr>
      </w:pPr>
    </w:p>
    <w:p w14:paraId="095A08C0">
      <w:pPr>
        <w:spacing w:line="520" w:lineRule="exact"/>
        <w:rPr>
          <w:rFonts w:hint="eastAsia" w:ascii="仿宋_GB2312" w:hAnsi="仿宋_GB2312" w:eastAsia="仿宋_GB2312" w:cs="仿宋_GB2312"/>
          <w:sz w:val="32"/>
          <w:szCs w:val="32"/>
        </w:rPr>
        <w:sectPr>
          <w:footerReference r:id="rId3" w:type="default"/>
          <w:pgSz w:w="11906" w:h="16838"/>
          <w:pgMar w:top="1814" w:right="1587" w:bottom="1814" w:left="1587" w:header="851" w:footer="992" w:gutter="0"/>
          <w:cols w:space="425" w:num="1"/>
          <w:docGrid w:type="lines" w:linePitch="312" w:charSpace="0"/>
        </w:sectPr>
      </w:pPr>
    </w:p>
    <w:p w14:paraId="56EE11F2">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附表：</w:t>
      </w:r>
    </w:p>
    <w:tbl>
      <w:tblPr>
        <w:tblStyle w:val="9"/>
        <w:tblW w:w="15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1395"/>
        <w:gridCol w:w="4620"/>
        <w:gridCol w:w="2280"/>
        <w:gridCol w:w="2010"/>
        <w:gridCol w:w="3510"/>
        <w:gridCol w:w="1105"/>
      </w:tblGrid>
      <w:tr w14:paraId="164B7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689" w:type="dxa"/>
          </w:tcPr>
          <w:p w14:paraId="254753A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_GB2312" w:hAnsi="仿宋_GB2312" w:eastAsia="仿宋_GB2312" w:cs="仿宋_GB2312"/>
                <w:szCs w:val="21"/>
              </w:rPr>
            </w:pPr>
            <w:r>
              <w:rPr>
                <w:rFonts w:hint="eastAsia"/>
                <w:b/>
                <w:bCs/>
                <w:szCs w:val="21"/>
              </w:rPr>
              <w:t>序号</w:t>
            </w:r>
          </w:p>
        </w:tc>
        <w:tc>
          <w:tcPr>
            <w:tcW w:w="1395" w:type="dxa"/>
          </w:tcPr>
          <w:p w14:paraId="6C1C90E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_GB2312" w:hAnsi="仿宋_GB2312" w:eastAsia="仿宋_GB2312" w:cs="仿宋_GB2312"/>
                <w:szCs w:val="21"/>
              </w:rPr>
            </w:pPr>
            <w:r>
              <w:rPr>
                <w:rFonts w:hint="eastAsia"/>
                <w:b/>
                <w:bCs/>
                <w:szCs w:val="21"/>
              </w:rPr>
              <w:t>排查对象</w:t>
            </w:r>
          </w:p>
        </w:tc>
        <w:tc>
          <w:tcPr>
            <w:tcW w:w="4620" w:type="dxa"/>
          </w:tcPr>
          <w:p w14:paraId="4C61608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_GB2312" w:hAnsi="仿宋_GB2312" w:eastAsia="仿宋_GB2312" w:cs="仿宋_GB2312"/>
                <w:szCs w:val="21"/>
              </w:rPr>
            </w:pPr>
            <w:r>
              <w:rPr>
                <w:rFonts w:hint="eastAsia"/>
                <w:b/>
                <w:bCs/>
                <w:szCs w:val="21"/>
              </w:rPr>
              <w:t>排查内容</w:t>
            </w:r>
          </w:p>
        </w:tc>
        <w:tc>
          <w:tcPr>
            <w:tcW w:w="2280" w:type="dxa"/>
          </w:tcPr>
          <w:p w14:paraId="0446F1F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_GB2312" w:hAnsi="仿宋_GB2312" w:eastAsia="仿宋_GB2312" w:cs="仿宋_GB2312"/>
                <w:szCs w:val="21"/>
              </w:rPr>
            </w:pPr>
            <w:r>
              <w:rPr>
                <w:rFonts w:hint="eastAsia"/>
                <w:b/>
                <w:bCs/>
                <w:szCs w:val="21"/>
              </w:rPr>
              <w:t>排查要求</w:t>
            </w:r>
          </w:p>
        </w:tc>
        <w:tc>
          <w:tcPr>
            <w:tcW w:w="2010" w:type="dxa"/>
          </w:tcPr>
          <w:p w14:paraId="241EE88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_GB2312" w:hAnsi="仿宋_GB2312" w:eastAsia="仿宋_GB2312" w:cs="仿宋_GB2312"/>
                <w:szCs w:val="21"/>
              </w:rPr>
            </w:pPr>
            <w:r>
              <w:rPr>
                <w:rFonts w:hint="eastAsia"/>
                <w:b/>
                <w:bCs/>
                <w:szCs w:val="21"/>
              </w:rPr>
              <w:t>整改目标</w:t>
            </w:r>
          </w:p>
        </w:tc>
        <w:tc>
          <w:tcPr>
            <w:tcW w:w="3510" w:type="dxa"/>
          </w:tcPr>
          <w:p w14:paraId="7529F0F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_GB2312" w:hAnsi="仿宋_GB2312" w:eastAsia="仿宋_GB2312" w:cs="仿宋_GB2312"/>
                <w:szCs w:val="21"/>
              </w:rPr>
            </w:pPr>
            <w:r>
              <w:rPr>
                <w:rFonts w:hint="eastAsia"/>
                <w:b/>
                <w:bCs/>
                <w:szCs w:val="21"/>
              </w:rPr>
              <w:t>完成时限</w:t>
            </w:r>
          </w:p>
        </w:tc>
        <w:tc>
          <w:tcPr>
            <w:tcW w:w="1105" w:type="dxa"/>
          </w:tcPr>
          <w:p w14:paraId="0446A3B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_GB2312" w:hAnsi="仿宋_GB2312" w:eastAsia="仿宋_GB2312" w:cs="仿宋_GB2312"/>
                <w:szCs w:val="21"/>
              </w:rPr>
            </w:pPr>
            <w:r>
              <w:rPr>
                <w:rFonts w:hint="eastAsia"/>
                <w:b/>
                <w:bCs/>
                <w:szCs w:val="21"/>
              </w:rPr>
              <w:t>责任单位</w:t>
            </w:r>
          </w:p>
        </w:tc>
      </w:tr>
      <w:tr w14:paraId="45146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689" w:type="dxa"/>
            <w:vAlign w:val="center"/>
          </w:tcPr>
          <w:p w14:paraId="2326DA3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b/>
                <w:bCs/>
                <w:sz w:val="18"/>
                <w:szCs w:val="18"/>
              </w:rPr>
            </w:pPr>
            <w:r>
              <w:rPr>
                <w:rFonts w:hint="eastAsia" w:ascii="宋体" w:hAnsi="宋体" w:cs="宋体"/>
                <w:b/>
                <w:bCs/>
                <w:sz w:val="18"/>
                <w:szCs w:val="18"/>
              </w:rPr>
              <w:t>1</w:t>
            </w:r>
          </w:p>
        </w:tc>
        <w:tc>
          <w:tcPr>
            <w:tcW w:w="1395" w:type="dxa"/>
            <w:vAlign w:val="center"/>
          </w:tcPr>
          <w:p w14:paraId="49804882">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cs="宋体"/>
                <w:sz w:val="18"/>
                <w:szCs w:val="18"/>
              </w:rPr>
            </w:pPr>
            <w:r>
              <w:rPr>
                <w:rFonts w:hint="eastAsia" w:ascii="宋体" w:hAnsi="宋体" w:cs="宋体"/>
                <w:sz w:val="18"/>
                <w:szCs w:val="18"/>
              </w:rPr>
              <w:t>脱贫不稳定人口和边缘易致贫人口</w:t>
            </w:r>
          </w:p>
        </w:tc>
        <w:tc>
          <w:tcPr>
            <w:tcW w:w="4620" w:type="dxa"/>
            <w:vAlign w:val="center"/>
          </w:tcPr>
          <w:p w14:paraId="537E8A0C">
            <w:pPr>
              <w:keepNext w:val="0"/>
              <w:keepLines w:val="0"/>
              <w:pageBreakBefore w:val="0"/>
              <w:widowControl w:val="0"/>
              <w:kinsoku/>
              <w:wordWrap/>
              <w:overflowPunct/>
              <w:topLinePunct w:val="0"/>
              <w:autoSpaceDE/>
              <w:autoSpaceDN/>
              <w:bidi w:val="0"/>
              <w:adjustRightInd/>
              <w:snapToGrid/>
              <w:spacing w:line="240" w:lineRule="exact"/>
              <w:ind w:firstLine="360" w:firstLineChars="200"/>
              <w:jc w:val="both"/>
              <w:textAlignment w:val="auto"/>
              <w:rPr>
                <w:rFonts w:ascii="宋体" w:hAnsi="宋体" w:cs="宋体"/>
                <w:sz w:val="18"/>
                <w:szCs w:val="18"/>
              </w:rPr>
            </w:pPr>
            <w:r>
              <w:rPr>
                <w:rFonts w:hint="eastAsia" w:ascii="宋体" w:hAnsi="宋体" w:cs="宋体"/>
                <w:sz w:val="18"/>
                <w:szCs w:val="18"/>
              </w:rPr>
              <w:t>1.是否将符合条件困难群众全部纳入低保、特困、孤儿、事实无人抚养儿童保障范围，是否及时给予临时救助；</w:t>
            </w:r>
          </w:p>
          <w:p w14:paraId="0A85949A">
            <w:pPr>
              <w:keepNext w:val="0"/>
              <w:keepLines w:val="0"/>
              <w:pageBreakBefore w:val="0"/>
              <w:widowControl w:val="0"/>
              <w:kinsoku/>
              <w:wordWrap/>
              <w:overflowPunct/>
              <w:topLinePunct w:val="0"/>
              <w:autoSpaceDE/>
              <w:autoSpaceDN/>
              <w:bidi w:val="0"/>
              <w:adjustRightInd/>
              <w:snapToGrid/>
              <w:spacing w:line="240" w:lineRule="exact"/>
              <w:ind w:firstLine="360" w:firstLineChars="200"/>
              <w:jc w:val="both"/>
              <w:textAlignment w:val="auto"/>
              <w:rPr>
                <w:rFonts w:ascii="宋体" w:hAnsi="宋体" w:cs="宋体"/>
                <w:sz w:val="18"/>
                <w:szCs w:val="18"/>
              </w:rPr>
            </w:pPr>
            <w:r>
              <w:rPr>
                <w:rFonts w:hint="eastAsia" w:ascii="宋体" w:hAnsi="宋体" w:cs="宋体"/>
                <w:sz w:val="18"/>
                <w:szCs w:val="18"/>
              </w:rPr>
              <w:t>2.低收入家庭中的重度残疾人（含智力、精神三级残疾）、重病人员是否参照“单人户”全部纳入低保。</w:t>
            </w:r>
          </w:p>
        </w:tc>
        <w:tc>
          <w:tcPr>
            <w:tcW w:w="2280" w:type="dxa"/>
            <w:vMerge w:val="restart"/>
            <w:vAlign w:val="center"/>
          </w:tcPr>
          <w:p w14:paraId="09D4A15A">
            <w:pPr>
              <w:keepNext w:val="0"/>
              <w:keepLines w:val="0"/>
              <w:pageBreakBefore w:val="0"/>
              <w:widowControl w:val="0"/>
              <w:kinsoku/>
              <w:wordWrap/>
              <w:overflowPunct/>
              <w:topLinePunct w:val="0"/>
              <w:autoSpaceDE/>
              <w:autoSpaceDN/>
              <w:bidi w:val="0"/>
              <w:adjustRightInd/>
              <w:snapToGrid/>
              <w:spacing w:line="240" w:lineRule="exact"/>
              <w:ind w:firstLine="360" w:firstLineChars="200"/>
              <w:jc w:val="both"/>
              <w:textAlignment w:val="auto"/>
              <w:rPr>
                <w:rFonts w:ascii="宋体" w:hAnsi="宋体" w:cs="宋体"/>
                <w:sz w:val="18"/>
                <w:szCs w:val="18"/>
              </w:rPr>
            </w:pPr>
            <w:r>
              <w:rPr>
                <w:rFonts w:hint="eastAsia" w:ascii="宋体" w:hAnsi="宋体" w:cs="宋体"/>
                <w:sz w:val="18"/>
                <w:szCs w:val="18"/>
              </w:rPr>
              <w:t>1.</w:t>
            </w:r>
            <w:r>
              <w:rPr>
                <w:rFonts w:hint="eastAsia" w:ascii="宋体" w:hAnsi="宋体" w:cs="宋体"/>
                <w:spacing w:val="-6"/>
                <w:sz w:val="18"/>
                <w:szCs w:val="18"/>
              </w:rPr>
              <w:t>对照省厅、市局下发的对象清单，完成逐一入户走访排查。在此基础上，采取乡不漏村、村不漏户、户不漏人的方式，了解掌握其他困难家庭情况，建立工作台账；</w:t>
            </w:r>
          </w:p>
          <w:p w14:paraId="4CE22BC5">
            <w:pPr>
              <w:keepNext w:val="0"/>
              <w:keepLines w:val="0"/>
              <w:pageBreakBefore w:val="0"/>
              <w:widowControl w:val="0"/>
              <w:kinsoku/>
              <w:wordWrap/>
              <w:overflowPunct/>
              <w:topLinePunct w:val="0"/>
              <w:autoSpaceDE/>
              <w:autoSpaceDN/>
              <w:bidi w:val="0"/>
              <w:adjustRightInd/>
              <w:snapToGrid/>
              <w:spacing w:line="240" w:lineRule="exact"/>
              <w:ind w:firstLine="360" w:firstLineChars="200"/>
              <w:jc w:val="both"/>
              <w:textAlignment w:val="auto"/>
              <w:rPr>
                <w:rFonts w:ascii="宋体" w:hAnsi="宋体" w:cs="宋体"/>
                <w:sz w:val="18"/>
                <w:szCs w:val="18"/>
              </w:rPr>
            </w:pPr>
            <w:r>
              <w:rPr>
                <w:rFonts w:hint="eastAsia" w:ascii="宋体" w:hAnsi="宋体" w:cs="宋体"/>
                <w:sz w:val="18"/>
                <w:szCs w:val="18"/>
              </w:rPr>
              <w:t>2.强化村（社区）干部、包村（社区）干部落实入户排查责任；</w:t>
            </w:r>
          </w:p>
          <w:p w14:paraId="373F9A9D">
            <w:pPr>
              <w:keepNext w:val="0"/>
              <w:keepLines w:val="0"/>
              <w:pageBreakBefore w:val="0"/>
              <w:widowControl w:val="0"/>
              <w:kinsoku/>
              <w:wordWrap/>
              <w:overflowPunct/>
              <w:topLinePunct w:val="0"/>
              <w:autoSpaceDE/>
              <w:autoSpaceDN/>
              <w:bidi w:val="0"/>
              <w:adjustRightInd/>
              <w:snapToGrid/>
              <w:spacing w:line="240" w:lineRule="exact"/>
              <w:ind w:firstLine="360" w:firstLineChars="200"/>
              <w:jc w:val="both"/>
              <w:textAlignment w:val="auto"/>
              <w:rPr>
                <w:rFonts w:ascii="宋体" w:hAnsi="宋体" w:cs="宋体"/>
                <w:sz w:val="18"/>
                <w:szCs w:val="18"/>
              </w:rPr>
            </w:pPr>
            <w:r>
              <w:rPr>
                <w:rFonts w:hint="eastAsia" w:ascii="宋体" w:hAnsi="宋体" w:cs="宋体"/>
                <w:sz w:val="18"/>
                <w:szCs w:val="18"/>
              </w:rPr>
              <w:t>3.落实乡镇全面排查、区重点抽查机制；</w:t>
            </w:r>
          </w:p>
          <w:p w14:paraId="5394079F">
            <w:pPr>
              <w:keepNext w:val="0"/>
              <w:keepLines w:val="0"/>
              <w:pageBreakBefore w:val="0"/>
              <w:widowControl w:val="0"/>
              <w:kinsoku/>
              <w:wordWrap/>
              <w:overflowPunct/>
              <w:topLinePunct w:val="0"/>
              <w:autoSpaceDE/>
              <w:autoSpaceDN/>
              <w:bidi w:val="0"/>
              <w:adjustRightInd/>
              <w:snapToGrid/>
              <w:spacing w:line="240" w:lineRule="exact"/>
              <w:ind w:firstLine="360" w:firstLineChars="200"/>
              <w:jc w:val="both"/>
              <w:textAlignment w:val="auto"/>
              <w:rPr>
                <w:rFonts w:ascii="宋体" w:hAnsi="宋体" w:cs="宋体"/>
                <w:sz w:val="18"/>
                <w:szCs w:val="18"/>
              </w:rPr>
            </w:pPr>
            <w:r>
              <w:rPr>
                <w:rFonts w:hint="eastAsia" w:ascii="宋体" w:hAnsi="宋体" w:cs="宋体"/>
                <w:sz w:val="18"/>
                <w:szCs w:val="18"/>
              </w:rPr>
              <w:t>4.各乡镇（街道）将现行低保、特困、临时救助、孤儿、事实无人抚养儿童政策报送区民政局备案；</w:t>
            </w:r>
          </w:p>
          <w:p w14:paraId="3783E3AE">
            <w:pPr>
              <w:keepNext w:val="0"/>
              <w:keepLines w:val="0"/>
              <w:pageBreakBefore w:val="0"/>
              <w:widowControl w:val="0"/>
              <w:kinsoku/>
              <w:wordWrap/>
              <w:overflowPunct/>
              <w:topLinePunct w:val="0"/>
              <w:autoSpaceDE/>
              <w:autoSpaceDN/>
              <w:bidi w:val="0"/>
              <w:adjustRightInd/>
              <w:snapToGrid/>
              <w:spacing w:line="240" w:lineRule="exact"/>
              <w:ind w:firstLine="360" w:firstLineChars="200"/>
              <w:jc w:val="both"/>
              <w:textAlignment w:val="auto"/>
              <w:rPr>
                <w:rFonts w:ascii="宋体" w:hAnsi="宋体" w:cs="宋体"/>
                <w:sz w:val="18"/>
                <w:szCs w:val="18"/>
              </w:rPr>
            </w:pPr>
            <w:r>
              <w:rPr>
                <w:rFonts w:hint="eastAsia" w:ascii="宋体" w:hAnsi="宋体" w:cs="宋体"/>
                <w:sz w:val="18"/>
                <w:szCs w:val="18"/>
              </w:rPr>
              <w:t>5.收集“漏保”“漏救”和经办服务中不担当、不作为及脸难看、事难办的问题线索，建立问题线索台账和整改台账，制定整改措施，落实整改责任。</w:t>
            </w:r>
          </w:p>
        </w:tc>
        <w:tc>
          <w:tcPr>
            <w:tcW w:w="2010" w:type="dxa"/>
            <w:vMerge w:val="restart"/>
            <w:vAlign w:val="center"/>
          </w:tcPr>
          <w:p w14:paraId="2034B6CD">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cs="宋体"/>
                <w:sz w:val="18"/>
                <w:szCs w:val="18"/>
              </w:rPr>
            </w:pPr>
            <w:r>
              <w:rPr>
                <w:rFonts w:hint="eastAsia" w:ascii="宋体" w:hAnsi="宋体" w:cs="宋体"/>
                <w:sz w:val="18"/>
                <w:szCs w:val="18"/>
              </w:rPr>
              <w:t>对符合最低生活保障、特困人员供养、孤儿、事实无人抚养儿童保障条件的，要简化审核确认流程，提高救助时效，尽快纳入保障范围；对不符合条件的，要强化风险意识，加强动态跟踪管理，做好备案和监测预警，密切关注其家庭情况变化，存在困难的要及时予以临时救助。</w:t>
            </w:r>
          </w:p>
        </w:tc>
        <w:tc>
          <w:tcPr>
            <w:tcW w:w="3510" w:type="dxa"/>
            <w:vMerge w:val="restart"/>
            <w:vAlign w:val="center"/>
          </w:tcPr>
          <w:p w14:paraId="35CAE219">
            <w:pPr>
              <w:keepNext w:val="0"/>
              <w:keepLines w:val="0"/>
              <w:pageBreakBefore w:val="0"/>
              <w:widowControl w:val="0"/>
              <w:kinsoku/>
              <w:wordWrap/>
              <w:overflowPunct/>
              <w:topLinePunct w:val="0"/>
              <w:autoSpaceDE/>
              <w:autoSpaceDN/>
              <w:bidi w:val="0"/>
              <w:adjustRightInd/>
              <w:snapToGrid/>
              <w:spacing w:line="240" w:lineRule="exact"/>
              <w:ind w:firstLine="360" w:firstLineChars="200"/>
              <w:jc w:val="both"/>
              <w:textAlignment w:val="auto"/>
              <w:rPr>
                <w:rFonts w:ascii="宋体" w:hAnsi="宋体" w:cs="宋体"/>
                <w:sz w:val="18"/>
                <w:szCs w:val="18"/>
              </w:rPr>
            </w:pPr>
            <w:r>
              <w:rPr>
                <w:rFonts w:hint="eastAsia" w:ascii="宋体" w:hAnsi="宋体" w:cs="宋体"/>
                <w:sz w:val="18"/>
                <w:szCs w:val="18"/>
              </w:rPr>
              <w:t>1</w:t>
            </w:r>
            <w:r>
              <w:rPr>
                <w:rFonts w:hint="eastAsia" w:ascii="宋体" w:hAnsi="宋体" w:cs="宋体"/>
                <w:spacing w:val="-6"/>
                <w:kern w:val="0"/>
                <w:sz w:val="18"/>
                <w:szCs w:val="18"/>
              </w:rPr>
              <w:t>.6月25日前完成政策落实情况的排查，对检查发现的问题，要建立问题清单，立整立改，逐一对账销号；</w:t>
            </w:r>
          </w:p>
          <w:p w14:paraId="458007A9">
            <w:pPr>
              <w:keepNext w:val="0"/>
              <w:keepLines w:val="0"/>
              <w:pageBreakBefore w:val="0"/>
              <w:widowControl w:val="0"/>
              <w:kinsoku/>
              <w:wordWrap/>
              <w:overflowPunct/>
              <w:topLinePunct w:val="0"/>
              <w:autoSpaceDE/>
              <w:autoSpaceDN/>
              <w:bidi w:val="0"/>
              <w:adjustRightInd/>
              <w:snapToGrid/>
              <w:spacing w:line="240" w:lineRule="exact"/>
              <w:ind w:firstLine="360" w:firstLineChars="200"/>
              <w:jc w:val="both"/>
              <w:textAlignment w:val="auto"/>
              <w:rPr>
                <w:rFonts w:ascii="宋体" w:hAnsi="宋体" w:cs="宋体"/>
                <w:sz w:val="18"/>
                <w:szCs w:val="18"/>
              </w:rPr>
            </w:pPr>
            <w:r>
              <w:rPr>
                <w:rFonts w:hint="eastAsia" w:ascii="宋体" w:hAnsi="宋体" w:cs="宋体"/>
                <w:sz w:val="18"/>
                <w:szCs w:val="18"/>
              </w:rPr>
              <w:t>2.8月25日前问题全部整改到位；同时完善政策措施、社会救助热线事项办理的内部流转机制、协同会商机制和节假日热线值守制度，将现行低保、特困、临时救助、孤儿、事实无人抚养儿童政策汇总后，将电子版报送区民政局备案；</w:t>
            </w:r>
          </w:p>
          <w:p w14:paraId="3F318BDB">
            <w:pPr>
              <w:keepNext w:val="0"/>
              <w:keepLines w:val="0"/>
              <w:pageBreakBefore w:val="0"/>
              <w:widowControl w:val="0"/>
              <w:kinsoku/>
              <w:wordWrap/>
              <w:overflowPunct/>
              <w:topLinePunct w:val="0"/>
              <w:autoSpaceDE/>
              <w:autoSpaceDN/>
              <w:bidi w:val="0"/>
              <w:adjustRightInd/>
              <w:snapToGrid/>
              <w:spacing w:line="240" w:lineRule="exact"/>
              <w:ind w:firstLine="360" w:firstLineChars="200"/>
              <w:jc w:val="both"/>
              <w:textAlignment w:val="auto"/>
              <w:rPr>
                <w:rFonts w:ascii="宋体" w:hAnsi="宋体" w:cs="宋体"/>
                <w:sz w:val="18"/>
                <w:szCs w:val="18"/>
              </w:rPr>
            </w:pPr>
            <w:r>
              <w:rPr>
                <w:rFonts w:hint="eastAsia" w:ascii="宋体" w:hAnsi="宋体" w:cs="宋体"/>
                <w:sz w:val="18"/>
                <w:szCs w:val="18"/>
              </w:rPr>
              <w:t>3.9月5日前对点题整治开展情况进行全面总结，形成“问题（整改）清单、制度清单、成果清单”三项清单，报送区民政局汇总；</w:t>
            </w:r>
          </w:p>
          <w:p w14:paraId="100369E1">
            <w:pPr>
              <w:keepNext w:val="0"/>
              <w:keepLines w:val="0"/>
              <w:pageBreakBefore w:val="0"/>
              <w:widowControl w:val="0"/>
              <w:kinsoku/>
              <w:wordWrap/>
              <w:overflowPunct/>
              <w:topLinePunct w:val="0"/>
              <w:autoSpaceDE/>
              <w:autoSpaceDN/>
              <w:bidi w:val="0"/>
              <w:adjustRightInd/>
              <w:snapToGrid/>
              <w:spacing w:line="240" w:lineRule="exact"/>
              <w:ind w:firstLine="360" w:firstLineChars="200"/>
              <w:jc w:val="both"/>
              <w:textAlignment w:val="auto"/>
              <w:rPr>
                <w:rFonts w:ascii="宋体" w:hAnsi="宋体" w:cs="宋体"/>
                <w:sz w:val="18"/>
                <w:szCs w:val="18"/>
              </w:rPr>
            </w:pPr>
            <w:r>
              <w:rPr>
                <w:rFonts w:hint="eastAsia" w:ascii="宋体" w:hAnsi="宋体" w:cs="宋体"/>
                <w:sz w:val="18"/>
                <w:szCs w:val="18"/>
              </w:rPr>
              <w:t>4</w:t>
            </w:r>
            <w:r>
              <w:rPr>
                <w:rFonts w:hint="eastAsia" w:ascii="宋体" w:hAnsi="宋体" w:cs="宋体"/>
                <w:kern w:val="0"/>
                <w:sz w:val="18"/>
                <w:szCs w:val="18"/>
              </w:rPr>
              <w:t>.收集乡镇（街道）本级及所辖村（社区）工作进展情况和问题线索，分别于每月12日和27日前报区区民政局汇总（问题线索实行零报送制度）；区民政局将按半月汇总问题线索报送区纪委监委，并加强重大问题线索的联查联办、直查直办力度。</w:t>
            </w:r>
          </w:p>
        </w:tc>
        <w:tc>
          <w:tcPr>
            <w:tcW w:w="1105" w:type="dxa"/>
            <w:vMerge w:val="restart"/>
            <w:vAlign w:val="center"/>
          </w:tcPr>
          <w:p w14:paraId="76B168BB">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cs="宋体"/>
                <w:sz w:val="18"/>
                <w:szCs w:val="18"/>
              </w:rPr>
            </w:pPr>
            <w:r>
              <w:rPr>
                <w:rFonts w:hint="eastAsia" w:ascii="宋体" w:hAnsi="宋体" w:cs="宋体"/>
                <w:sz w:val="18"/>
                <w:szCs w:val="18"/>
              </w:rPr>
              <w:t>区民政局社会救助科、</w:t>
            </w:r>
            <w:bookmarkStart w:id="1" w:name="_GoBack"/>
            <w:bookmarkEnd w:id="1"/>
            <w:r>
              <w:rPr>
                <w:rFonts w:hint="eastAsia" w:ascii="宋体" w:hAnsi="宋体" w:cs="宋体"/>
                <w:sz w:val="18"/>
                <w:szCs w:val="18"/>
                <w:lang w:eastAsia="zh-CN"/>
              </w:rPr>
              <w:t>未成年人</w:t>
            </w:r>
            <w:r>
              <w:rPr>
                <w:rFonts w:hint="eastAsia" w:ascii="宋体" w:hAnsi="宋体" w:cs="宋体"/>
                <w:sz w:val="18"/>
                <w:szCs w:val="18"/>
              </w:rPr>
              <w:t>保护中心、各乡镇（街道）办事处</w:t>
            </w:r>
          </w:p>
        </w:tc>
      </w:tr>
      <w:tr w14:paraId="238A1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689" w:type="dxa"/>
            <w:vAlign w:val="center"/>
          </w:tcPr>
          <w:p w14:paraId="773010B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b/>
                <w:bCs/>
                <w:sz w:val="18"/>
                <w:szCs w:val="18"/>
              </w:rPr>
            </w:pPr>
            <w:r>
              <w:rPr>
                <w:rFonts w:hint="eastAsia" w:ascii="宋体" w:hAnsi="宋体" w:cs="宋体"/>
                <w:b/>
                <w:bCs/>
                <w:sz w:val="18"/>
                <w:szCs w:val="18"/>
              </w:rPr>
              <w:t>2</w:t>
            </w:r>
          </w:p>
        </w:tc>
        <w:tc>
          <w:tcPr>
            <w:tcW w:w="1395" w:type="dxa"/>
            <w:vAlign w:val="center"/>
          </w:tcPr>
          <w:p w14:paraId="22C369C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sz w:val="18"/>
                <w:szCs w:val="18"/>
              </w:rPr>
            </w:pPr>
            <w:r>
              <w:rPr>
                <w:rFonts w:hint="eastAsia" w:ascii="宋体" w:hAnsi="宋体" w:cs="宋体"/>
                <w:sz w:val="18"/>
                <w:szCs w:val="18"/>
              </w:rPr>
              <w:t>2020年以来个人自付医疗费用超过2万元以上对象</w:t>
            </w:r>
          </w:p>
        </w:tc>
        <w:tc>
          <w:tcPr>
            <w:tcW w:w="4620" w:type="dxa"/>
            <w:vAlign w:val="center"/>
          </w:tcPr>
          <w:p w14:paraId="383CB7BC">
            <w:pPr>
              <w:keepNext w:val="0"/>
              <w:keepLines w:val="0"/>
              <w:pageBreakBefore w:val="0"/>
              <w:widowControl w:val="0"/>
              <w:kinsoku/>
              <w:wordWrap/>
              <w:overflowPunct/>
              <w:topLinePunct w:val="0"/>
              <w:autoSpaceDE/>
              <w:autoSpaceDN/>
              <w:bidi w:val="0"/>
              <w:adjustRightInd/>
              <w:snapToGrid/>
              <w:spacing w:line="240" w:lineRule="exact"/>
              <w:ind w:firstLine="360" w:firstLineChars="200"/>
              <w:textAlignment w:val="auto"/>
              <w:rPr>
                <w:rFonts w:ascii="宋体" w:hAnsi="宋体" w:cs="宋体"/>
                <w:sz w:val="18"/>
                <w:szCs w:val="18"/>
              </w:rPr>
            </w:pPr>
            <w:r>
              <w:rPr>
                <w:rFonts w:hint="eastAsia" w:ascii="宋体" w:hAnsi="宋体" w:cs="宋体"/>
                <w:sz w:val="18"/>
                <w:szCs w:val="18"/>
              </w:rPr>
              <w:t>1.是否将符合条件困难群众全部纳入低保、特困、孤儿、事实无人抚养儿童保障范围，是否及时给予临时救助；</w:t>
            </w:r>
          </w:p>
          <w:p w14:paraId="2CDC8199">
            <w:pPr>
              <w:keepNext w:val="0"/>
              <w:keepLines w:val="0"/>
              <w:pageBreakBefore w:val="0"/>
              <w:widowControl w:val="0"/>
              <w:kinsoku/>
              <w:wordWrap/>
              <w:overflowPunct/>
              <w:topLinePunct w:val="0"/>
              <w:autoSpaceDE/>
              <w:autoSpaceDN/>
              <w:bidi w:val="0"/>
              <w:adjustRightInd/>
              <w:snapToGrid/>
              <w:spacing w:line="240" w:lineRule="exact"/>
              <w:ind w:firstLine="360" w:firstLineChars="200"/>
              <w:textAlignment w:val="auto"/>
              <w:rPr>
                <w:rFonts w:ascii="宋体" w:hAnsi="宋体" w:cs="宋体"/>
                <w:sz w:val="18"/>
                <w:szCs w:val="18"/>
              </w:rPr>
            </w:pPr>
            <w:r>
              <w:rPr>
                <w:rFonts w:hint="eastAsia" w:ascii="宋体" w:hAnsi="宋体" w:cs="宋体"/>
                <w:sz w:val="18"/>
                <w:szCs w:val="18"/>
              </w:rPr>
              <w:t>2.低收入家庭中的重病人员是否参照“单人户”全部纳入低保。</w:t>
            </w:r>
          </w:p>
        </w:tc>
        <w:tc>
          <w:tcPr>
            <w:tcW w:w="2280" w:type="dxa"/>
            <w:vMerge w:val="continue"/>
            <w:vAlign w:val="center"/>
          </w:tcPr>
          <w:p w14:paraId="7C1B847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c>
          <w:tcPr>
            <w:tcW w:w="2010" w:type="dxa"/>
            <w:vMerge w:val="continue"/>
            <w:vAlign w:val="center"/>
          </w:tcPr>
          <w:p w14:paraId="470D115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c>
          <w:tcPr>
            <w:tcW w:w="3510" w:type="dxa"/>
            <w:vMerge w:val="continue"/>
            <w:vAlign w:val="center"/>
          </w:tcPr>
          <w:p w14:paraId="3741F7E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c>
          <w:tcPr>
            <w:tcW w:w="1105" w:type="dxa"/>
            <w:vMerge w:val="continue"/>
            <w:vAlign w:val="center"/>
          </w:tcPr>
          <w:p w14:paraId="076A888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r>
      <w:tr w14:paraId="18A04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jc w:val="center"/>
        </w:trPr>
        <w:tc>
          <w:tcPr>
            <w:tcW w:w="689" w:type="dxa"/>
            <w:vAlign w:val="center"/>
          </w:tcPr>
          <w:p w14:paraId="4992BC5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kern w:val="2"/>
                <w:sz w:val="18"/>
                <w:szCs w:val="18"/>
                <w:lang w:val="en-US" w:eastAsia="zh-CN" w:bidi="ar-SA"/>
              </w:rPr>
            </w:pPr>
            <w:r>
              <w:rPr>
                <w:rFonts w:hint="eastAsia" w:ascii="宋体" w:hAnsi="宋体" w:cs="宋体"/>
                <w:b/>
                <w:bCs/>
                <w:sz w:val="18"/>
                <w:szCs w:val="18"/>
              </w:rPr>
              <w:t>3</w:t>
            </w:r>
          </w:p>
        </w:tc>
        <w:tc>
          <w:tcPr>
            <w:tcW w:w="1395" w:type="dxa"/>
            <w:vAlign w:val="center"/>
          </w:tcPr>
          <w:p w14:paraId="29A399AC">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kern w:val="2"/>
                <w:sz w:val="18"/>
                <w:szCs w:val="18"/>
                <w:lang w:val="en-US" w:eastAsia="zh-CN" w:bidi="ar-SA"/>
              </w:rPr>
            </w:pPr>
            <w:r>
              <w:rPr>
                <w:rFonts w:hint="eastAsia" w:ascii="宋体" w:hAnsi="宋体" w:cs="宋体"/>
                <w:sz w:val="18"/>
                <w:szCs w:val="18"/>
              </w:rPr>
              <w:t>2020年以来新增的未纳入低保（特困）保障的重度残疾人（含智力、精神三级残疾）对象</w:t>
            </w:r>
          </w:p>
        </w:tc>
        <w:tc>
          <w:tcPr>
            <w:tcW w:w="4620" w:type="dxa"/>
            <w:vAlign w:val="center"/>
          </w:tcPr>
          <w:p w14:paraId="639949A3">
            <w:pPr>
              <w:keepNext w:val="0"/>
              <w:keepLines w:val="0"/>
              <w:pageBreakBefore w:val="0"/>
              <w:widowControl w:val="0"/>
              <w:kinsoku/>
              <w:wordWrap/>
              <w:overflowPunct/>
              <w:topLinePunct w:val="0"/>
              <w:autoSpaceDE/>
              <w:autoSpaceDN/>
              <w:bidi w:val="0"/>
              <w:adjustRightInd/>
              <w:snapToGrid/>
              <w:spacing w:line="240" w:lineRule="exact"/>
              <w:ind w:firstLine="360" w:firstLineChars="200"/>
              <w:textAlignment w:val="auto"/>
              <w:rPr>
                <w:rFonts w:ascii="宋体" w:hAnsi="宋体" w:cs="宋体"/>
                <w:sz w:val="18"/>
                <w:szCs w:val="18"/>
              </w:rPr>
            </w:pPr>
            <w:r>
              <w:rPr>
                <w:rFonts w:hint="eastAsia" w:ascii="宋体" w:hAnsi="宋体" w:cs="宋体"/>
                <w:sz w:val="18"/>
                <w:szCs w:val="18"/>
              </w:rPr>
              <w:t>1.是否将符合条件困难群众全部纳入低保、特困、孤儿、事实无人抚养儿童保障范围，是否及时给予临时救助；</w:t>
            </w:r>
          </w:p>
          <w:p w14:paraId="58FFA38A">
            <w:pPr>
              <w:keepNext w:val="0"/>
              <w:keepLines w:val="0"/>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kern w:val="2"/>
                <w:sz w:val="18"/>
                <w:szCs w:val="18"/>
                <w:lang w:val="en-US" w:eastAsia="zh-CN" w:bidi="ar-SA"/>
              </w:rPr>
            </w:pPr>
            <w:r>
              <w:rPr>
                <w:rFonts w:hint="eastAsia" w:ascii="宋体" w:hAnsi="宋体" w:cs="宋体"/>
                <w:sz w:val="18"/>
                <w:szCs w:val="18"/>
              </w:rPr>
              <w:t>2.低收入家庭中的重度残疾人（含智力、精神三级残疾）是否参照“单人户”全部纳入低保。</w:t>
            </w:r>
          </w:p>
        </w:tc>
        <w:tc>
          <w:tcPr>
            <w:tcW w:w="2280" w:type="dxa"/>
            <w:vMerge w:val="continue"/>
            <w:vAlign w:val="center"/>
          </w:tcPr>
          <w:p w14:paraId="78B8AB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c>
          <w:tcPr>
            <w:tcW w:w="2010" w:type="dxa"/>
            <w:vMerge w:val="continue"/>
            <w:vAlign w:val="center"/>
          </w:tcPr>
          <w:p w14:paraId="2E0541E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c>
          <w:tcPr>
            <w:tcW w:w="3510" w:type="dxa"/>
            <w:vMerge w:val="continue"/>
            <w:vAlign w:val="center"/>
          </w:tcPr>
          <w:p w14:paraId="6095B90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c>
          <w:tcPr>
            <w:tcW w:w="1105" w:type="dxa"/>
            <w:vMerge w:val="continue"/>
            <w:vAlign w:val="center"/>
          </w:tcPr>
          <w:p w14:paraId="4D7C483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r>
      <w:tr w14:paraId="22AD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89" w:type="dxa"/>
            <w:vAlign w:val="center"/>
          </w:tcPr>
          <w:p w14:paraId="06C4692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kern w:val="2"/>
                <w:sz w:val="18"/>
                <w:szCs w:val="18"/>
                <w:lang w:val="en-US" w:eastAsia="zh-CN" w:bidi="ar-SA"/>
              </w:rPr>
            </w:pPr>
            <w:r>
              <w:rPr>
                <w:rFonts w:hint="eastAsia" w:ascii="宋体" w:hAnsi="宋体" w:cs="宋体"/>
                <w:b/>
                <w:bCs/>
                <w:sz w:val="18"/>
                <w:szCs w:val="18"/>
              </w:rPr>
              <w:t>4</w:t>
            </w:r>
          </w:p>
        </w:tc>
        <w:tc>
          <w:tcPr>
            <w:tcW w:w="1395" w:type="dxa"/>
            <w:vAlign w:val="center"/>
          </w:tcPr>
          <w:p w14:paraId="409FCF9C">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kern w:val="2"/>
                <w:sz w:val="18"/>
                <w:szCs w:val="18"/>
                <w:lang w:val="en-US" w:eastAsia="zh-CN" w:bidi="ar-SA"/>
              </w:rPr>
            </w:pPr>
            <w:r>
              <w:rPr>
                <w:rFonts w:hint="eastAsia" w:ascii="宋体" w:hAnsi="宋体" w:cs="宋体"/>
                <w:sz w:val="18"/>
                <w:szCs w:val="18"/>
              </w:rPr>
              <w:t>2020年以来的社会救助诉求类信访对象</w:t>
            </w:r>
          </w:p>
        </w:tc>
        <w:tc>
          <w:tcPr>
            <w:tcW w:w="4620" w:type="dxa"/>
            <w:vMerge w:val="restart"/>
            <w:vAlign w:val="center"/>
          </w:tcPr>
          <w:p w14:paraId="6D788DB4">
            <w:pPr>
              <w:keepNext w:val="0"/>
              <w:keepLines w:val="0"/>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kern w:val="2"/>
                <w:sz w:val="18"/>
                <w:szCs w:val="18"/>
                <w:lang w:val="en-US" w:eastAsia="zh-CN" w:bidi="ar-SA"/>
              </w:rPr>
            </w:pPr>
            <w:r>
              <w:rPr>
                <w:rFonts w:hint="eastAsia" w:ascii="宋体" w:hAnsi="宋体" w:cs="宋体"/>
                <w:sz w:val="18"/>
                <w:szCs w:val="18"/>
              </w:rPr>
              <w:t>是否按规定给予办理，是否将符合条件的困难群众纳入社会救助保障范围，及时有效解决群众合理诉求。</w:t>
            </w:r>
          </w:p>
        </w:tc>
        <w:tc>
          <w:tcPr>
            <w:tcW w:w="2280" w:type="dxa"/>
            <w:vMerge w:val="continue"/>
            <w:vAlign w:val="center"/>
          </w:tcPr>
          <w:p w14:paraId="4B24E65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c>
          <w:tcPr>
            <w:tcW w:w="2010" w:type="dxa"/>
            <w:vMerge w:val="continue"/>
            <w:vAlign w:val="center"/>
          </w:tcPr>
          <w:p w14:paraId="06545D3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c>
          <w:tcPr>
            <w:tcW w:w="3510" w:type="dxa"/>
            <w:vMerge w:val="continue"/>
            <w:vAlign w:val="center"/>
          </w:tcPr>
          <w:p w14:paraId="72BE879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c>
          <w:tcPr>
            <w:tcW w:w="1105" w:type="dxa"/>
            <w:vMerge w:val="continue"/>
            <w:vAlign w:val="center"/>
          </w:tcPr>
          <w:p w14:paraId="4C6614C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r>
      <w:tr w14:paraId="61D26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689" w:type="dxa"/>
            <w:vAlign w:val="center"/>
          </w:tcPr>
          <w:p w14:paraId="3FF56C4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kern w:val="2"/>
                <w:sz w:val="18"/>
                <w:szCs w:val="18"/>
                <w:lang w:val="en-US" w:eastAsia="zh-CN" w:bidi="ar-SA"/>
              </w:rPr>
            </w:pPr>
            <w:r>
              <w:rPr>
                <w:rFonts w:hint="eastAsia" w:ascii="宋体" w:hAnsi="宋体" w:cs="宋体"/>
                <w:b/>
                <w:bCs/>
                <w:sz w:val="18"/>
                <w:szCs w:val="18"/>
              </w:rPr>
              <w:t>5</w:t>
            </w:r>
          </w:p>
        </w:tc>
        <w:tc>
          <w:tcPr>
            <w:tcW w:w="1395" w:type="dxa"/>
            <w:vAlign w:val="center"/>
          </w:tcPr>
          <w:p w14:paraId="5F4B261E">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kern w:val="2"/>
                <w:sz w:val="18"/>
                <w:szCs w:val="18"/>
                <w:lang w:val="en-US" w:eastAsia="zh-CN" w:bidi="ar-SA"/>
              </w:rPr>
            </w:pPr>
            <w:r>
              <w:rPr>
                <w:rFonts w:hint="eastAsia" w:ascii="宋体" w:hAnsi="宋体" w:cs="宋体"/>
                <w:sz w:val="18"/>
                <w:szCs w:val="18"/>
              </w:rPr>
              <w:t>12345诉求件、12349热线求助诉求类对象</w:t>
            </w:r>
          </w:p>
        </w:tc>
        <w:tc>
          <w:tcPr>
            <w:tcW w:w="4620" w:type="dxa"/>
            <w:vMerge w:val="continue"/>
            <w:vAlign w:val="center"/>
          </w:tcPr>
          <w:p w14:paraId="68CBB391">
            <w:pPr>
              <w:keepNext w:val="0"/>
              <w:keepLines w:val="0"/>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cs="宋体"/>
                <w:sz w:val="18"/>
                <w:szCs w:val="18"/>
              </w:rPr>
            </w:pPr>
          </w:p>
        </w:tc>
        <w:tc>
          <w:tcPr>
            <w:tcW w:w="2280" w:type="dxa"/>
            <w:vMerge w:val="continue"/>
            <w:vAlign w:val="center"/>
          </w:tcPr>
          <w:p w14:paraId="37FDFD5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c>
          <w:tcPr>
            <w:tcW w:w="2010" w:type="dxa"/>
            <w:vMerge w:val="continue"/>
            <w:vAlign w:val="center"/>
          </w:tcPr>
          <w:p w14:paraId="150A618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c>
          <w:tcPr>
            <w:tcW w:w="3510" w:type="dxa"/>
            <w:vMerge w:val="continue"/>
            <w:vAlign w:val="center"/>
          </w:tcPr>
          <w:p w14:paraId="671EDD8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c>
          <w:tcPr>
            <w:tcW w:w="1105" w:type="dxa"/>
            <w:vMerge w:val="continue"/>
            <w:vAlign w:val="center"/>
          </w:tcPr>
          <w:p w14:paraId="6643979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r>
      <w:tr w14:paraId="415C6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689" w:type="dxa"/>
            <w:vAlign w:val="center"/>
          </w:tcPr>
          <w:p w14:paraId="3B661A9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kern w:val="2"/>
                <w:sz w:val="18"/>
                <w:szCs w:val="18"/>
                <w:lang w:val="en-US" w:eastAsia="zh-CN" w:bidi="ar-SA"/>
              </w:rPr>
            </w:pPr>
            <w:r>
              <w:rPr>
                <w:rFonts w:hint="eastAsia" w:ascii="宋体" w:hAnsi="宋体" w:cs="宋体"/>
                <w:b/>
                <w:bCs/>
                <w:sz w:val="18"/>
                <w:szCs w:val="18"/>
              </w:rPr>
              <w:t>6</w:t>
            </w:r>
          </w:p>
        </w:tc>
        <w:tc>
          <w:tcPr>
            <w:tcW w:w="1395" w:type="dxa"/>
            <w:vAlign w:val="center"/>
          </w:tcPr>
          <w:p w14:paraId="4BA7FEA1">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kern w:val="2"/>
                <w:sz w:val="18"/>
                <w:szCs w:val="18"/>
                <w:lang w:val="en-US" w:eastAsia="zh-CN" w:bidi="ar-SA"/>
              </w:rPr>
            </w:pPr>
            <w:r>
              <w:rPr>
                <w:rFonts w:hint="eastAsia" w:ascii="宋体" w:hAnsi="宋体" w:cs="宋体"/>
                <w:sz w:val="18"/>
                <w:szCs w:val="18"/>
              </w:rPr>
              <w:t>登记失业人员</w:t>
            </w:r>
          </w:p>
        </w:tc>
        <w:tc>
          <w:tcPr>
            <w:tcW w:w="4620" w:type="dxa"/>
            <w:vAlign w:val="center"/>
          </w:tcPr>
          <w:p w14:paraId="2196F456">
            <w:pPr>
              <w:keepNext w:val="0"/>
              <w:keepLines w:val="0"/>
              <w:pageBreakBefore w:val="0"/>
              <w:widowControl w:val="0"/>
              <w:kinsoku/>
              <w:wordWrap/>
              <w:overflowPunct/>
              <w:topLinePunct w:val="0"/>
              <w:autoSpaceDE/>
              <w:autoSpaceDN/>
              <w:bidi w:val="0"/>
              <w:adjustRightInd/>
              <w:snapToGrid/>
              <w:spacing w:line="240" w:lineRule="exact"/>
              <w:ind w:firstLine="360" w:firstLineChars="200"/>
              <w:textAlignment w:val="auto"/>
              <w:rPr>
                <w:rFonts w:ascii="宋体" w:hAnsi="宋体" w:cs="宋体"/>
                <w:sz w:val="18"/>
                <w:szCs w:val="18"/>
              </w:rPr>
            </w:pPr>
            <w:r>
              <w:rPr>
                <w:rFonts w:hint="eastAsia" w:ascii="宋体" w:hAnsi="宋体" w:cs="宋体"/>
                <w:sz w:val="18"/>
                <w:szCs w:val="18"/>
              </w:rPr>
              <w:t>1.是否将符合条件的困难群众全部纳入低保；</w:t>
            </w:r>
          </w:p>
          <w:p w14:paraId="1EB770BB">
            <w:pPr>
              <w:keepNext w:val="0"/>
              <w:keepLines w:val="0"/>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kern w:val="2"/>
                <w:sz w:val="18"/>
                <w:szCs w:val="18"/>
                <w:lang w:val="en-US" w:eastAsia="zh-CN" w:bidi="ar-SA"/>
              </w:rPr>
            </w:pPr>
            <w:r>
              <w:rPr>
                <w:rFonts w:hint="eastAsia" w:ascii="宋体" w:hAnsi="宋体" w:cs="宋体"/>
                <w:sz w:val="18"/>
                <w:szCs w:val="18"/>
              </w:rPr>
              <w:t>2.对符合条件的未参保失业人员是否发放一次性临时救助金。</w:t>
            </w:r>
          </w:p>
        </w:tc>
        <w:tc>
          <w:tcPr>
            <w:tcW w:w="2280" w:type="dxa"/>
            <w:vMerge w:val="continue"/>
            <w:vAlign w:val="center"/>
          </w:tcPr>
          <w:p w14:paraId="66C847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c>
          <w:tcPr>
            <w:tcW w:w="2010" w:type="dxa"/>
            <w:vMerge w:val="continue"/>
            <w:vAlign w:val="center"/>
          </w:tcPr>
          <w:p w14:paraId="76CE7B6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c>
          <w:tcPr>
            <w:tcW w:w="3510" w:type="dxa"/>
            <w:vMerge w:val="continue"/>
            <w:vAlign w:val="center"/>
          </w:tcPr>
          <w:p w14:paraId="49EB89A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c>
          <w:tcPr>
            <w:tcW w:w="1105" w:type="dxa"/>
            <w:vMerge w:val="continue"/>
            <w:vAlign w:val="center"/>
          </w:tcPr>
          <w:p w14:paraId="2D67F27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r>
      <w:tr w14:paraId="5B9AD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689" w:type="dxa"/>
            <w:vAlign w:val="center"/>
          </w:tcPr>
          <w:p w14:paraId="5D6F0C3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kern w:val="2"/>
                <w:sz w:val="18"/>
                <w:szCs w:val="18"/>
                <w:lang w:val="en-US" w:eastAsia="zh-CN" w:bidi="ar-SA"/>
              </w:rPr>
            </w:pPr>
            <w:r>
              <w:rPr>
                <w:rFonts w:hint="eastAsia" w:ascii="宋体" w:hAnsi="宋体" w:cs="宋体"/>
                <w:b/>
                <w:bCs/>
                <w:sz w:val="18"/>
                <w:szCs w:val="18"/>
              </w:rPr>
              <w:t>7</w:t>
            </w:r>
          </w:p>
        </w:tc>
        <w:tc>
          <w:tcPr>
            <w:tcW w:w="1395" w:type="dxa"/>
            <w:vAlign w:val="center"/>
          </w:tcPr>
          <w:p w14:paraId="3962A34B">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kern w:val="2"/>
                <w:sz w:val="18"/>
                <w:szCs w:val="18"/>
                <w:lang w:val="en-US" w:eastAsia="zh-CN" w:bidi="ar-SA"/>
              </w:rPr>
            </w:pPr>
            <w:r>
              <w:rPr>
                <w:rFonts w:hint="eastAsia" w:ascii="宋体" w:hAnsi="宋体" w:cs="宋体"/>
                <w:sz w:val="18"/>
                <w:szCs w:val="18"/>
              </w:rPr>
              <w:t>因新冠肺炎疫情或自然灾害导致基本生活出现严重困难对象</w:t>
            </w:r>
          </w:p>
        </w:tc>
        <w:tc>
          <w:tcPr>
            <w:tcW w:w="4620" w:type="dxa"/>
            <w:vAlign w:val="center"/>
          </w:tcPr>
          <w:p w14:paraId="152FB3BE">
            <w:pPr>
              <w:keepNext w:val="0"/>
              <w:keepLines w:val="0"/>
              <w:pageBreakBefore w:val="0"/>
              <w:widowControl w:val="0"/>
              <w:kinsoku/>
              <w:wordWrap/>
              <w:overflowPunct/>
              <w:topLinePunct w:val="0"/>
              <w:autoSpaceDE/>
              <w:autoSpaceDN/>
              <w:bidi w:val="0"/>
              <w:adjustRightInd/>
              <w:snapToGrid/>
              <w:spacing w:line="240" w:lineRule="exact"/>
              <w:ind w:firstLine="360" w:firstLineChars="200"/>
              <w:textAlignment w:val="auto"/>
              <w:rPr>
                <w:rFonts w:ascii="宋体" w:hAnsi="宋体" w:cs="宋体"/>
                <w:sz w:val="18"/>
                <w:szCs w:val="18"/>
              </w:rPr>
            </w:pPr>
            <w:r>
              <w:rPr>
                <w:rFonts w:hint="eastAsia" w:ascii="宋体" w:hAnsi="宋体" w:cs="宋体"/>
                <w:sz w:val="18"/>
                <w:szCs w:val="18"/>
              </w:rPr>
              <w:t>1.是否将符合条件困难群众全部纳入低保、特困、孤儿、事实无人抚养儿童保障范围，是否及时给予临时救助；</w:t>
            </w:r>
          </w:p>
          <w:p w14:paraId="7D725A83">
            <w:pPr>
              <w:keepNext w:val="0"/>
              <w:keepLines w:val="0"/>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kern w:val="2"/>
                <w:sz w:val="18"/>
                <w:szCs w:val="18"/>
                <w:lang w:val="en-US" w:eastAsia="zh-CN" w:bidi="ar-SA"/>
              </w:rPr>
            </w:pPr>
            <w:r>
              <w:rPr>
                <w:rFonts w:hint="eastAsia" w:ascii="宋体" w:hAnsi="宋体" w:cs="宋体"/>
                <w:sz w:val="18"/>
                <w:szCs w:val="18"/>
              </w:rPr>
              <w:t>2.低收入家庭中的重度残疾人（含智力、精神三级残疾）、重病人员是否参照“单人户”全部纳入低保。</w:t>
            </w:r>
          </w:p>
        </w:tc>
        <w:tc>
          <w:tcPr>
            <w:tcW w:w="2280" w:type="dxa"/>
            <w:vMerge w:val="continue"/>
            <w:vAlign w:val="center"/>
          </w:tcPr>
          <w:p w14:paraId="0ADC060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c>
          <w:tcPr>
            <w:tcW w:w="2010" w:type="dxa"/>
            <w:vMerge w:val="continue"/>
            <w:vAlign w:val="center"/>
          </w:tcPr>
          <w:p w14:paraId="32A0718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c>
          <w:tcPr>
            <w:tcW w:w="3510" w:type="dxa"/>
            <w:vMerge w:val="continue"/>
            <w:vAlign w:val="center"/>
          </w:tcPr>
          <w:p w14:paraId="3F17DFD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c>
          <w:tcPr>
            <w:tcW w:w="1105" w:type="dxa"/>
            <w:vMerge w:val="continue"/>
            <w:vAlign w:val="center"/>
          </w:tcPr>
          <w:p w14:paraId="3174CD3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r>
      <w:tr w14:paraId="4458E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689" w:type="dxa"/>
            <w:vAlign w:val="center"/>
          </w:tcPr>
          <w:p w14:paraId="5360B65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kern w:val="2"/>
                <w:sz w:val="18"/>
                <w:szCs w:val="18"/>
                <w:lang w:val="en-US" w:eastAsia="zh-CN" w:bidi="ar-SA"/>
              </w:rPr>
            </w:pPr>
            <w:r>
              <w:rPr>
                <w:rFonts w:hint="eastAsia" w:ascii="宋体" w:hAnsi="宋体" w:cs="宋体"/>
                <w:b/>
                <w:bCs/>
                <w:sz w:val="18"/>
                <w:szCs w:val="18"/>
              </w:rPr>
              <w:t>8</w:t>
            </w:r>
          </w:p>
        </w:tc>
        <w:tc>
          <w:tcPr>
            <w:tcW w:w="1395" w:type="dxa"/>
            <w:vAlign w:val="center"/>
          </w:tcPr>
          <w:p w14:paraId="6A556484">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kern w:val="2"/>
                <w:sz w:val="18"/>
                <w:szCs w:val="18"/>
                <w:lang w:val="en-US" w:eastAsia="zh-CN" w:bidi="ar-SA"/>
              </w:rPr>
            </w:pPr>
            <w:r>
              <w:rPr>
                <w:rFonts w:hint="eastAsia" w:ascii="宋体" w:hAnsi="宋体" w:cs="宋体"/>
                <w:sz w:val="18"/>
                <w:szCs w:val="18"/>
              </w:rPr>
              <w:t>疑似符合孤儿、事实无人抚养儿童条件的对象</w:t>
            </w:r>
          </w:p>
        </w:tc>
        <w:tc>
          <w:tcPr>
            <w:tcW w:w="4620" w:type="dxa"/>
            <w:vAlign w:val="center"/>
          </w:tcPr>
          <w:p w14:paraId="63A4ABA7">
            <w:pPr>
              <w:keepNext w:val="0"/>
              <w:keepLines w:val="0"/>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kern w:val="2"/>
                <w:sz w:val="18"/>
                <w:szCs w:val="18"/>
                <w:lang w:val="en-US" w:eastAsia="zh-CN" w:bidi="ar-SA"/>
              </w:rPr>
            </w:pPr>
            <w:r>
              <w:rPr>
                <w:rFonts w:hint="eastAsia" w:ascii="宋体" w:hAnsi="宋体" w:cs="宋体"/>
                <w:sz w:val="18"/>
                <w:szCs w:val="18"/>
              </w:rPr>
              <w:t>是否将符合条件对象全部纳入孤儿、事实无人抚养儿童保障范围。</w:t>
            </w:r>
          </w:p>
        </w:tc>
        <w:tc>
          <w:tcPr>
            <w:tcW w:w="2280" w:type="dxa"/>
            <w:vMerge w:val="continue"/>
            <w:vAlign w:val="center"/>
          </w:tcPr>
          <w:p w14:paraId="36B8790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c>
          <w:tcPr>
            <w:tcW w:w="2010" w:type="dxa"/>
            <w:vMerge w:val="continue"/>
            <w:vAlign w:val="center"/>
          </w:tcPr>
          <w:p w14:paraId="27D2CE9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c>
          <w:tcPr>
            <w:tcW w:w="3510" w:type="dxa"/>
            <w:vMerge w:val="continue"/>
            <w:vAlign w:val="center"/>
          </w:tcPr>
          <w:p w14:paraId="3F94F91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c>
          <w:tcPr>
            <w:tcW w:w="1105" w:type="dxa"/>
            <w:vMerge w:val="continue"/>
            <w:vAlign w:val="center"/>
          </w:tcPr>
          <w:p w14:paraId="2BABFAB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 w:val="18"/>
                <w:szCs w:val="18"/>
              </w:rPr>
            </w:pPr>
          </w:p>
        </w:tc>
      </w:tr>
    </w:tbl>
    <w:p w14:paraId="030444F9">
      <w:pPr>
        <w:rPr>
          <w:rFonts w:ascii="仿宋_GB2312" w:hAnsi="宋体" w:eastAsia="仿宋_GB2312"/>
          <w:sz w:val="32"/>
        </w:rPr>
      </w:pPr>
    </w:p>
    <w:sectPr>
      <w:pgSz w:w="16838" w:h="11906" w:orient="landscape"/>
      <w:pgMar w:top="567" w:right="567" w:bottom="567" w:left="567" w:header="851" w:footer="992" w:gutter="0"/>
      <w:cols w:space="0" w:num="1"/>
      <w:rtlGutter w:val="0"/>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33A0B">
    <w:pPr>
      <w:pStyle w:val="6"/>
    </w:pPr>
    <w:r>
      <w:rPr>
        <w:sz w:val="18"/>
      </w:rP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03120C5">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61"/>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22965B3E"/>
    <w:rsid w:val="00003BE5"/>
    <w:rsid w:val="0003306E"/>
    <w:rsid w:val="000972B4"/>
    <w:rsid w:val="000F3DBB"/>
    <w:rsid w:val="00141512"/>
    <w:rsid w:val="00256FD8"/>
    <w:rsid w:val="00362050"/>
    <w:rsid w:val="003E51DF"/>
    <w:rsid w:val="0042305D"/>
    <w:rsid w:val="00442390"/>
    <w:rsid w:val="005108FD"/>
    <w:rsid w:val="005B1794"/>
    <w:rsid w:val="00620B83"/>
    <w:rsid w:val="00804307"/>
    <w:rsid w:val="00A6722D"/>
    <w:rsid w:val="00B518F3"/>
    <w:rsid w:val="00B676EB"/>
    <w:rsid w:val="00CB61A6"/>
    <w:rsid w:val="01B03A52"/>
    <w:rsid w:val="020C79F2"/>
    <w:rsid w:val="026E23F6"/>
    <w:rsid w:val="04E32C96"/>
    <w:rsid w:val="06214530"/>
    <w:rsid w:val="0D89641A"/>
    <w:rsid w:val="0E4231D7"/>
    <w:rsid w:val="0F3F1990"/>
    <w:rsid w:val="10760A23"/>
    <w:rsid w:val="137F7F4A"/>
    <w:rsid w:val="18772157"/>
    <w:rsid w:val="18907CBC"/>
    <w:rsid w:val="1C2B771F"/>
    <w:rsid w:val="1CE82D64"/>
    <w:rsid w:val="1DFF7DB3"/>
    <w:rsid w:val="22597E00"/>
    <w:rsid w:val="22965B3E"/>
    <w:rsid w:val="276C38AA"/>
    <w:rsid w:val="30D06A28"/>
    <w:rsid w:val="30F748AE"/>
    <w:rsid w:val="346D3AD7"/>
    <w:rsid w:val="35387382"/>
    <w:rsid w:val="3A25531A"/>
    <w:rsid w:val="3B486D7C"/>
    <w:rsid w:val="3BE21493"/>
    <w:rsid w:val="3E653ABA"/>
    <w:rsid w:val="3FAF4358"/>
    <w:rsid w:val="40582E31"/>
    <w:rsid w:val="42F23C60"/>
    <w:rsid w:val="4C5E6C03"/>
    <w:rsid w:val="4ED96D60"/>
    <w:rsid w:val="4FE9686C"/>
    <w:rsid w:val="53042F6C"/>
    <w:rsid w:val="53BD63A5"/>
    <w:rsid w:val="55E823FB"/>
    <w:rsid w:val="56895419"/>
    <w:rsid w:val="5908079A"/>
    <w:rsid w:val="5A605F69"/>
    <w:rsid w:val="5AB24769"/>
    <w:rsid w:val="5AC53516"/>
    <w:rsid w:val="5B1A18D4"/>
    <w:rsid w:val="5C0C6C48"/>
    <w:rsid w:val="5C756D78"/>
    <w:rsid w:val="5C7C6A11"/>
    <w:rsid w:val="5EC33A52"/>
    <w:rsid w:val="633D387B"/>
    <w:rsid w:val="63686E09"/>
    <w:rsid w:val="64B0610B"/>
    <w:rsid w:val="66D51D83"/>
    <w:rsid w:val="68A3618B"/>
    <w:rsid w:val="68CF487D"/>
    <w:rsid w:val="6B0A4E9E"/>
    <w:rsid w:val="6BF71FEA"/>
    <w:rsid w:val="6D353E83"/>
    <w:rsid w:val="6D9A629E"/>
    <w:rsid w:val="70E13AAA"/>
    <w:rsid w:val="736158CA"/>
    <w:rsid w:val="78B108AA"/>
    <w:rsid w:val="7CDA6D6F"/>
    <w:rsid w:val="7D8209B2"/>
    <w:rsid w:val="7DE21430"/>
    <w:rsid w:val="7ECC3DCD"/>
    <w:rsid w:val="7F9F1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Verdana" w:hAnsi="Verdana"/>
      <w:szCs w:val="20"/>
    </w:rPr>
  </w:style>
  <w:style w:type="paragraph" w:styleId="3">
    <w:name w:val="Body Text"/>
    <w:basedOn w:val="1"/>
    <w:qFormat/>
    <w:uiPriority w:val="0"/>
    <w:rPr>
      <w:rFonts w:eastAsia="仿宋_GB2312"/>
      <w:sz w:val="32"/>
      <w:szCs w:val="20"/>
    </w:rPr>
  </w:style>
  <w:style w:type="paragraph" w:styleId="4">
    <w:name w:val="Date"/>
    <w:basedOn w:val="1"/>
    <w:next w:val="1"/>
    <w:qFormat/>
    <w:uiPriority w:val="0"/>
    <w:pPr>
      <w:ind w:left="100" w:leftChars="2500"/>
    </w:pPr>
    <w:rPr>
      <w:rFonts w:eastAsia="仿宋_GB2312"/>
      <w:sz w:val="32"/>
    </w:rPr>
  </w:style>
  <w:style w:type="paragraph" w:styleId="5">
    <w:name w:val="Body Text Indent 2"/>
    <w:basedOn w:val="1"/>
    <w:qFormat/>
    <w:uiPriority w:val="0"/>
    <w:pPr>
      <w:tabs>
        <w:tab w:val="left" w:pos="7020"/>
      </w:tabs>
      <w:spacing w:line="400" w:lineRule="exact"/>
      <w:ind w:firstLine="640" w:firstLineChars="200"/>
    </w:pPr>
    <w:rPr>
      <w:rFonts w:ascii="仿宋_GB2312" w:hAnsi="宋体" w:eastAsia="仿宋_GB2312"/>
      <w:sz w:val="32"/>
    </w:rPr>
  </w:style>
  <w:style w:type="paragraph" w:styleId="6">
    <w:name w:val="footer"/>
    <w:basedOn w:val="1"/>
    <w:link w:val="12"/>
    <w:qFormat/>
    <w:uiPriority w:val="0"/>
    <w:pPr>
      <w:tabs>
        <w:tab w:val="center" w:pos="4153"/>
        <w:tab w:val="right" w:pos="8306"/>
      </w:tabs>
      <w:snapToGrid w:val="0"/>
      <w:jc w:val="left"/>
    </w:pPr>
    <w:rPr>
      <w:sz w:val="18"/>
      <w:szCs w:val="18"/>
    </w:rPr>
  </w:style>
  <w:style w:type="paragraph" w:styleId="7">
    <w:name w:val="header"/>
    <w:basedOn w:val="1"/>
    <w:link w:val="11"/>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页眉 Char"/>
    <w:basedOn w:val="10"/>
    <w:link w:val="7"/>
    <w:qFormat/>
    <w:uiPriority w:val="0"/>
    <w:rPr>
      <w:rFonts w:ascii="Times New Roman" w:hAnsi="Times New Roman" w:eastAsia="宋体" w:cs="Times New Roman"/>
      <w:kern w:val="2"/>
      <w:sz w:val="18"/>
      <w:szCs w:val="18"/>
    </w:rPr>
  </w:style>
  <w:style w:type="character" w:customStyle="1" w:styleId="12">
    <w:name w:val="页脚 Char"/>
    <w:basedOn w:val="10"/>
    <w:link w:val="6"/>
    <w:qFormat/>
    <w:uiPriority w:val="0"/>
    <w:rPr>
      <w:rFonts w:ascii="Times New Roman" w:hAnsi="Times New Roman" w:eastAsia="宋体" w:cs="Times New Roman"/>
      <w:kern w:val="2"/>
      <w:sz w:val="18"/>
      <w:szCs w:val="18"/>
    </w:rPr>
  </w:style>
  <w:style w:type="paragraph" w:customStyle="1" w:styleId="13">
    <w:name w:val="0"/>
    <w:basedOn w:val="1"/>
    <w:qFormat/>
    <w:uiPriority w:val="0"/>
    <w:pPr>
      <w:widowControl/>
      <w:snapToGrid w:val="0"/>
      <w:spacing w:line="640" w:lineRule="atLeast"/>
    </w:pPr>
    <w:rPr>
      <w:color w:val="000000"/>
      <w:kern w:val="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3150</Words>
  <Characters>3225</Characters>
  <Lines>31</Lines>
  <Paragraphs>8</Paragraphs>
  <TotalTime>6</TotalTime>
  <ScaleCrop>false</ScaleCrop>
  <LinksUpToDate>false</LinksUpToDate>
  <CharactersWithSpaces>3225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2021-06-02T08:28:00Z</dcterms:created>
  <dc:creator>lzy</dc:creator>
  <cp:lastModifiedBy>邓MM</cp:lastModifiedBy>
  <cp:lastPrinted>2021-06-08T08:04:00Z</cp:lastPrinted>
  <dcterms:modified xsi:type="dcterms:W3CDTF">2026-04-07T04:55:11Z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42C5C3E25A6748DAB5D210C8B4BD0381</vt:lpwstr>
  </property>
  <property fmtid="{D5CDD505-2E9C-101B-9397-08002B2CF9AE}" pid="4" name="KSOTemplateDocerSaveRecord">
    <vt:lpwstr>eyJoZGlkIjoiNzNmYTBiODg5MWIxYWQ4MWRkZWU1ZTM0OWRiNjQ2YWQiLCJ1c2VySWQiOiIxMDI5NTIwMjg3In0=</vt:lpwstr>
  </property>
</Properties>
</file>