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00"/>
        <w:jc w:val="center"/>
        <w:rPr>
          <w:spacing w:val="45"/>
          <w:sz w:val="56"/>
          <w:szCs w:val="56"/>
        </w:rPr>
      </w:pPr>
    </w:p>
    <w:p>
      <w:pPr>
        <w:keepNext w:val="0"/>
        <w:keepLines w:val="0"/>
        <w:pageBreakBefore w:val="0"/>
        <w:kinsoku/>
        <w:wordWrap/>
        <w:overflowPunct/>
        <w:topLinePunct w:val="0"/>
        <w:autoSpaceDE/>
        <w:autoSpaceDN/>
        <w:bidi w:val="0"/>
        <w:ind w:firstLine="0" w:firstLineChars="0"/>
        <w:jc w:val="center"/>
        <w:textAlignment w:val="auto"/>
        <w:rPr>
          <w:b/>
          <w:bCs/>
          <w:sz w:val="56"/>
          <w:szCs w:val="56"/>
        </w:rPr>
      </w:pPr>
      <w:r>
        <w:rPr>
          <w:b/>
          <w:bCs/>
          <w:spacing w:val="45"/>
          <w:sz w:val="56"/>
          <w:szCs w:val="56"/>
        </w:rPr>
        <w:t>建设项目环境影响报告表</w:t>
      </w:r>
    </w:p>
    <w:p>
      <w:pPr>
        <w:keepNext w:val="0"/>
        <w:keepLines w:val="0"/>
        <w:pageBreakBefore w:val="0"/>
        <w:kinsoku/>
        <w:wordWrap/>
        <w:overflowPunct/>
        <w:topLinePunct w:val="0"/>
        <w:autoSpaceDE/>
        <w:autoSpaceDN/>
        <w:bidi w:val="0"/>
        <w:ind w:firstLine="0" w:firstLineChars="0"/>
        <w:jc w:val="center"/>
        <w:textAlignment w:val="auto"/>
        <w:rPr>
          <w:b/>
          <w:bCs/>
          <w:sz w:val="44"/>
          <w:szCs w:val="44"/>
        </w:rPr>
      </w:pPr>
      <w:r>
        <w:rPr>
          <w:b/>
          <w:bCs/>
          <w:sz w:val="44"/>
          <w:szCs w:val="44"/>
        </w:rPr>
        <w:t>（污染影响类）</w:t>
      </w:r>
    </w:p>
    <w:p>
      <w:pPr>
        <w:keepNext w:val="0"/>
        <w:keepLines w:val="0"/>
        <w:pageBreakBefore w:val="0"/>
        <w:tabs>
          <w:tab w:val="left" w:pos="426"/>
          <w:tab w:val="left" w:pos="8505"/>
        </w:tabs>
        <w:kinsoku/>
        <w:wordWrap/>
        <w:overflowPunct/>
        <w:topLinePunct w:val="0"/>
        <w:autoSpaceDE/>
        <w:autoSpaceDN/>
        <w:bidi w:val="0"/>
        <w:spacing w:line="480" w:lineRule="auto"/>
        <w:ind w:firstLine="0" w:firstLineChars="0"/>
        <w:jc w:val="center"/>
        <w:textAlignment w:val="auto"/>
      </w:pPr>
    </w:p>
    <w:p>
      <w:pPr>
        <w:keepNext w:val="0"/>
        <w:keepLines w:val="0"/>
        <w:pageBreakBefore w:val="0"/>
        <w:kinsoku/>
        <w:wordWrap/>
        <w:overflowPunct/>
        <w:topLinePunct w:val="0"/>
        <w:autoSpaceDE/>
        <w:autoSpaceDN/>
        <w:bidi w:val="0"/>
        <w:spacing w:line="480" w:lineRule="auto"/>
        <w:ind w:firstLine="0" w:firstLineChars="0"/>
        <w:jc w:val="center"/>
        <w:textAlignment w:val="auto"/>
      </w:pPr>
    </w:p>
    <w:p>
      <w:pPr>
        <w:pStyle w:val="21"/>
        <w:keepNext w:val="0"/>
        <w:keepLines w:val="0"/>
        <w:pageBreakBefore w:val="0"/>
        <w:kinsoku/>
        <w:wordWrap/>
        <w:overflowPunct/>
        <w:topLinePunct w:val="0"/>
        <w:autoSpaceDE/>
        <w:autoSpaceDN/>
        <w:bidi w:val="0"/>
        <w:ind w:left="480" w:firstLine="0" w:firstLineChars="0"/>
        <w:jc w:val="center"/>
        <w:textAlignment w:val="auto"/>
      </w:pPr>
      <w:r>
        <w:drawing>
          <wp:anchor distT="0" distB="0" distL="114300" distR="114300" simplePos="0" relativeHeight="251679744" behindDoc="0" locked="0" layoutInCell="1" allowOverlap="1">
            <wp:simplePos x="0" y="0"/>
            <wp:positionH relativeFrom="column">
              <wp:posOffset>-240030</wp:posOffset>
            </wp:positionH>
            <wp:positionV relativeFrom="paragraph">
              <wp:posOffset>-2520950</wp:posOffset>
            </wp:positionV>
            <wp:extent cx="6097905" cy="8590915"/>
            <wp:effectExtent l="0" t="0" r="17145" b="635"/>
            <wp:wrapNone/>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16"/>
                    <a:stretch>
                      <a:fillRect/>
                    </a:stretch>
                  </pic:blipFill>
                  <pic:spPr>
                    <a:xfrm>
                      <a:off x="0" y="0"/>
                      <a:ext cx="6097905" cy="8590915"/>
                    </a:xfrm>
                    <a:prstGeom prst="rect">
                      <a:avLst/>
                    </a:prstGeom>
                    <a:noFill/>
                    <a:ln>
                      <a:noFill/>
                    </a:ln>
                  </pic:spPr>
                </pic:pic>
              </a:graphicData>
            </a:graphic>
          </wp:anchor>
        </w:drawing>
      </w:r>
    </w:p>
    <w:p>
      <w:pPr>
        <w:keepNext w:val="0"/>
        <w:keepLines w:val="0"/>
        <w:pageBreakBefore w:val="0"/>
        <w:tabs>
          <w:tab w:val="left" w:pos="426"/>
          <w:tab w:val="left" w:pos="8364"/>
        </w:tabs>
        <w:kinsoku/>
        <w:wordWrap/>
        <w:overflowPunct/>
        <w:topLinePunct w:val="0"/>
        <w:autoSpaceDE/>
        <w:autoSpaceDN/>
        <w:bidi w:val="0"/>
        <w:spacing w:line="480" w:lineRule="auto"/>
        <w:ind w:firstLine="0" w:firstLineChars="0"/>
        <w:jc w:val="center"/>
        <w:textAlignment w:val="auto"/>
      </w:pPr>
    </w:p>
    <w:p>
      <w:pPr>
        <w:keepNext w:val="0"/>
        <w:keepLines w:val="0"/>
        <w:pageBreakBefore w:val="0"/>
        <w:tabs>
          <w:tab w:val="left" w:pos="426"/>
          <w:tab w:val="left" w:pos="8364"/>
        </w:tabs>
        <w:kinsoku/>
        <w:wordWrap/>
        <w:overflowPunct/>
        <w:topLinePunct w:val="0"/>
        <w:autoSpaceDE/>
        <w:autoSpaceDN/>
        <w:bidi w:val="0"/>
        <w:spacing w:line="480" w:lineRule="auto"/>
        <w:ind w:firstLine="0" w:firstLineChars="0"/>
        <w:jc w:val="center"/>
        <w:textAlignment w:val="auto"/>
      </w:pPr>
    </w:p>
    <w:p>
      <w:pPr>
        <w:keepNext w:val="0"/>
        <w:keepLines w:val="0"/>
        <w:pageBreakBefore w:val="0"/>
        <w:tabs>
          <w:tab w:val="left" w:pos="426"/>
          <w:tab w:val="left" w:pos="8364"/>
        </w:tabs>
        <w:kinsoku/>
        <w:wordWrap/>
        <w:overflowPunct/>
        <w:topLinePunct w:val="0"/>
        <w:autoSpaceDE/>
        <w:autoSpaceDN/>
        <w:bidi w:val="0"/>
        <w:spacing w:line="480" w:lineRule="auto"/>
        <w:ind w:firstLine="0" w:firstLineChars="0"/>
        <w:jc w:val="center"/>
        <w:textAlignment w:val="auto"/>
      </w:pPr>
    </w:p>
    <w:p>
      <w:pPr>
        <w:keepNext w:val="0"/>
        <w:keepLines w:val="0"/>
        <w:pageBreakBefore w:val="0"/>
        <w:tabs>
          <w:tab w:val="left" w:pos="426"/>
          <w:tab w:val="left" w:pos="8364"/>
        </w:tabs>
        <w:kinsoku/>
        <w:wordWrap/>
        <w:overflowPunct/>
        <w:topLinePunct w:val="0"/>
        <w:autoSpaceDE/>
        <w:autoSpaceDN/>
        <w:bidi w:val="0"/>
        <w:spacing w:line="480" w:lineRule="auto"/>
        <w:ind w:firstLine="0" w:firstLineChars="0"/>
        <w:jc w:val="center"/>
        <w:textAlignment w:val="auto"/>
      </w:pPr>
    </w:p>
    <w:tbl>
      <w:tblPr>
        <w:tblStyle w:val="36"/>
        <w:tblW w:w="0" w:type="auto"/>
        <w:jc w:val="center"/>
        <w:tblLayout w:type="fixed"/>
        <w:tblCellMar>
          <w:top w:w="0" w:type="dxa"/>
          <w:left w:w="108" w:type="dxa"/>
          <w:bottom w:w="0" w:type="dxa"/>
          <w:right w:w="108" w:type="dxa"/>
        </w:tblCellMar>
      </w:tblPr>
      <w:tblGrid>
        <w:gridCol w:w="2364"/>
        <w:gridCol w:w="6575"/>
      </w:tblGrid>
      <w:tr>
        <w:tblPrEx>
          <w:tblCellMar>
            <w:top w:w="0" w:type="dxa"/>
            <w:left w:w="108" w:type="dxa"/>
            <w:bottom w:w="0" w:type="dxa"/>
            <w:right w:w="108" w:type="dxa"/>
          </w:tblCellMar>
        </w:tblPrEx>
        <w:trPr>
          <w:trHeight w:val="1067" w:hRule="atLeast"/>
          <w:jc w:val="center"/>
        </w:trPr>
        <w:tc>
          <w:tcPr>
            <w:tcW w:w="2364" w:type="dxa"/>
            <w:tcBorders>
              <w:right w:val="nil"/>
            </w:tcBorders>
            <w:vAlign w:val="bottom"/>
          </w:tcPr>
          <w:p>
            <w:pPr>
              <w:pStyle w:val="176"/>
              <w:keepNext w:val="0"/>
              <w:keepLines w:val="0"/>
              <w:pageBreakBefore w:val="0"/>
              <w:kinsoku/>
              <w:wordWrap/>
              <w:overflowPunct/>
              <w:topLinePunct w:val="0"/>
              <w:autoSpaceDE/>
              <w:autoSpaceDN/>
              <w:bidi w:val="0"/>
              <w:ind w:firstLine="0" w:firstLineChars="0"/>
              <w:jc w:val="center"/>
              <w:textAlignment w:val="auto"/>
              <w:rPr>
                <w:rFonts w:hint="default"/>
                <w:color w:val="auto"/>
                <w:sz w:val="30"/>
                <w:szCs w:val="30"/>
              </w:rPr>
            </w:pPr>
            <w:r>
              <w:rPr>
                <w:rFonts w:hint="default"/>
                <w:color w:val="auto"/>
                <w:sz w:val="30"/>
                <w:szCs w:val="30"/>
              </w:rPr>
              <w:t>项  目  名  称</w:t>
            </w:r>
          </w:p>
        </w:tc>
        <w:tc>
          <w:tcPr>
            <w:tcW w:w="6575" w:type="dxa"/>
            <w:tcBorders>
              <w:top w:val="nil"/>
              <w:left w:val="nil"/>
              <w:bottom w:val="single" w:color="auto" w:sz="4" w:space="0"/>
              <w:right w:val="nil"/>
            </w:tcBorders>
            <w:vAlign w:val="bottom"/>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30"/>
                <w:szCs w:val="30"/>
              </w:rPr>
            </w:pPr>
            <w:r>
              <w:rPr>
                <w:rFonts w:hint="eastAsia"/>
                <w:sz w:val="30"/>
                <w:szCs w:val="30"/>
              </w:rPr>
              <w:t>鑫博创按摩器配件生产项目</w:t>
            </w:r>
          </w:p>
        </w:tc>
      </w:tr>
      <w:tr>
        <w:tblPrEx>
          <w:tblCellMar>
            <w:top w:w="0" w:type="dxa"/>
            <w:left w:w="108" w:type="dxa"/>
            <w:bottom w:w="0" w:type="dxa"/>
            <w:right w:w="108" w:type="dxa"/>
          </w:tblCellMar>
        </w:tblPrEx>
        <w:trPr>
          <w:trHeight w:val="737" w:hRule="atLeast"/>
          <w:jc w:val="center"/>
        </w:trPr>
        <w:tc>
          <w:tcPr>
            <w:tcW w:w="2364" w:type="dxa"/>
            <w:tcBorders>
              <w:right w:val="nil"/>
            </w:tcBorders>
            <w:vAlign w:val="bottom"/>
          </w:tcPr>
          <w:p>
            <w:pPr>
              <w:pStyle w:val="176"/>
              <w:keepNext w:val="0"/>
              <w:keepLines w:val="0"/>
              <w:pageBreakBefore w:val="0"/>
              <w:kinsoku/>
              <w:wordWrap/>
              <w:overflowPunct/>
              <w:topLinePunct w:val="0"/>
              <w:autoSpaceDE/>
              <w:autoSpaceDN/>
              <w:bidi w:val="0"/>
              <w:ind w:firstLine="0" w:firstLineChars="0"/>
              <w:jc w:val="center"/>
              <w:textAlignment w:val="auto"/>
              <w:rPr>
                <w:rFonts w:hint="default"/>
                <w:color w:val="auto"/>
                <w:sz w:val="30"/>
                <w:szCs w:val="30"/>
              </w:rPr>
            </w:pPr>
            <w:r>
              <w:rPr>
                <w:rFonts w:hint="default"/>
                <w:color w:val="auto"/>
                <w:sz w:val="30"/>
                <w:szCs w:val="30"/>
              </w:rPr>
              <w:t>建设单位（盖章）</w:t>
            </w:r>
          </w:p>
        </w:tc>
        <w:tc>
          <w:tcPr>
            <w:tcW w:w="6575" w:type="dxa"/>
            <w:tcBorders>
              <w:top w:val="single" w:color="auto" w:sz="4" w:space="0"/>
              <w:left w:val="nil"/>
              <w:bottom w:val="single" w:color="auto" w:sz="4" w:space="0"/>
              <w:right w:val="nil"/>
            </w:tcBorders>
            <w:vAlign w:val="bottom"/>
          </w:tcPr>
          <w:p>
            <w:pPr>
              <w:pStyle w:val="176"/>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auto"/>
                <w:sz w:val="30"/>
                <w:szCs w:val="30"/>
              </w:rPr>
            </w:pPr>
            <w:r>
              <w:rPr>
                <w:color w:val="auto"/>
                <w:sz w:val="30"/>
                <w:szCs w:val="30"/>
              </w:rPr>
              <w:t>福州鑫博创工贸有限公司</w:t>
            </w:r>
          </w:p>
        </w:tc>
      </w:tr>
      <w:tr>
        <w:tblPrEx>
          <w:tblCellMar>
            <w:top w:w="0" w:type="dxa"/>
            <w:left w:w="108" w:type="dxa"/>
            <w:bottom w:w="0" w:type="dxa"/>
            <w:right w:w="108" w:type="dxa"/>
          </w:tblCellMar>
        </w:tblPrEx>
        <w:trPr>
          <w:trHeight w:val="737" w:hRule="atLeast"/>
          <w:jc w:val="center"/>
        </w:trPr>
        <w:tc>
          <w:tcPr>
            <w:tcW w:w="2364" w:type="dxa"/>
            <w:tcBorders>
              <w:right w:val="nil"/>
            </w:tcBorders>
            <w:vAlign w:val="bottom"/>
          </w:tcPr>
          <w:p>
            <w:pPr>
              <w:pStyle w:val="176"/>
              <w:keepNext w:val="0"/>
              <w:keepLines w:val="0"/>
              <w:pageBreakBefore w:val="0"/>
              <w:kinsoku/>
              <w:wordWrap/>
              <w:overflowPunct/>
              <w:topLinePunct w:val="0"/>
              <w:autoSpaceDE/>
              <w:autoSpaceDN/>
              <w:bidi w:val="0"/>
              <w:ind w:firstLine="0" w:firstLineChars="0"/>
              <w:jc w:val="center"/>
              <w:textAlignment w:val="auto"/>
              <w:rPr>
                <w:rFonts w:hint="default"/>
                <w:color w:val="auto"/>
                <w:sz w:val="30"/>
                <w:szCs w:val="30"/>
              </w:rPr>
            </w:pPr>
            <w:r>
              <w:rPr>
                <w:rFonts w:hint="default"/>
                <w:color w:val="auto"/>
                <w:sz w:val="30"/>
                <w:szCs w:val="30"/>
              </w:rPr>
              <mc:AlternateContent>
                <mc:Choice Requires="wps">
                  <w:drawing>
                    <wp:anchor distT="0" distB="0" distL="114300" distR="114300" simplePos="0" relativeHeight="251670528" behindDoc="0" locked="0" layoutInCell="0" allowOverlap="1">
                      <wp:simplePos x="0" y="0"/>
                      <wp:positionH relativeFrom="column">
                        <wp:posOffset>2222500</wp:posOffset>
                      </wp:positionH>
                      <wp:positionV relativeFrom="paragraph">
                        <wp:posOffset>-1270</wp:posOffset>
                      </wp:positionV>
                      <wp:extent cx="635" cy="0"/>
                      <wp:effectExtent l="0" t="4445" r="0" b="5080"/>
                      <wp:wrapNone/>
                      <wp:docPr id="45" name="直接连接符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75pt;margin-top:-0.1pt;height:0pt;width:0.05pt;z-index:251670528;mso-width-relative:page;mso-height-relative:page;" filled="f" stroked="t" coordsize="21600,21600" o:allowincell="f" o:gfxdata="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HqyOs0wAAAAcBAAAPAAAAAAAAAAEAIAAAACIAAABkcnMvZG93bnJldi54bWxQSwECFAAU&#10;AAAACACHTuJAgDI/7/YBAADwAwAADgAAAAAAAAABACAAAAAiAQAAZHJzL2Uyb0RvYy54bWxQSwUG&#10;AAAAAAYABgBZAQAAigUAAAAA&#10;">
                      <v:fill on="f" focussize="0,0"/>
                      <v:stroke color="#000000" joinstyle="round"/>
                      <v:imagedata o:title=""/>
                      <o:lock v:ext="edit" aspectratio="f"/>
                    </v:line>
                  </w:pict>
                </mc:Fallback>
              </mc:AlternateContent>
            </w:r>
            <w:r>
              <w:rPr>
                <w:rFonts w:hint="default"/>
                <w:color w:val="auto"/>
                <w:sz w:val="30"/>
                <w:szCs w:val="30"/>
              </w:rPr>
              <w:t>编制日期</w:t>
            </w:r>
          </w:p>
        </w:tc>
        <w:tc>
          <w:tcPr>
            <w:tcW w:w="6575" w:type="dxa"/>
            <w:tcBorders>
              <w:top w:val="single" w:color="auto" w:sz="4" w:space="0"/>
              <w:left w:val="nil"/>
              <w:bottom w:val="single" w:color="auto" w:sz="4" w:space="0"/>
              <w:right w:val="nil"/>
            </w:tcBorders>
            <w:vAlign w:val="bottom"/>
          </w:tcPr>
          <w:p>
            <w:pPr>
              <w:pStyle w:val="176"/>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auto"/>
                <w:sz w:val="30"/>
                <w:szCs w:val="30"/>
                <w:highlight w:val="yellow"/>
              </w:rPr>
            </w:pPr>
            <w:r>
              <w:rPr>
                <w:rFonts w:hint="default"/>
                <w:color w:val="auto"/>
                <w:sz w:val="30"/>
                <w:szCs w:val="30"/>
              </w:rPr>
              <w:t>202</w:t>
            </w:r>
            <w:r>
              <w:rPr>
                <w:color w:val="auto"/>
                <w:sz w:val="30"/>
                <w:szCs w:val="30"/>
              </w:rPr>
              <w:t>5</w:t>
            </w:r>
            <w:r>
              <w:rPr>
                <w:rFonts w:hint="default"/>
                <w:color w:val="auto"/>
                <w:sz w:val="30"/>
                <w:szCs w:val="30"/>
              </w:rPr>
              <w:t>年</w:t>
            </w:r>
            <w:r>
              <w:rPr>
                <w:color w:val="auto"/>
                <w:sz w:val="30"/>
                <w:szCs w:val="30"/>
              </w:rPr>
              <w:t>10</w:t>
            </w:r>
            <w:r>
              <w:rPr>
                <w:rFonts w:hint="default"/>
                <w:color w:val="auto"/>
                <w:sz w:val="30"/>
                <w:szCs w:val="30"/>
              </w:rPr>
              <w:t>月</w:t>
            </w:r>
          </w:p>
        </w:tc>
      </w:tr>
    </w:tbl>
    <w:p>
      <w:pPr>
        <w:keepNext w:val="0"/>
        <w:keepLines w:val="0"/>
        <w:pageBreakBefore w:val="0"/>
        <w:kinsoku/>
        <w:wordWrap/>
        <w:overflowPunct/>
        <w:topLinePunct w:val="0"/>
        <w:autoSpaceDE/>
        <w:autoSpaceDN/>
        <w:bidi w:val="0"/>
        <w:ind w:firstLine="0" w:firstLineChars="0"/>
        <w:jc w:val="center"/>
        <w:textAlignment w:val="auto"/>
        <w:rPr>
          <w:rFonts w:eastAsia="仿宋_GB2312"/>
          <w:sz w:val="36"/>
          <w:szCs w:val="36"/>
        </w:rPr>
      </w:pPr>
    </w:p>
    <w:p>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eastAsia="楷体_GB2312"/>
          <w:sz w:val="36"/>
          <w:szCs w:val="36"/>
        </w:rPr>
      </w:pPr>
    </w:p>
    <w:p>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eastAsia="楷体_GB2312"/>
          <w:sz w:val="36"/>
          <w:szCs w:val="36"/>
        </w:rPr>
      </w:pPr>
    </w:p>
    <w:p>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eastAsia="楷体_GB2312"/>
          <w:sz w:val="36"/>
          <w:szCs w:val="36"/>
        </w:rPr>
      </w:pPr>
    </w:p>
    <w:p>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eastAsia="楷体_GB2312"/>
          <w:sz w:val="36"/>
          <w:szCs w:val="36"/>
        </w:rPr>
      </w:pPr>
    </w:p>
    <w:p>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0" w:firstLineChars="0"/>
        <w:jc w:val="center"/>
        <w:rPr>
          <w:rFonts w:eastAsia="楷体_GB2312"/>
          <w:sz w:val="36"/>
          <w:szCs w:val="36"/>
        </w:rPr>
      </w:pPr>
    </w:p>
    <w:p>
      <w:pPr>
        <w:pStyle w:val="19"/>
        <w:ind w:firstLineChars="0"/>
        <w:jc w:val="center"/>
        <w:rPr>
          <w:rFonts w:ascii="Times New Roman" w:hAnsi="Times New Roman"/>
          <w:color w:val="00000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fmt="upperRoman" w:start="1"/>
          <w:cols w:space="720" w:num="1"/>
          <w:docGrid w:linePitch="312" w:charSpace="0"/>
        </w:sectPr>
      </w:pPr>
    </w:p>
    <w:p>
      <w:pPr>
        <w:spacing w:line="240" w:lineRule="auto"/>
        <w:ind w:firstLine="0" w:firstLineChars="0"/>
        <w:jc w:val="center"/>
        <w:rPr>
          <w:b/>
          <w:bCs/>
          <w:color w:val="000000"/>
          <w:sz w:val="36"/>
          <w:szCs w:val="36"/>
        </w:rPr>
      </w:pPr>
      <w:r>
        <w:rPr>
          <w:rFonts w:ascii="宋体" w:hAnsi="宋体"/>
          <w:b/>
          <w:bCs/>
          <w:color w:val="000000"/>
          <w:sz w:val="28"/>
          <w:szCs w:val="36"/>
        </w:rPr>
        <w:t>目录</w:t>
      </w:r>
    </w:p>
    <w:p>
      <w:pPr>
        <w:pStyle w:val="29"/>
        <w:tabs>
          <w:tab w:val="right" w:leader="dot" w:pos="8844"/>
          <w:tab w:val="clear" w:pos="1200"/>
          <w:tab w:val="clear" w:pos="8948"/>
        </w:tabs>
      </w:pPr>
      <w:r>
        <w:rPr>
          <w:rFonts w:ascii="Times New Roman" w:hAnsi="Times New Roman" w:cs="Times New Roman"/>
          <w:color w:val="000000"/>
        </w:rPr>
        <w:fldChar w:fldCharType="begin"/>
      </w:r>
      <w:r>
        <w:rPr>
          <w:rFonts w:ascii="Times New Roman" w:hAnsi="Times New Roman" w:cs="Times New Roman"/>
          <w:color w:val="000000"/>
        </w:rPr>
        <w:instrText xml:space="preserve">TOC \o "1-1" \h \u </w:instrText>
      </w:r>
      <w:r>
        <w:rPr>
          <w:rFonts w:ascii="Times New Roman" w:hAnsi="Times New Roman" w:cs="Times New Roman"/>
          <w:color w:val="000000"/>
        </w:rPr>
        <w:fldChar w:fldCharType="separate"/>
      </w:r>
      <w:r>
        <w:rPr>
          <w:rFonts w:ascii="Times New Roman" w:hAnsi="Times New Roman" w:cs="Times New Roman"/>
          <w:color w:val="000000"/>
        </w:rPr>
        <w:fldChar w:fldCharType="begin"/>
      </w:r>
      <w:r>
        <w:rPr>
          <w:rFonts w:ascii="Times New Roman" w:hAnsi="Times New Roman" w:cs="Times New Roman"/>
        </w:rPr>
        <w:instrText xml:space="preserve"> HYPERLINK \l _Toc25027 </w:instrText>
      </w:r>
      <w:r>
        <w:rPr>
          <w:rFonts w:ascii="Times New Roman" w:hAnsi="Times New Roman" w:cs="Times New Roman"/>
        </w:rPr>
        <w:fldChar w:fldCharType="separate"/>
      </w:r>
      <w:r>
        <w:rPr>
          <w:rFonts w:hint="eastAsia"/>
        </w:rPr>
        <w:t xml:space="preserve">一、 </w:t>
      </w:r>
      <w:r>
        <w:t>建设项目基本情况</w:t>
      </w:r>
      <w:r>
        <w:tab/>
      </w:r>
      <w:r>
        <w:fldChar w:fldCharType="begin"/>
      </w:r>
      <w:r>
        <w:instrText xml:space="preserve"> PAGEREF _Toc25027 \h </w:instrText>
      </w:r>
      <w:r>
        <w:fldChar w:fldCharType="separate"/>
      </w:r>
      <w:r>
        <w:t>1</w:t>
      </w:r>
      <w:r>
        <w:fldChar w:fldCharType="end"/>
      </w:r>
      <w:r>
        <w:rPr>
          <w:rFonts w:ascii="Times New Roman" w:hAnsi="Times New Roman" w:cs="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_Toc8215 </w:instrText>
      </w:r>
      <w:r>
        <w:rPr>
          <w:rFonts w:ascii="Times New Roman" w:hAnsi="Times New Roman"/>
        </w:rPr>
        <w:fldChar w:fldCharType="separate"/>
      </w:r>
      <w:r>
        <w:rPr>
          <w:rFonts w:hint="eastAsia"/>
        </w:rPr>
        <w:t>二、 建设项目工程分析</w:t>
      </w:r>
      <w:r>
        <w:tab/>
      </w:r>
      <w:r>
        <w:fldChar w:fldCharType="begin"/>
      </w:r>
      <w:r>
        <w:instrText xml:space="preserve"> PAGEREF _Toc8215 \h </w:instrText>
      </w:r>
      <w:r>
        <w:fldChar w:fldCharType="separate"/>
      </w:r>
      <w:r>
        <w:t>24</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_Toc20196 </w:instrText>
      </w:r>
      <w:r>
        <w:rPr>
          <w:rFonts w:ascii="Times New Roman" w:hAnsi="Times New Roman"/>
        </w:rPr>
        <w:fldChar w:fldCharType="separate"/>
      </w:r>
      <w:r>
        <w:rPr>
          <w:rFonts w:hint="eastAsia"/>
        </w:rPr>
        <w:t>三、 区域环境质量现状、环境保护目标及评价标准</w:t>
      </w:r>
      <w:r>
        <w:tab/>
      </w:r>
      <w:r>
        <w:fldChar w:fldCharType="begin"/>
      </w:r>
      <w:r>
        <w:instrText xml:space="preserve"> PAGEREF _Toc20196 \h </w:instrText>
      </w:r>
      <w:r>
        <w:fldChar w:fldCharType="separate"/>
      </w:r>
      <w:r>
        <w:t>31</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_Toc28243 </w:instrText>
      </w:r>
      <w:r>
        <w:rPr>
          <w:rFonts w:ascii="Times New Roman" w:hAnsi="Times New Roman"/>
        </w:rPr>
        <w:fldChar w:fldCharType="separate"/>
      </w:r>
      <w:r>
        <w:rPr>
          <w:rFonts w:hint="eastAsia"/>
        </w:rPr>
        <w:t xml:space="preserve">四、 </w:t>
      </w:r>
      <w:r>
        <w:t>主要环境影响和保护措施</w:t>
      </w:r>
      <w:r>
        <w:tab/>
      </w:r>
      <w:r>
        <w:fldChar w:fldCharType="begin"/>
      </w:r>
      <w:r>
        <w:instrText xml:space="preserve"> PAGEREF _Toc28243 \h </w:instrText>
      </w:r>
      <w:r>
        <w:fldChar w:fldCharType="separate"/>
      </w:r>
      <w:r>
        <w:t>42</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_Toc4337 </w:instrText>
      </w:r>
      <w:r>
        <w:rPr>
          <w:rFonts w:ascii="Times New Roman" w:hAnsi="Times New Roman"/>
        </w:rPr>
        <w:fldChar w:fldCharType="separate"/>
      </w:r>
      <w:r>
        <w:rPr>
          <w:rFonts w:hint="eastAsia"/>
        </w:rPr>
        <w:t>五、 环境保护措施监督检查清单</w:t>
      </w:r>
      <w:r>
        <w:tab/>
      </w:r>
      <w:r>
        <w:fldChar w:fldCharType="begin"/>
      </w:r>
      <w:r>
        <w:instrText xml:space="preserve"> PAGEREF _Toc4337 \h </w:instrText>
      </w:r>
      <w:r>
        <w:fldChar w:fldCharType="separate"/>
      </w:r>
      <w:r>
        <w:t>67</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_Toc22784 </w:instrText>
      </w:r>
      <w:r>
        <w:rPr>
          <w:rFonts w:ascii="Times New Roman" w:hAnsi="Times New Roman"/>
        </w:rPr>
        <w:fldChar w:fldCharType="separate"/>
      </w:r>
      <w:r>
        <w:rPr>
          <w:rFonts w:hint="eastAsia"/>
        </w:rPr>
        <w:t>六、 结论</w:t>
      </w:r>
      <w:r>
        <w:tab/>
      </w:r>
      <w:r>
        <w:fldChar w:fldCharType="begin"/>
      </w:r>
      <w:r>
        <w:instrText xml:space="preserve"> PAGEREF _Toc22784 \h </w:instrText>
      </w:r>
      <w:r>
        <w:fldChar w:fldCharType="separate"/>
      </w:r>
      <w:r>
        <w:t>70</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_Toc6408 </w:instrText>
      </w:r>
      <w:r>
        <w:rPr>
          <w:rFonts w:ascii="Times New Roman" w:hAnsi="Times New Roman"/>
        </w:rPr>
        <w:fldChar w:fldCharType="separate"/>
      </w:r>
      <w:r>
        <w:rPr>
          <w:rFonts w:ascii="Times New Roman" w:hAnsi="Times New Roman"/>
          <w:bCs/>
          <w:snapToGrid w:val="0"/>
          <w:szCs w:val="36"/>
        </w:rPr>
        <w:t>附表</w:t>
      </w:r>
      <w:r>
        <w:tab/>
      </w:r>
      <w:r>
        <w:fldChar w:fldCharType="begin"/>
      </w:r>
      <w:r>
        <w:instrText xml:space="preserve"> PAGEREF _Toc6408 \h </w:instrText>
      </w:r>
      <w:r>
        <w:fldChar w:fldCharType="separate"/>
      </w:r>
      <w:r>
        <w:t>71</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_Toc22661 </w:instrText>
      </w:r>
      <w:r>
        <w:rPr>
          <w:rFonts w:ascii="Times New Roman" w:hAnsi="Times New Roman"/>
        </w:rPr>
        <w:fldChar w:fldCharType="separate"/>
      </w:r>
      <w:r>
        <w:t>附件 1 委托书</w:t>
      </w:r>
      <w:r>
        <w:tab/>
      </w:r>
      <w:r>
        <w:fldChar w:fldCharType="begin"/>
      </w:r>
      <w:r>
        <w:instrText xml:space="preserve"> PAGEREF _Toc22661 \h </w:instrText>
      </w:r>
      <w:r>
        <w:fldChar w:fldCharType="separate"/>
      </w:r>
      <w:r>
        <w:t>72</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_Toc707 </w:instrText>
      </w:r>
      <w:r>
        <w:rPr>
          <w:rFonts w:ascii="Times New Roman" w:hAnsi="Times New Roman"/>
        </w:rPr>
        <w:fldChar w:fldCharType="separate"/>
      </w:r>
      <w:r>
        <w:t xml:space="preserve">附件 2 </w:t>
      </w:r>
      <w:r>
        <w:rPr>
          <w:rFonts w:hint="eastAsia"/>
        </w:rPr>
        <w:t>营业执照</w:t>
      </w:r>
      <w:r>
        <w:tab/>
      </w:r>
      <w:r>
        <w:fldChar w:fldCharType="begin"/>
      </w:r>
      <w:r>
        <w:instrText xml:space="preserve"> PAGEREF _Toc707 \h </w:instrText>
      </w:r>
      <w:r>
        <w:fldChar w:fldCharType="separate"/>
      </w:r>
      <w:r>
        <w:t>73</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_Toc21397 </w:instrText>
      </w:r>
      <w:r>
        <w:rPr>
          <w:rFonts w:ascii="Times New Roman" w:hAnsi="Times New Roman"/>
        </w:rPr>
        <w:fldChar w:fldCharType="separate"/>
      </w:r>
      <w:r>
        <w:t>附件 3</w:t>
      </w:r>
      <w:r>
        <w:rPr>
          <w:rFonts w:hint="eastAsia"/>
        </w:rPr>
        <w:t xml:space="preserve"> 法人身份证</w:t>
      </w:r>
      <w:r>
        <w:tab/>
      </w:r>
      <w:r>
        <w:fldChar w:fldCharType="begin"/>
      </w:r>
      <w:r>
        <w:instrText xml:space="preserve"> PAGEREF _Toc21397 \h </w:instrText>
      </w:r>
      <w:r>
        <w:fldChar w:fldCharType="separate"/>
      </w:r>
      <w:r>
        <w:t>74</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_Toc5484 </w:instrText>
      </w:r>
      <w:r>
        <w:rPr>
          <w:rFonts w:ascii="Times New Roman" w:hAnsi="Times New Roman"/>
        </w:rPr>
        <w:fldChar w:fldCharType="separate"/>
      </w:r>
      <w:r>
        <w:t>附件 4 备案表</w:t>
      </w:r>
      <w:r>
        <w:tab/>
      </w:r>
      <w:r>
        <w:fldChar w:fldCharType="begin"/>
      </w:r>
      <w:r>
        <w:instrText xml:space="preserve"> PAGEREF _Toc5484 \h </w:instrText>
      </w:r>
      <w:r>
        <w:fldChar w:fldCharType="separate"/>
      </w:r>
      <w:r>
        <w:t>75</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_Toc2611 </w:instrText>
      </w:r>
      <w:r>
        <w:rPr>
          <w:rFonts w:ascii="Times New Roman" w:hAnsi="Times New Roman"/>
        </w:rPr>
        <w:fldChar w:fldCharType="separate"/>
      </w:r>
      <w:r>
        <w:t xml:space="preserve">附件 5 </w:t>
      </w:r>
      <w:r>
        <w:rPr>
          <w:rFonts w:hint="eastAsia"/>
        </w:rPr>
        <w:t>土地证及</w:t>
      </w:r>
      <w:r>
        <w:t>产权证</w:t>
      </w:r>
      <w:r>
        <w:tab/>
      </w:r>
      <w:r>
        <w:fldChar w:fldCharType="begin"/>
      </w:r>
      <w:r>
        <w:instrText xml:space="preserve"> PAGEREF _Toc2611 \h </w:instrText>
      </w:r>
      <w:r>
        <w:fldChar w:fldCharType="separate"/>
      </w:r>
      <w:r>
        <w:t>76</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_Toc14187 </w:instrText>
      </w:r>
      <w:r>
        <w:rPr>
          <w:rFonts w:ascii="Times New Roman" w:hAnsi="Times New Roman"/>
        </w:rPr>
        <w:fldChar w:fldCharType="separate"/>
      </w:r>
      <w:r>
        <w:t xml:space="preserve">附件 6 </w:t>
      </w:r>
      <w:r>
        <w:rPr>
          <w:rFonts w:hint="eastAsia"/>
        </w:rPr>
        <w:t>租赁合同</w:t>
      </w:r>
      <w:r>
        <w:tab/>
      </w:r>
      <w:r>
        <w:fldChar w:fldCharType="begin"/>
      </w:r>
      <w:r>
        <w:instrText xml:space="preserve"> PAGEREF _Toc14187 \h </w:instrText>
      </w:r>
      <w:r>
        <w:fldChar w:fldCharType="separate"/>
      </w:r>
      <w:r>
        <w:t>78</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_Toc7629 </w:instrText>
      </w:r>
      <w:r>
        <w:rPr>
          <w:rFonts w:ascii="Times New Roman" w:hAnsi="Times New Roman"/>
        </w:rPr>
        <w:fldChar w:fldCharType="separate"/>
      </w:r>
      <w:r>
        <w:t>附件 7 涉密说明</w:t>
      </w:r>
      <w:r>
        <w:tab/>
      </w:r>
      <w:r>
        <w:fldChar w:fldCharType="begin"/>
      </w:r>
      <w:r>
        <w:instrText xml:space="preserve"> PAGEREF _Toc7629 \h </w:instrText>
      </w:r>
      <w:r>
        <w:fldChar w:fldCharType="separate"/>
      </w:r>
      <w:r>
        <w:t>79</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_Toc11894 </w:instrText>
      </w:r>
      <w:r>
        <w:rPr>
          <w:rFonts w:ascii="Times New Roman" w:hAnsi="Times New Roman"/>
        </w:rPr>
        <w:fldChar w:fldCharType="separate"/>
      </w:r>
      <w:r>
        <w:t>附件 8</w:t>
      </w:r>
      <w:r>
        <w:rPr>
          <w:rFonts w:hint="eastAsia"/>
        </w:rPr>
        <w:t xml:space="preserve"> 涉及国家秘密、商业秘密等内容的删除依据和理由说明</w:t>
      </w:r>
      <w:r>
        <w:tab/>
      </w:r>
      <w:r>
        <w:fldChar w:fldCharType="begin"/>
      </w:r>
      <w:r>
        <w:instrText xml:space="preserve"> PAGEREF _Toc11894 \h </w:instrText>
      </w:r>
      <w:r>
        <w:fldChar w:fldCharType="separate"/>
      </w:r>
      <w:r>
        <w:t>80</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_Toc18235 </w:instrText>
      </w:r>
      <w:r>
        <w:rPr>
          <w:rFonts w:ascii="Times New Roman" w:hAnsi="Times New Roman"/>
        </w:rPr>
        <w:fldChar w:fldCharType="separate"/>
      </w:r>
      <w:r>
        <w:t>附件 9 申请环评批复报告</w:t>
      </w:r>
      <w:r>
        <w:tab/>
      </w:r>
      <w:r>
        <w:fldChar w:fldCharType="begin"/>
      </w:r>
      <w:r>
        <w:instrText xml:space="preserve"> PAGEREF _Toc18235 \h </w:instrText>
      </w:r>
      <w:r>
        <w:fldChar w:fldCharType="separate"/>
      </w:r>
      <w:r>
        <w:t>81</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_Toc6682 </w:instrText>
      </w:r>
      <w:r>
        <w:rPr>
          <w:rFonts w:ascii="Times New Roman" w:hAnsi="Times New Roman"/>
        </w:rPr>
        <w:fldChar w:fldCharType="separate"/>
      </w:r>
      <w:r>
        <w:t>附件 10 审批申请报告</w:t>
      </w:r>
      <w:r>
        <w:tab/>
      </w:r>
      <w:r>
        <w:fldChar w:fldCharType="begin"/>
      </w:r>
      <w:r>
        <w:instrText xml:space="preserve"> PAGEREF _Toc6682 \h </w:instrText>
      </w:r>
      <w:r>
        <w:fldChar w:fldCharType="separate"/>
      </w:r>
      <w:r>
        <w:t>82</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_Toc4516 </w:instrText>
      </w:r>
      <w:r>
        <w:rPr>
          <w:rFonts w:ascii="Times New Roman" w:hAnsi="Times New Roman"/>
        </w:rPr>
        <w:fldChar w:fldCharType="separate"/>
      </w:r>
      <w:r>
        <w:t xml:space="preserve">附件 11 </w:t>
      </w:r>
      <w:r>
        <w:rPr>
          <w:rFonts w:hint="eastAsia"/>
        </w:rPr>
        <w:t>排污权取得事宜承诺书</w:t>
      </w:r>
      <w:r>
        <w:tab/>
      </w:r>
      <w:r>
        <w:fldChar w:fldCharType="begin"/>
      </w:r>
      <w:r>
        <w:instrText xml:space="preserve"> PAGEREF _Toc4516 \h </w:instrText>
      </w:r>
      <w:r>
        <w:fldChar w:fldCharType="separate"/>
      </w:r>
      <w:r>
        <w:t>83</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_Toc17285 </w:instrText>
      </w:r>
      <w:r>
        <w:rPr>
          <w:rFonts w:ascii="Times New Roman" w:hAnsi="Times New Roman"/>
        </w:rPr>
        <w:fldChar w:fldCharType="separate"/>
      </w:r>
      <w:r>
        <w:t>附件 12</w:t>
      </w:r>
      <w:r>
        <w:rPr>
          <w:rFonts w:hint="eastAsia"/>
        </w:rPr>
        <w:t xml:space="preserve"> </w:t>
      </w:r>
      <w:r>
        <w:t>公开建设项目环评信息情况的说明报告</w:t>
      </w:r>
      <w:r>
        <w:tab/>
      </w:r>
      <w:r>
        <w:fldChar w:fldCharType="begin"/>
      </w:r>
      <w:r>
        <w:instrText xml:space="preserve"> PAGEREF _Toc17285 \h </w:instrText>
      </w:r>
      <w:r>
        <w:fldChar w:fldCharType="separate"/>
      </w:r>
      <w:r>
        <w:t>84</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_Toc27027 </w:instrText>
      </w:r>
      <w:r>
        <w:rPr>
          <w:rFonts w:ascii="Times New Roman" w:hAnsi="Times New Roman"/>
        </w:rPr>
        <w:fldChar w:fldCharType="separate"/>
      </w:r>
      <w:r>
        <w:t xml:space="preserve">附件 13 </w:t>
      </w:r>
      <w:r>
        <w:rPr>
          <w:rFonts w:hint="eastAsia"/>
        </w:rPr>
        <w:t>生态环境分区管控综合查询报告书</w:t>
      </w:r>
      <w:r>
        <w:tab/>
      </w:r>
      <w:r>
        <w:fldChar w:fldCharType="begin"/>
      </w:r>
      <w:r>
        <w:instrText xml:space="preserve"> PAGEREF _Toc27027 \h </w:instrText>
      </w:r>
      <w:r>
        <w:fldChar w:fldCharType="separate"/>
      </w:r>
      <w:r>
        <w:t>85</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_Toc29893 </w:instrText>
      </w:r>
      <w:r>
        <w:rPr>
          <w:rFonts w:ascii="Times New Roman" w:hAnsi="Times New Roman"/>
        </w:rPr>
        <w:fldChar w:fldCharType="separate"/>
      </w:r>
      <w:r>
        <w:t>附件 14</w:t>
      </w:r>
      <w:r>
        <w:rPr>
          <w:rFonts w:hint="eastAsia"/>
        </w:rPr>
        <w:t xml:space="preserve"> 授权委托书</w:t>
      </w:r>
      <w:r>
        <w:tab/>
      </w:r>
      <w:r>
        <w:fldChar w:fldCharType="begin"/>
      </w:r>
      <w:r>
        <w:instrText xml:space="preserve"> PAGEREF _Toc29893 \h </w:instrText>
      </w:r>
      <w:r>
        <w:fldChar w:fldCharType="separate"/>
      </w:r>
      <w:r>
        <w:t>91</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_Toc2507 </w:instrText>
      </w:r>
      <w:r>
        <w:rPr>
          <w:rFonts w:ascii="Times New Roman" w:hAnsi="Times New Roman"/>
        </w:rPr>
        <w:fldChar w:fldCharType="separate"/>
      </w:r>
      <w:r>
        <w:t>附件 15</w:t>
      </w:r>
      <w:r>
        <w:rPr>
          <w:rFonts w:hint="eastAsia"/>
        </w:rPr>
        <w:t xml:space="preserve"> 现状监测报告</w:t>
      </w:r>
      <w:r>
        <w:tab/>
      </w:r>
      <w:r>
        <w:fldChar w:fldCharType="begin"/>
      </w:r>
      <w:r>
        <w:instrText xml:space="preserve"> PAGEREF _Toc2507 \h </w:instrText>
      </w:r>
      <w:r>
        <w:fldChar w:fldCharType="separate"/>
      </w:r>
      <w:r>
        <w:t>93</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_Toc23253 </w:instrText>
      </w:r>
      <w:r>
        <w:rPr>
          <w:rFonts w:ascii="Times New Roman" w:hAnsi="Times New Roman"/>
        </w:rPr>
        <w:fldChar w:fldCharType="separate"/>
      </w:r>
      <w:r>
        <w:t>附件 16</w:t>
      </w:r>
      <w:r>
        <w:rPr>
          <w:rFonts w:hint="eastAsia"/>
          <w:lang w:val="en-US" w:eastAsia="zh-CN"/>
        </w:rPr>
        <w:t xml:space="preserve"> 入园审批情况告知书</w:t>
      </w:r>
      <w:r>
        <w:tab/>
      </w:r>
      <w:r>
        <w:fldChar w:fldCharType="begin"/>
      </w:r>
      <w:r>
        <w:instrText xml:space="preserve"> PAGEREF _Toc23253 \h </w:instrText>
      </w:r>
      <w:r>
        <w:fldChar w:fldCharType="separate"/>
      </w:r>
      <w:r>
        <w:t>100</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_Toc23446 </w:instrText>
      </w:r>
      <w:r>
        <w:rPr>
          <w:rFonts w:ascii="Times New Roman" w:hAnsi="Times New Roman"/>
        </w:rPr>
        <w:fldChar w:fldCharType="separate"/>
      </w:r>
      <w:r>
        <w:t>附图 1 项目地理位置图</w:t>
      </w:r>
      <w:r>
        <w:tab/>
      </w:r>
      <w:r>
        <w:fldChar w:fldCharType="begin"/>
      </w:r>
      <w:r>
        <w:instrText xml:space="preserve"> PAGEREF _Toc23446 \h </w:instrText>
      </w:r>
      <w:r>
        <w:fldChar w:fldCharType="separate"/>
      </w:r>
      <w:r>
        <w:t>101</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_Toc20777 </w:instrText>
      </w:r>
      <w:r>
        <w:rPr>
          <w:rFonts w:ascii="Times New Roman" w:hAnsi="Times New Roman"/>
        </w:rPr>
        <w:fldChar w:fldCharType="separate"/>
      </w:r>
      <w:r>
        <w:t>附图 2</w:t>
      </w:r>
      <w:r>
        <w:rPr>
          <w:rFonts w:hint="eastAsia"/>
        </w:rPr>
        <w:t xml:space="preserve"> </w:t>
      </w:r>
      <w:r>
        <w:t>项目周边环境关系图</w:t>
      </w:r>
      <w:r>
        <w:tab/>
      </w:r>
      <w:r>
        <w:fldChar w:fldCharType="begin"/>
      </w:r>
      <w:r>
        <w:instrText xml:space="preserve"> PAGEREF _Toc20777 \h </w:instrText>
      </w:r>
      <w:r>
        <w:fldChar w:fldCharType="separate"/>
      </w:r>
      <w:r>
        <w:t>102</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_Toc20126 </w:instrText>
      </w:r>
      <w:r>
        <w:rPr>
          <w:rFonts w:ascii="Times New Roman" w:hAnsi="Times New Roman"/>
        </w:rPr>
        <w:fldChar w:fldCharType="separate"/>
      </w:r>
      <w:r>
        <w:t>附图 3 项目周边</w:t>
      </w:r>
      <w:r>
        <w:rPr>
          <w:rFonts w:hint="eastAsia"/>
        </w:rPr>
        <w:t>环境现状拍摄</w:t>
      </w:r>
      <w:r>
        <w:t>图</w:t>
      </w:r>
      <w:r>
        <w:tab/>
      </w:r>
      <w:r>
        <w:fldChar w:fldCharType="begin"/>
      </w:r>
      <w:r>
        <w:instrText xml:space="preserve"> PAGEREF _Toc20126 \h </w:instrText>
      </w:r>
      <w:r>
        <w:fldChar w:fldCharType="separate"/>
      </w:r>
      <w:r>
        <w:t>103</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_Toc10915 </w:instrText>
      </w:r>
      <w:r>
        <w:rPr>
          <w:rFonts w:ascii="Times New Roman" w:hAnsi="Times New Roman"/>
        </w:rPr>
        <w:fldChar w:fldCharType="separate"/>
      </w:r>
      <w:r>
        <w:t xml:space="preserve">附图 4 </w:t>
      </w:r>
      <w:r>
        <w:rPr>
          <w:rFonts w:hint="eastAsia"/>
        </w:rPr>
        <w:t>车间</w:t>
      </w:r>
      <w:r>
        <w:rPr>
          <w:rFonts w:hint="eastAsia"/>
          <w:lang w:val="en-US" w:eastAsia="zh-CN"/>
        </w:rPr>
        <w:t>平面</w:t>
      </w:r>
      <w:r>
        <w:rPr>
          <w:rFonts w:hint="eastAsia"/>
        </w:rPr>
        <w:t>布局图</w:t>
      </w:r>
      <w:r>
        <w:tab/>
      </w:r>
      <w:r>
        <w:fldChar w:fldCharType="begin"/>
      </w:r>
      <w:r>
        <w:instrText xml:space="preserve"> PAGEREF _Toc10915 \h </w:instrText>
      </w:r>
      <w:r>
        <w:fldChar w:fldCharType="separate"/>
      </w:r>
      <w:r>
        <w:t>104</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_Toc3227 </w:instrText>
      </w:r>
      <w:r>
        <w:rPr>
          <w:rFonts w:ascii="Times New Roman" w:hAnsi="Times New Roman"/>
        </w:rPr>
        <w:fldChar w:fldCharType="separate"/>
      </w:r>
      <w:r>
        <w:t>附图 5</w:t>
      </w:r>
      <w:r>
        <w:rPr>
          <w:rFonts w:hint="eastAsia"/>
          <w:lang w:val="en-US" w:eastAsia="zh-CN"/>
        </w:rPr>
        <w:t xml:space="preserve"> 雨污管线图</w:t>
      </w:r>
      <w:r>
        <w:tab/>
      </w:r>
      <w:r>
        <w:fldChar w:fldCharType="begin"/>
      </w:r>
      <w:r>
        <w:instrText xml:space="preserve"> PAGEREF _Toc3227 \h </w:instrText>
      </w:r>
      <w:r>
        <w:fldChar w:fldCharType="separate"/>
      </w:r>
      <w:r>
        <w:t>105</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_Toc27405 </w:instrText>
      </w:r>
      <w:r>
        <w:rPr>
          <w:rFonts w:ascii="Times New Roman" w:hAnsi="Times New Roman"/>
        </w:rPr>
        <w:fldChar w:fldCharType="separate"/>
      </w:r>
      <w:r>
        <w:t>附图 6</w:t>
      </w:r>
      <w:r>
        <w:rPr>
          <w:rFonts w:hint="eastAsia"/>
          <w:lang w:val="en-US" w:eastAsia="zh-CN"/>
        </w:rPr>
        <w:t xml:space="preserve"> 万众创城综合管网</w:t>
      </w:r>
      <w:r>
        <w:rPr>
          <w:rFonts w:hint="eastAsia"/>
        </w:rPr>
        <w:t>图</w:t>
      </w:r>
      <w:r>
        <w:tab/>
      </w:r>
      <w:r>
        <w:fldChar w:fldCharType="begin"/>
      </w:r>
      <w:r>
        <w:instrText xml:space="preserve"> PAGEREF _Toc27405 \h </w:instrText>
      </w:r>
      <w:r>
        <w:fldChar w:fldCharType="separate"/>
      </w:r>
      <w:r>
        <w:t>106</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_Toc20310 </w:instrText>
      </w:r>
      <w:r>
        <w:rPr>
          <w:rFonts w:ascii="Times New Roman" w:hAnsi="Times New Roman"/>
        </w:rPr>
        <w:fldChar w:fldCharType="separate"/>
      </w:r>
      <w:r>
        <w:t>附图 7</w:t>
      </w:r>
      <w:r>
        <w:rPr>
          <w:rFonts w:hint="eastAsia"/>
        </w:rPr>
        <w:t xml:space="preserve"> 生态环境分区管控查询截图</w:t>
      </w:r>
      <w:r>
        <w:tab/>
      </w:r>
      <w:r>
        <w:fldChar w:fldCharType="begin"/>
      </w:r>
      <w:r>
        <w:instrText xml:space="preserve"> PAGEREF _Toc20310 \h </w:instrText>
      </w:r>
      <w:r>
        <w:fldChar w:fldCharType="separate"/>
      </w:r>
      <w:r>
        <w:t>107</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_Toc15761 </w:instrText>
      </w:r>
      <w:r>
        <w:rPr>
          <w:rFonts w:ascii="Times New Roman" w:hAnsi="Times New Roman"/>
        </w:rPr>
        <w:fldChar w:fldCharType="separate"/>
      </w:r>
      <w:r>
        <w:t>附图 8</w:t>
      </w:r>
      <w:r>
        <w:rPr>
          <w:rFonts w:hint="eastAsia"/>
        </w:rPr>
        <w:t xml:space="preserve"> </w:t>
      </w:r>
      <w:r>
        <w:rPr>
          <w:rFonts w:hint="eastAsia"/>
          <w:lang w:val="en-US" w:eastAsia="zh-CN"/>
        </w:rPr>
        <w:t>福州市声环境功能区划图</w:t>
      </w:r>
      <w:r>
        <w:tab/>
      </w:r>
      <w:r>
        <w:fldChar w:fldCharType="begin"/>
      </w:r>
      <w:r>
        <w:instrText xml:space="preserve"> PAGEREF _Toc15761 \h </w:instrText>
      </w:r>
      <w:r>
        <w:fldChar w:fldCharType="separate"/>
      </w:r>
      <w:r>
        <w:t>108</w:t>
      </w:r>
      <w:r>
        <w:fldChar w:fldCharType="end"/>
      </w:r>
      <w:r>
        <w:rPr>
          <w:rFonts w:ascii="Times New Roman" w:hAnsi="Times New Roman"/>
          <w:color w:val="000000"/>
        </w:rPr>
        <w:fldChar w:fldCharType="end"/>
      </w:r>
    </w:p>
    <w:p>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_Toc5068 </w:instrText>
      </w:r>
      <w:r>
        <w:rPr>
          <w:rFonts w:ascii="Times New Roman" w:hAnsi="Times New Roman"/>
        </w:rPr>
        <w:fldChar w:fldCharType="separate"/>
      </w:r>
      <w:r>
        <w:t>附图 9</w:t>
      </w:r>
      <w:r>
        <w:rPr>
          <w:rFonts w:hint="eastAsia"/>
        </w:rPr>
        <w:t xml:space="preserve"> 福州自贸区（长安片区）控制性详细规划</w:t>
      </w:r>
      <w:r>
        <w:tab/>
      </w:r>
      <w:r>
        <w:fldChar w:fldCharType="begin"/>
      </w:r>
      <w:r>
        <w:instrText xml:space="preserve"> PAGEREF _Toc5068 \h </w:instrText>
      </w:r>
      <w:r>
        <w:fldChar w:fldCharType="separate"/>
      </w:r>
      <w:r>
        <w:t>109</w:t>
      </w:r>
      <w:r>
        <w:fldChar w:fldCharType="end"/>
      </w:r>
      <w:r>
        <w:rPr>
          <w:rFonts w:ascii="Times New Roman" w:hAnsi="Times New Roman"/>
          <w:color w:val="000000"/>
        </w:rPr>
        <w:fldChar w:fldCharType="end"/>
      </w:r>
    </w:p>
    <w:p>
      <w:pPr>
        <w:pStyle w:val="19"/>
        <w:ind w:firstLine="480"/>
        <w:jc w:val="center"/>
        <w:rPr>
          <w:color w:val="000000"/>
        </w:rPr>
      </w:pPr>
      <w:r>
        <w:rPr>
          <w:rFonts w:ascii="Times New Roman" w:hAnsi="Times New Roman"/>
          <w:color w:val="000000"/>
        </w:rPr>
        <w:fldChar w:fldCharType="end"/>
      </w:r>
    </w:p>
    <w:p>
      <w:pPr>
        <w:pStyle w:val="18"/>
        <w:ind w:firstLine="360"/>
        <w:rPr>
          <w:color w:val="000000"/>
        </w:rPr>
      </w:pPr>
    </w:p>
    <w:p>
      <w:pPr>
        <w:spacing w:line="480" w:lineRule="auto"/>
        <w:ind w:firstLine="0" w:firstLineChars="0"/>
        <w:jc w:val="center"/>
        <w:rPr>
          <w:b/>
          <w:bCs/>
          <w:color w:val="000000"/>
          <w:sz w:val="36"/>
          <w:szCs w:val="36"/>
        </w:rPr>
        <w:sectPr>
          <w:footerReference r:id="rId11" w:type="default"/>
          <w:pgSz w:w="11906" w:h="16838"/>
          <w:pgMar w:top="1701" w:right="1531" w:bottom="1701" w:left="1531" w:header="851" w:footer="1077" w:gutter="0"/>
          <w:pgNumType w:fmt="upperRoman" w:start="1"/>
          <w:cols w:space="720" w:num="1"/>
          <w:docGrid w:linePitch="312" w:charSpace="0"/>
        </w:sectPr>
      </w:pPr>
    </w:p>
    <w:p>
      <w:pPr>
        <w:pStyle w:val="3"/>
        <w:tabs>
          <w:tab w:val="clear" w:pos="420"/>
        </w:tabs>
        <w:ind w:left="0" w:firstLine="0"/>
      </w:pPr>
      <w:bookmarkStart w:id="0" w:name="_Toc28382"/>
      <w:bookmarkStart w:id="1" w:name="_Toc25027"/>
      <w:r>
        <w:t>建设项目基本情况</w:t>
      </w:r>
      <w:bookmarkEnd w:id="0"/>
      <w:bookmarkEnd w:id="1"/>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67"/>
        <w:gridCol w:w="1852"/>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建设项目名称</w:t>
            </w:r>
          </w:p>
        </w:tc>
        <w:tc>
          <w:tcPr>
            <w:tcW w:w="6703" w:type="dxa"/>
            <w:gridSpan w:val="3"/>
            <w:vAlign w:val="center"/>
          </w:tcPr>
          <w:p>
            <w:pPr>
              <w:adjustRightInd w:val="0"/>
              <w:snapToGrid w:val="0"/>
              <w:spacing w:line="240" w:lineRule="auto"/>
              <w:ind w:firstLine="0" w:firstLineChars="0"/>
              <w:jc w:val="center"/>
              <w:rPr>
                <w:color w:val="000000"/>
              </w:rPr>
            </w:pPr>
            <w:r>
              <w:rPr>
                <w:rFonts w:hint="eastAsia"/>
                <w:color w:val="000000"/>
              </w:rPr>
              <w:t>鑫博创按摩器配件生产项目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项目代码</w:t>
            </w:r>
          </w:p>
        </w:tc>
        <w:tc>
          <w:tcPr>
            <w:tcW w:w="6703" w:type="dxa"/>
            <w:gridSpan w:val="3"/>
            <w:vAlign w:val="center"/>
          </w:tcPr>
          <w:p>
            <w:pPr>
              <w:adjustRightInd w:val="0"/>
              <w:snapToGrid w:val="0"/>
              <w:spacing w:line="240" w:lineRule="auto"/>
              <w:ind w:firstLine="0" w:firstLineChars="0"/>
              <w:jc w:val="center"/>
              <w:rPr>
                <w:color w:val="000000"/>
                <w:szCs w:val="21"/>
              </w:rPr>
            </w:pPr>
            <w:r>
              <w:rPr>
                <w:color w:val="000000"/>
                <w:szCs w:val="21"/>
              </w:rPr>
              <w:t>2509-350105-04-01-608441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67"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建设单位联系人</w:t>
            </w:r>
          </w:p>
        </w:tc>
        <w:tc>
          <w:tcPr>
            <w:tcW w:w="1852" w:type="dxa"/>
            <w:vAlign w:val="center"/>
          </w:tcPr>
          <w:p>
            <w:pPr>
              <w:adjustRightInd w:val="0"/>
              <w:snapToGrid w:val="0"/>
              <w:spacing w:line="240" w:lineRule="auto"/>
              <w:ind w:firstLine="0" w:firstLineChars="0"/>
              <w:jc w:val="center"/>
              <w:rPr>
                <w:color w:val="000000"/>
                <w:szCs w:val="21"/>
              </w:rPr>
            </w:pPr>
          </w:p>
        </w:tc>
        <w:tc>
          <w:tcPr>
            <w:tcW w:w="2212" w:type="dxa"/>
            <w:vAlign w:val="center"/>
          </w:tcPr>
          <w:p>
            <w:pPr>
              <w:adjustRightInd w:val="0"/>
              <w:snapToGrid w:val="0"/>
              <w:spacing w:line="240" w:lineRule="auto"/>
              <w:ind w:firstLine="0" w:firstLineChars="0"/>
              <w:jc w:val="center"/>
              <w:rPr>
                <w:color w:val="000000"/>
                <w:szCs w:val="21"/>
              </w:rPr>
            </w:pPr>
            <w:r>
              <w:rPr>
                <w:color w:val="000000"/>
                <w:szCs w:val="21"/>
              </w:rPr>
              <w:t>联系方式</w:t>
            </w:r>
          </w:p>
        </w:tc>
        <w:tc>
          <w:tcPr>
            <w:tcW w:w="2639" w:type="dxa"/>
            <w:vAlign w:val="center"/>
          </w:tcPr>
          <w:p>
            <w:pPr>
              <w:adjustRightInd w:val="0"/>
              <w:snapToGrid w:val="0"/>
              <w:spacing w:line="240" w:lineRule="auto"/>
              <w:ind w:firstLine="0" w:firstLineChars="0"/>
              <w:jc w:val="both"/>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2167"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建设地点</w:t>
            </w:r>
          </w:p>
        </w:tc>
        <w:tc>
          <w:tcPr>
            <w:tcW w:w="6703" w:type="dxa"/>
            <w:gridSpan w:val="3"/>
            <w:vAlign w:val="center"/>
          </w:tcPr>
          <w:p>
            <w:pPr>
              <w:adjustRightInd w:val="0"/>
              <w:snapToGrid w:val="0"/>
              <w:spacing w:line="240" w:lineRule="auto"/>
              <w:ind w:firstLine="0" w:firstLineChars="0"/>
              <w:jc w:val="center"/>
              <w:rPr>
                <w:rFonts w:hint="eastAsia" w:eastAsia="宋体"/>
                <w:color w:val="000000"/>
                <w:szCs w:val="21"/>
                <w:lang w:eastAsia="zh-CN"/>
              </w:rPr>
            </w:pPr>
            <w:r>
              <w:rPr>
                <w:rFonts w:hint="eastAsia"/>
                <w:color w:val="000000"/>
                <w:szCs w:val="21"/>
                <w:lang w:eastAsia="zh-CN"/>
              </w:rPr>
              <w:t>福建省福州市马尾区亭江镇亭江路66号福州（马尾）万洋众创（三期）B22#楼1层02厂房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地理坐标</w:t>
            </w:r>
          </w:p>
        </w:tc>
        <w:tc>
          <w:tcPr>
            <w:tcW w:w="6703" w:type="dxa"/>
            <w:gridSpan w:val="3"/>
            <w:vAlign w:val="center"/>
          </w:tcPr>
          <w:p>
            <w:pPr>
              <w:adjustRightInd w:val="0"/>
              <w:snapToGrid w:val="0"/>
              <w:spacing w:line="240" w:lineRule="auto"/>
              <w:ind w:firstLine="0" w:firstLineChars="0"/>
              <w:jc w:val="center"/>
              <w:rPr>
                <w:color w:val="000000"/>
                <w:szCs w:val="21"/>
              </w:rPr>
            </w:pPr>
            <w:r>
              <w:rPr>
                <w:color w:val="000000"/>
                <w:szCs w:val="21"/>
              </w:rPr>
              <w:t>经度：119°</w:t>
            </w:r>
            <w:r>
              <w:rPr>
                <w:rFonts w:hint="eastAsia"/>
                <w:color w:val="000000"/>
                <w:szCs w:val="21"/>
              </w:rPr>
              <w:t>29</w:t>
            </w:r>
            <w:r>
              <w:rPr>
                <w:color w:val="000000"/>
                <w:szCs w:val="21"/>
              </w:rPr>
              <w:t>′</w:t>
            </w:r>
            <w:r>
              <w:rPr>
                <w:rFonts w:hint="eastAsia"/>
                <w:color w:val="000000"/>
                <w:szCs w:val="21"/>
              </w:rPr>
              <w:t>34.276</w:t>
            </w:r>
            <w:r>
              <w:rPr>
                <w:color w:val="000000"/>
                <w:szCs w:val="21"/>
              </w:rPr>
              <w:t>″E；纬度：</w:t>
            </w:r>
            <w:r>
              <w:rPr>
                <w:rFonts w:hint="eastAsia"/>
                <w:color w:val="000000"/>
                <w:szCs w:val="21"/>
              </w:rPr>
              <w:t>26</w:t>
            </w:r>
            <w:r>
              <w:rPr>
                <w:color w:val="000000"/>
                <w:szCs w:val="21"/>
              </w:rPr>
              <w:t>°</w:t>
            </w:r>
            <w:r>
              <w:rPr>
                <w:rFonts w:hint="eastAsia"/>
                <w:color w:val="000000"/>
                <w:szCs w:val="21"/>
              </w:rPr>
              <w:t>4</w:t>
            </w:r>
            <w:r>
              <w:rPr>
                <w:color w:val="000000"/>
                <w:szCs w:val="21"/>
              </w:rPr>
              <w:t>′</w:t>
            </w:r>
            <w:r>
              <w:rPr>
                <w:rFonts w:hint="eastAsia"/>
                <w:color w:val="000000"/>
                <w:szCs w:val="21"/>
              </w:rPr>
              <w:t>22.347</w:t>
            </w:r>
            <w:r>
              <w:rPr>
                <w:color w:val="000000"/>
                <w:szCs w:val="21"/>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2167"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国民经济</w:t>
            </w:r>
          </w:p>
          <w:p>
            <w:pPr>
              <w:adjustRightInd w:val="0"/>
              <w:snapToGrid w:val="0"/>
              <w:spacing w:line="240" w:lineRule="auto"/>
              <w:ind w:firstLine="0" w:firstLineChars="0"/>
              <w:jc w:val="center"/>
              <w:rPr>
                <w:color w:val="000000"/>
                <w:szCs w:val="21"/>
              </w:rPr>
            </w:pPr>
            <w:r>
              <w:rPr>
                <w:color w:val="000000"/>
                <w:szCs w:val="21"/>
              </w:rPr>
              <w:t>行业类别</w:t>
            </w:r>
          </w:p>
        </w:tc>
        <w:tc>
          <w:tcPr>
            <w:tcW w:w="1852" w:type="dxa"/>
            <w:vAlign w:val="center"/>
          </w:tcPr>
          <w:p>
            <w:pPr>
              <w:adjustRightInd w:val="0"/>
              <w:snapToGrid w:val="0"/>
              <w:spacing w:line="240" w:lineRule="auto"/>
              <w:ind w:firstLine="0" w:firstLineChars="0"/>
              <w:jc w:val="center"/>
              <w:rPr>
                <w:color w:val="000000"/>
                <w:szCs w:val="21"/>
              </w:rPr>
            </w:pPr>
            <w:r>
              <w:rPr>
                <w:rFonts w:hint="eastAsia"/>
                <w:color w:val="000000"/>
              </w:rPr>
              <w:t>C2929 塑料零件及其他塑料制品制造</w:t>
            </w:r>
          </w:p>
        </w:tc>
        <w:tc>
          <w:tcPr>
            <w:tcW w:w="2212" w:type="dxa"/>
            <w:vAlign w:val="center"/>
          </w:tcPr>
          <w:p>
            <w:pPr>
              <w:adjustRightInd w:val="0"/>
              <w:snapToGrid w:val="0"/>
              <w:spacing w:line="240" w:lineRule="auto"/>
              <w:ind w:firstLine="0" w:firstLineChars="0"/>
              <w:jc w:val="center"/>
              <w:rPr>
                <w:color w:val="000000"/>
                <w:szCs w:val="21"/>
              </w:rPr>
            </w:pPr>
            <w:bookmarkStart w:id="2" w:name="_Hlk49843745"/>
            <w:r>
              <w:rPr>
                <w:color w:val="000000"/>
                <w:szCs w:val="21"/>
              </w:rPr>
              <w:t>建设项目</w:t>
            </w:r>
          </w:p>
          <w:p>
            <w:pPr>
              <w:adjustRightInd w:val="0"/>
              <w:snapToGrid w:val="0"/>
              <w:spacing w:line="240" w:lineRule="auto"/>
              <w:ind w:firstLine="0" w:firstLineChars="0"/>
              <w:jc w:val="center"/>
              <w:rPr>
                <w:color w:val="000000"/>
                <w:szCs w:val="21"/>
              </w:rPr>
            </w:pPr>
            <w:r>
              <w:rPr>
                <w:color w:val="000000"/>
                <w:szCs w:val="21"/>
              </w:rPr>
              <w:t>行业类别</w:t>
            </w:r>
            <w:bookmarkEnd w:id="2"/>
          </w:p>
        </w:tc>
        <w:tc>
          <w:tcPr>
            <w:tcW w:w="2639" w:type="dxa"/>
            <w:vAlign w:val="center"/>
          </w:tcPr>
          <w:p>
            <w:pPr>
              <w:adjustRightInd w:val="0"/>
              <w:snapToGrid w:val="0"/>
              <w:spacing w:line="240" w:lineRule="auto"/>
              <w:ind w:firstLine="0" w:firstLineChars="0"/>
              <w:jc w:val="center"/>
              <w:rPr>
                <w:color w:val="000000"/>
              </w:rPr>
            </w:pPr>
            <w:r>
              <w:rPr>
                <w:rFonts w:hint="eastAsia"/>
                <w:color w:val="000000"/>
              </w:rPr>
              <w:t>二十六、橡胶和塑料制品业 29；塑料制品业292；其他（年用非溶剂型低VOCs含量涂料10吨以下的除外）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67" w:type="dxa"/>
            <w:tcMar>
              <w:top w:w="16" w:type="dxa"/>
              <w:left w:w="16" w:type="dxa"/>
              <w:right w:w="16" w:type="dxa"/>
            </w:tcMar>
            <w:vAlign w:val="center"/>
          </w:tcPr>
          <w:p>
            <w:pPr>
              <w:adjustRightInd w:val="0"/>
              <w:snapToGrid w:val="0"/>
              <w:spacing w:line="240" w:lineRule="auto"/>
              <w:ind w:firstLine="0" w:firstLineChars="0"/>
              <w:jc w:val="center"/>
              <w:rPr>
                <w:color w:val="000000"/>
              </w:rPr>
            </w:pPr>
            <w:r>
              <w:rPr>
                <w:color w:val="000000"/>
              </w:rPr>
              <w:t>建设性质</w:t>
            </w:r>
          </w:p>
        </w:tc>
        <w:tc>
          <w:tcPr>
            <w:tcW w:w="1852" w:type="dxa"/>
            <w:vAlign w:val="center"/>
          </w:tcPr>
          <w:p>
            <w:pPr>
              <w:adjustRightInd w:val="0"/>
              <w:snapToGrid w:val="0"/>
              <w:spacing w:line="240" w:lineRule="auto"/>
              <w:ind w:firstLine="0" w:firstLineChars="0"/>
              <w:rPr>
                <w:color w:val="000000"/>
              </w:rPr>
            </w:pPr>
            <w:r>
              <w:rPr>
                <w:rFonts w:hint="eastAsia"/>
                <w:color w:val="000000"/>
              </w:rPr>
              <w:t>☑</w:t>
            </w:r>
            <w:r>
              <w:rPr>
                <w:color w:val="000000"/>
              </w:rPr>
              <w:t>新建</w:t>
            </w:r>
            <w:r>
              <w:rPr>
                <w:rFonts w:hint="eastAsia"/>
                <w:color w:val="000000"/>
              </w:rPr>
              <w:t>（</w:t>
            </w:r>
            <w:r>
              <w:rPr>
                <w:color w:val="000000"/>
              </w:rPr>
              <w:t>迁建</w:t>
            </w:r>
            <w:r>
              <w:rPr>
                <w:rFonts w:hint="eastAsia"/>
                <w:color w:val="000000"/>
              </w:rPr>
              <w:t>）</w:t>
            </w:r>
          </w:p>
          <w:p>
            <w:pPr>
              <w:adjustRightInd w:val="0"/>
              <w:snapToGrid w:val="0"/>
              <w:spacing w:line="240" w:lineRule="auto"/>
              <w:ind w:firstLine="0" w:firstLineChars="0"/>
              <w:rPr>
                <w:color w:val="000000"/>
              </w:rPr>
            </w:pPr>
            <w:r>
              <w:rPr>
                <w:rFonts w:hint="eastAsia"/>
                <w:color w:val="000000"/>
              </w:rPr>
              <w:t>□</w:t>
            </w:r>
            <w:r>
              <w:rPr>
                <w:color w:val="000000"/>
              </w:rPr>
              <w:t>改建</w:t>
            </w:r>
          </w:p>
          <w:p>
            <w:pPr>
              <w:adjustRightInd w:val="0"/>
              <w:snapToGrid w:val="0"/>
              <w:spacing w:line="240" w:lineRule="auto"/>
              <w:ind w:firstLine="0" w:firstLineChars="0"/>
              <w:rPr>
                <w:color w:val="000000"/>
              </w:rPr>
            </w:pPr>
            <w:r>
              <w:rPr>
                <w:rFonts w:hint="eastAsia"/>
                <w:color w:val="000000"/>
              </w:rPr>
              <w:t>□</w:t>
            </w:r>
            <w:r>
              <w:rPr>
                <w:color w:val="000000"/>
              </w:rPr>
              <w:t>扩建</w:t>
            </w:r>
          </w:p>
          <w:p>
            <w:pPr>
              <w:adjustRightInd w:val="0"/>
              <w:snapToGrid w:val="0"/>
              <w:spacing w:line="240" w:lineRule="auto"/>
              <w:ind w:firstLine="0" w:firstLineChars="0"/>
              <w:rPr>
                <w:color w:val="000000"/>
              </w:rPr>
            </w:pPr>
            <w:r>
              <w:rPr>
                <w:rFonts w:hint="eastAsia"/>
                <w:color w:val="000000"/>
              </w:rPr>
              <w:t>□</w:t>
            </w:r>
            <w:r>
              <w:rPr>
                <w:color w:val="000000"/>
              </w:rPr>
              <w:t>技术改造</w:t>
            </w:r>
          </w:p>
        </w:tc>
        <w:tc>
          <w:tcPr>
            <w:tcW w:w="2212" w:type="dxa"/>
            <w:vAlign w:val="center"/>
          </w:tcPr>
          <w:p>
            <w:pPr>
              <w:adjustRightInd w:val="0"/>
              <w:snapToGrid w:val="0"/>
              <w:spacing w:line="240" w:lineRule="auto"/>
              <w:ind w:firstLine="0" w:firstLineChars="0"/>
              <w:jc w:val="center"/>
              <w:rPr>
                <w:color w:val="000000"/>
              </w:rPr>
            </w:pPr>
            <w:r>
              <w:rPr>
                <w:color w:val="000000"/>
              </w:rPr>
              <w:t>建设项目</w:t>
            </w:r>
          </w:p>
          <w:p>
            <w:pPr>
              <w:adjustRightInd w:val="0"/>
              <w:snapToGrid w:val="0"/>
              <w:spacing w:line="240" w:lineRule="auto"/>
              <w:ind w:firstLine="0" w:firstLineChars="0"/>
              <w:jc w:val="center"/>
              <w:rPr>
                <w:color w:val="000000"/>
              </w:rPr>
            </w:pPr>
            <w:r>
              <w:rPr>
                <w:color w:val="000000"/>
              </w:rPr>
              <w:t>申报情形</w:t>
            </w:r>
          </w:p>
        </w:tc>
        <w:tc>
          <w:tcPr>
            <w:tcW w:w="2639" w:type="dxa"/>
            <w:vAlign w:val="center"/>
          </w:tcPr>
          <w:p>
            <w:pPr>
              <w:adjustRightInd w:val="0"/>
              <w:snapToGrid w:val="0"/>
              <w:spacing w:line="240" w:lineRule="auto"/>
              <w:ind w:firstLine="0" w:firstLineChars="0"/>
              <w:rPr>
                <w:color w:val="000000"/>
              </w:rPr>
            </w:pPr>
            <w:r>
              <w:rPr>
                <w:color w:val="000000"/>
              </w:rPr>
              <w:t>☑首次申报项目</w:t>
            </w:r>
          </w:p>
          <w:p>
            <w:pPr>
              <w:adjustRightInd w:val="0"/>
              <w:snapToGrid w:val="0"/>
              <w:spacing w:line="240" w:lineRule="auto"/>
              <w:ind w:firstLine="0" w:firstLineChars="0"/>
              <w:rPr>
                <w:color w:val="000000"/>
              </w:rPr>
            </w:pPr>
            <w:r>
              <w:rPr>
                <w:rFonts w:hint="eastAsia"/>
                <w:color w:val="000000"/>
              </w:rPr>
              <w:t>□</w:t>
            </w:r>
            <w:r>
              <w:rPr>
                <w:color w:val="000000"/>
              </w:rPr>
              <w:t>不予批准后再次申报项目</w:t>
            </w:r>
          </w:p>
          <w:p>
            <w:pPr>
              <w:adjustRightInd w:val="0"/>
              <w:snapToGrid w:val="0"/>
              <w:spacing w:line="240" w:lineRule="auto"/>
              <w:ind w:firstLine="0" w:firstLineChars="0"/>
              <w:rPr>
                <w:color w:val="000000"/>
              </w:rPr>
            </w:pPr>
            <w:r>
              <w:rPr>
                <w:rFonts w:hint="eastAsia"/>
                <w:color w:val="000000"/>
              </w:rPr>
              <w:t>□</w:t>
            </w:r>
            <w:r>
              <w:rPr>
                <w:color w:val="000000"/>
              </w:rPr>
              <w:t>超五年重新审核项目</w:t>
            </w:r>
            <w:r>
              <w:rPr>
                <w:rFonts w:hint="eastAsia"/>
                <w:color w:val="000000"/>
              </w:rPr>
              <w:t>□</w:t>
            </w:r>
            <w:r>
              <w:rPr>
                <w:color w:val="000000"/>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67"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项目审批</w:t>
            </w:r>
            <w:r>
              <w:rPr>
                <w:rFonts w:hint="eastAsia"/>
                <w:color w:val="000000"/>
                <w:szCs w:val="21"/>
              </w:rPr>
              <w:t>（</w:t>
            </w:r>
            <w:r>
              <w:rPr>
                <w:color w:val="000000"/>
                <w:szCs w:val="21"/>
              </w:rPr>
              <w:t>核准/</w:t>
            </w:r>
          </w:p>
          <w:p>
            <w:pPr>
              <w:adjustRightInd w:val="0"/>
              <w:snapToGrid w:val="0"/>
              <w:spacing w:line="240" w:lineRule="auto"/>
              <w:ind w:firstLine="0" w:firstLineChars="0"/>
              <w:jc w:val="center"/>
              <w:rPr>
                <w:color w:val="000000"/>
                <w:szCs w:val="21"/>
              </w:rPr>
            </w:pPr>
            <w:r>
              <w:rPr>
                <w:color w:val="000000"/>
                <w:szCs w:val="21"/>
              </w:rPr>
              <w:t>备案</w:t>
            </w:r>
            <w:r>
              <w:rPr>
                <w:rFonts w:hint="eastAsia"/>
                <w:color w:val="000000"/>
                <w:szCs w:val="21"/>
              </w:rPr>
              <w:t>）</w:t>
            </w:r>
            <w:r>
              <w:rPr>
                <w:color w:val="000000"/>
                <w:szCs w:val="21"/>
              </w:rPr>
              <w:t>部门</w:t>
            </w:r>
            <w:r>
              <w:rPr>
                <w:rFonts w:hint="eastAsia"/>
                <w:color w:val="000000"/>
                <w:szCs w:val="21"/>
              </w:rPr>
              <w:t>（</w:t>
            </w:r>
            <w:r>
              <w:rPr>
                <w:color w:val="000000"/>
                <w:szCs w:val="21"/>
              </w:rPr>
              <w:t>选填</w:t>
            </w:r>
            <w:r>
              <w:rPr>
                <w:rFonts w:hint="eastAsia"/>
                <w:color w:val="000000"/>
                <w:szCs w:val="21"/>
              </w:rPr>
              <w:t>）</w:t>
            </w:r>
          </w:p>
        </w:tc>
        <w:tc>
          <w:tcPr>
            <w:tcW w:w="1852" w:type="dxa"/>
            <w:vAlign w:val="center"/>
          </w:tcPr>
          <w:p>
            <w:pPr>
              <w:adjustRightInd w:val="0"/>
              <w:snapToGrid w:val="0"/>
              <w:spacing w:line="240" w:lineRule="auto"/>
              <w:ind w:firstLine="0" w:firstLineChars="0"/>
              <w:jc w:val="center"/>
              <w:rPr>
                <w:color w:val="000000"/>
                <w:szCs w:val="21"/>
              </w:rPr>
            </w:pPr>
            <w:r>
              <w:rPr>
                <w:rFonts w:hint="eastAsia"/>
                <w:color w:val="000000"/>
                <w:szCs w:val="21"/>
              </w:rPr>
              <w:t>福州经济技术开发区发展和改革局</w:t>
            </w:r>
          </w:p>
        </w:tc>
        <w:tc>
          <w:tcPr>
            <w:tcW w:w="2212" w:type="dxa"/>
            <w:vAlign w:val="center"/>
          </w:tcPr>
          <w:p>
            <w:pPr>
              <w:adjustRightInd w:val="0"/>
              <w:snapToGrid w:val="0"/>
              <w:spacing w:line="240" w:lineRule="auto"/>
              <w:ind w:firstLine="0" w:firstLineChars="0"/>
              <w:jc w:val="center"/>
              <w:rPr>
                <w:color w:val="000000"/>
                <w:szCs w:val="21"/>
              </w:rPr>
            </w:pPr>
            <w:r>
              <w:rPr>
                <w:color w:val="000000"/>
                <w:szCs w:val="21"/>
              </w:rPr>
              <w:t>项目审批</w:t>
            </w:r>
            <w:r>
              <w:rPr>
                <w:rFonts w:hint="eastAsia"/>
                <w:color w:val="000000"/>
                <w:szCs w:val="21"/>
              </w:rPr>
              <w:t>（</w:t>
            </w:r>
            <w:r>
              <w:rPr>
                <w:color w:val="000000"/>
                <w:szCs w:val="21"/>
              </w:rPr>
              <w:t>核准/</w:t>
            </w:r>
          </w:p>
          <w:p>
            <w:pPr>
              <w:adjustRightInd w:val="0"/>
              <w:snapToGrid w:val="0"/>
              <w:spacing w:line="240" w:lineRule="auto"/>
              <w:ind w:firstLine="0" w:firstLineChars="0"/>
              <w:jc w:val="center"/>
              <w:rPr>
                <w:color w:val="000000"/>
                <w:szCs w:val="21"/>
              </w:rPr>
            </w:pPr>
            <w:r>
              <w:rPr>
                <w:color w:val="000000"/>
                <w:szCs w:val="21"/>
              </w:rPr>
              <w:t>备案</w:t>
            </w:r>
            <w:r>
              <w:rPr>
                <w:rFonts w:hint="eastAsia"/>
                <w:color w:val="000000"/>
                <w:szCs w:val="21"/>
              </w:rPr>
              <w:t>）</w:t>
            </w:r>
            <w:r>
              <w:rPr>
                <w:color w:val="000000"/>
                <w:szCs w:val="21"/>
              </w:rPr>
              <w:t>文号</w:t>
            </w:r>
            <w:r>
              <w:rPr>
                <w:rFonts w:hint="eastAsia"/>
                <w:color w:val="000000"/>
                <w:szCs w:val="21"/>
              </w:rPr>
              <w:t>（</w:t>
            </w:r>
            <w:r>
              <w:rPr>
                <w:color w:val="000000"/>
                <w:szCs w:val="21"/>
              </w:rPr>
              <w:t>选填</w:t>
            </w:r>
            <w:r>
              <w:rPr>
                <w:rFonts w:hint="eastAsia"/>
                <w:color w:val="000000"/>
                <w:szCs w:val="21"/>
              </w:rPr>
              <w:t>）</w:t>
            </w:r>
          </w:p>
        </w:tc>
        <w:tc>
          <w:tcPr>
            <w:tcW w:w="2639" w:type="dxa"/>
            <w:vAlign w:val="center"/>
          </w:tcPr>
          <w:p>
            <w:pPr>
              <w:adjustRightInd w:val="0"/>
              <w:snapToGrid w:val="0"/>
              <w:spacing w:line="240" w:lineRule="auto"/>
              <w:ind w:firstLine="0" w:firstLineChars="0"/>
              <w:jc w:val="center"/>
              <w:rPr>
                <w:rFonts w:hint="eastAsia" w:eastAsia="宋体"/>
                <w:color w:val="000000"/>
                <w:szCs w:val="21"/>
                <w:lang w:eastAsia="zh-CN"/>
              </w:rPr>
            </w:pPr>
            <w:r>
              <w:rPr>
                <w:rFonts w:hint="eastAsia"/>
                <w:color w:val="000000"/>
                <w:szCs w:val="21"/>
                <w:lang w:eastAsia="zh-CN"/>
              </w:rPr>
              <w:t>闽发改备[2025]A050157号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总投资</w:t>
            </w:r>
            <w:r>
              <w:rPr>
                <w:rFonts w:hint="eastAsia"/>
                <w:color w:val="000000"/>
                <w:szCs w:val="21"/>
              </w:rPr>
              <w:t>（</w:t>
            </w:r>
            <w:r>
              <w:rPr>
                <w:color w:val="000000"/>
                <w:szCs w:val="21"/>
              </w:rPr>
              <w:t>万元</w:t>
            </w:r>
            <w:r>
              <w:rPr>
                <w:rFonts w:hint="eastAsia"/>
                <w:color w:val="000000"/>
                <w:szCs w:val="21"/>
              </w:rPr>
              <w:t>）</w:t>
            </w:r>
          </w:p>
        </w:tc>
        <w:tc>
          <w:tcPr>
            <w:tcW w:w="1852" w:type="dxa"/>
            <w:vAlign w:val="center"/>
          </w:tcPr>
          <w:p>
            <w:pPr>
              <w:adjustRightInd w:val="0"/>
              <w:snapToGrid w:val="0"/>
              <w:spacing w:line="240" w:lineRule="auto"/>
              <w:ind w:firstLine="0" w:firstLineChars="0"/>
              <w:jc w:val="center"/>
              <w:rPr>
                <w:color w:val="000000"/>
                <w:szCs w:val="21"/>
              </w:rPr>
            </w:pPr>
            <w:r>
              <w:rPr>
                <w:rFonts w:hint="eastAsia"/>
                <w:color w:val="000000"/>
                <w:szCs w:val="21"/>
              </w:rPr>
              <w:t>500</w:t>
            </w:r>
          </w:p>
        </w:tc>
        <w:tc>
          <w:tcPr>
            <w:tcW w:w="2212"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环保投资</w:t>
            </w:r>
            <w:r>
              <w:rPr>
                <w:rFonts w:hint="eastAsia"/>
                <w:color w:val="000000"/>
                <w:szCs w:val="21"/>
              </w:rPr>
              <w:t>（</w:t>
            </w:r>
            <w:r>
              <w:rPr>
                <w:color w:val="000000"/>
                <w:szCs w:val="21"/>
              </w:rPr>
              <w:t>万元</w:t>
            </w:r>
            <w:r>
              <w:rPr>
                <w:rFonts w:hint="eastAsia"/>
                <w:color w:val="000000"/>
                <w:szCs w:val="21"/>
              </w:rPr>
              <w:t>）</w:t>
            </w:r>
          </w:p>
        </w:tc>
        <w:tc>
          <w:tcPr>
            <w:tcW w:w="2639" w:type="dxa"/>
            <w:vAlign w:val="center"/>
          </w:tcPr>
          <w:p>
            <w:pPr>
              <w:adjustRightInd w:val="0"/>
              <w:snapToGrid w:val="0"/>
              <w:spacing w:line="240" w:lineRule="auto"/>
              <w:ind w:firstLine="0" w:firstLineChars="0"/>
              <w:jc w:val="center"/>
              <w:rPr>
                <w:color w:val="000000"/>
                <w:szCs w:val="21"/>
              </w:rPr>
            </w:pPr>
            <w:r>
              <w:rPr>
                <w:rFonts w:hint="eastAsia"/>
                <w:color w:val="000000"/>
                <w:szCs w:val="21"/>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环保投资占比</w:t>
            </w:r>
            <w:r>
              <w:rPr>
                <w:rFonts w:hint="eastAsia"/>
                <w:color w:val="000000"/>
                <w:szCs w:val="21"/>
              </w:rPr>
              <w:t>（</w:t>
            </w:r>
            <w:r>
              <w:rPr>
                <w:color w:val="000000"/>
                <w:szCs w:val="21"/>
              </w:rPr>
              <w:t>%</w:t>
            </w:r>
            <w:r>
              <w:rPr>
                <w:rFonts w:hint="eastAsia"/>
                <w:color w:val="000000"/>
                <w:szCs w:val="21"/>
              </w:rPr>
              <w:t>）</w:t>
            </w:r>
          </w:p>
        </w:tc>
        <w:tc>
          <w:tcPr>
            <w:tcW w:w="1852" w:type="dxa"/>
            <w:vAlign w:val="center"/>
          </w:tcPr>
          <w:p>
            <w:pPr>
              <w:adjustRightInd w:val="0"/>
              <w:snapToGrid w:val="0"/>
              <w:spacing w:line="240" w:lineRule="auto"/>
              <w:ind w:firstLine="0" w:firstLineChars="0"/>
              <w:jc w:val="center"/>
              <w:rPr>
                <w:color w:val="000000"/>
                <w:szCs w:val="21"/>
              </w:rPr>
            </w:pPr>
            <w:r>
              <w:rPr>
                <w:rFonts w:hint="eastAsia"/>
                <w:color w:val="000000"/>
                <w:szCs w:val="21"/>
              </w:rPr>
              <w:t>16</w:t>
            </w:r>
          </w:p>
        </w:tc>
        <w:tc>
          <w:tcPr>
            <w:tcW w:w="2212" w:type="dxa"/>
            <w:tcMar>
              <w:top w:w="16" w:type="dxa"/>
              <w:left w:w="16" w:type="dxa"/>
              <w:right w:w="16" w:type="dxa"/>
            </w:tcMar>
            <w:vAlign w:val="center"/>
          </w:tcPr>
          <w:p>
            <w:pPr>
              <w:adjustRightInd w:val="0"/>
              <w:snapToGrid w:val="0"/>
              <w:spacing w:line="240" w:lineRule="auto"/>
              <w:ind w:firstLine="0" w:firstLineChars="0"/>
              <w:jc w:val="center"/>
              <w:rPr>
                <w:color w:val="000000"/>
                <w:szCs w:val="21"/>
              </w:rPr>
            </w:pPr>
            <w:r>
              <w:rPr>
                <w:color w:val="000000"/>
                <w:szCs w:val="21"/>
              </w:rPr>
              <w:t>施工工期</w:t>
            </w:r>
          </w:p>
        </w:tc>
        <w:tc>
          <w:tcPr>
            <w:tcW w:w="2639" w:type="dxa"/>
            <w:vAlign w:val="center"/>
          </w:tcPr>
          <w:p>
            <w:pPr>
              <w:adjustRightInd w:val="0"/>
              <w:snapToGrid w:val="0"/>
              <w:spacing w:line="240" w:lineRule="auto"/>
              <w:ind w:firstLine="0" w:firstLineChars="0"/>
              <w:jc w:val="center"/>
              <w:rPr>
                <w:color w:val="000000"/>
                <w:szCs w:val="21"/>
              </w:rPr>
            </w:pPr>
            <w:r>
              <w:rPr>
                <w:rFonts w:hint="eastAsia"/>
                <w:color w:val="000000"/>
                <w:szCs w:val="21"/>
              </w:rPr>
              <w:t>1</w:t>
            </w:r>
            <w:r>
              <w:rPr>
                <w:color w:val="000000"/>
                <w:szCs w:val="21"/>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pPr>
              <w:adjustRightInd w:val="0"/>
              <w:snapToGrid w:val="0"/>
              <w:ind w:firstLine="0" w:firstLineChars="0"/>
              <w:jc w:val="center"/>
              <w:rPr>
                <w:color w:val="000000"/>
                <w:szCs w:val="21"/>
              </w:rPr>
            </w:pPr>
            <w:r>
              <w:rPr>
                <w:color w:val="000000"/>
                <w:szCs w:val="21"/>
              </w:rPr>
              <w:t>是否开工建设</w:t>
            </w:r>
          </w:p>
        </w:tc>
        <w:tc>
          <w:tcPr>
            <w:tcW w:w="1852" w:type="dxa"/>
            <w:vAlign w:val="center"/>
          </w:tcPr>
          <w:p>
            <w:pPr>
              <w:adjustRightInd w:val="0"/>
              <w:snapToGrid w:val="0"/>
              <w:ind w:firstLine="0" w:firstLineChars="0"/>
              <w:rPr>
                <w:color w:val="000000"/>
                <w:szCs w:val="21"/>
              </w:rPr>
            </w:pPr>
            <w:r>
              <w:rPr>
                <w:color w:val="000000"/>
                <w:szCs w:val="21"/>
              </w:rPr>
              <w:t>☑否</w:t>
            </w:r>
          </w:p>
          <w:p>
            <w:pPr>
              <w:adjustRightInd w:val="0"/>
              <w:snapToGrid w:val="0"/>
              <w:ind w:firstLine="0" w:firstLineChars="0"/>
              <w:rPr>
                <w:color w:val="000000"/>
                <w:szCs w:val="21"/>
              </w:rPr>
            </w:pPr>
            <w:r>
              <w:rPr>
                <w:rFonts w:hint="eastAsia" w:ascii="等线" w:hAnsi="等线" w:eastAsia="等线" w:cs="等线"/>
                <w:color w:val="000000"/>
                <w:szCs w:val="21"/>
              </w:rPr>
              <w:t>□</w:t>
            </w:r>
            <w:r>
              <w:rPr>
                <w:color w:val="000000"/>
                <w:szCs w:val="21"/>
              </w:rPr>
              <w:t>是：</w:t>
            </w:r>
            <w:r>
              <w:rPr>
                <w:color w:val="000000"/>
                <w:szCs w:val="21"/>
                <w:u w:val="single"/>
              </w:rPr>
              <w:t xml:space="preserve">             </w:t>
            </w:r>
          </w:p>
        </w:tc>
        <w:tc>
          <w:tcPr>
            <w:tcW w:w="2212" w:type="dxa"/>
            <w:tcMar>
              <w:top w:w="16" w:type="dxa"/>
              <w:left w:w="16" w:type="dxa"/>
              <w:right w:w="16" w:type="dxa"/>
            </w:tcMar>
            <w:vAlign w:val="center"/>
          </w:tcPr>
          <w:p>
            <w:pPr>
              <w:adjustRightInd w:val="0"/>
              <w:snapToGrid w:val="0"/>
              <w:ind w:firstLine="0" w:firstLineChars="0"/>
              <w:jc w:val="center"/>
              <w:rPr>
                <w:color w:val="000000"/>
                <w:szCs w:val="21"/>
              </w:rPr>
            </w:pPr>
            <w:r>
              <w:rPr>
                <w:color w:val="000000"/>
                <w:spacing w:val="-6"/>
                <w:szCs w:val="21"/>
              </w:rPr>
              <w:t>用地</w:t>
            </w:r>
            <w:r>
              <w:rPr>
                <w:rFonts w:hint="eastAsia"/>
                <w:color w:val="000000"/>
                <w:spacing w:val="-6"/>
                <w:szCs w:val="21"/>
              </w:rPr>
              <w:t>（</w:t>
            </w:r>
            <w:r>
              <w:rPr>
                <w:color w:val="000000"/>
                <w:spacing w:val="-6"/>
                <w:szCs w:val="21"/>
              </w:rPr>
              <w:t>用海</w:t>
            </w:r>
            <w:r>
              <w:rPr>
                <w:rFonts w:hint="eastAsia"/>
                <w:color w:val="000000"/>
                <w:spacing w:val="-6"/>
                <w:szCs w:val="21"/>
              </w:rPr>
              <w:t>）</w:t>
            </w:r>
            <w:r>
              <w:rPr>
                <w:color w:val="000000"/>
                <w:spacing w:val="-6"/>
                <w:szCs w:val="21"/>
              </w:rPr>
              <w:t>面积</w:t>
            </w:r>
            <w:r>
              <w:rPr>
                <w:rFonts w:hint="eastAsia"/>
                <w:color w:val="000000"/>
                <w:spacing w:val="-6"/>
                <w:szCs w:val="21"/>
              </w:rPr>
              <w:t>（</w:t>
            </w:r>
            <w:r>
              <w:rPr>
                <w:color w:val="000000"/>
                <w:spacing w:val="-6"/>
                <w:szCs w:val="21"/>
              </w:rPr>
              <w:t>m</w:t>
            </w:r>
            <w:r>
              <w:rPr>
                <w:color w:val="000000"/>
                <w:spacing w:val="-6"/>
                <w:szCs w:val="21"/>
                <w:vertAlign w:val="superscript"/>
              </w:rPr>
              <w:t>2</w:t>
            </w:r>
            <w:r>
              <w:rPr>
                <w:rFonts w:hint="eastAsia"/>
                <w:color w:val="000000"/>
                <w:spacing w:val="-6"/>
                <w:szCs w:val="21"/>
              </w:rPr>
              <w:t>）</w:t>
            </w:r>
          </w:p>
        </w:tc>
        <w:tc>
          <w:tcPr>
            <w:tcW w:w="2639" w:type="dxa"/>
            <w:vAlign w:val="center"/>
          </w:tcPr>
          <w:p>
            <w:pPr>
              <w:adjustRightInd w:val="0"/>
              <w:snapToGrid w:val="0"/>
              <w:ind w:firstLine="0" w:firstLineChars="0"/>
              <w:jc w:val="center"/>
              <w:rPr>
                <w:color w:val="000000"/>
                <w:szCs w:val="21"/>
              </w:rPr>
            </w:pPr>
            <w:r>
              <w:rPr>
                <w:rFonts w:hint="eastAsia"/>
                <w:color w:val="000000"/>
                <w:szCs w:val="21"/>
              </w:rPr>
              <w:t>989.02</w:t>
            </w:r>
            <w:r>
              <w:rPr>
                <w:color w:val="000000"/>
                <w:spacing w:val="-6"/>
                <w:szCs w:val="21"/>
              </w:rPr>
              <w:t>m</w:t>
            </w:r>
            <w:r>
              <w:rPr>
                <w:color w:val="000000"/>
                <w:spacing w:val="-6"/>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67" w:type="dxa"/>
            <w:vAlign w:val="center"/>
          </w:tcPr>
          <w:p>
            <w:pPr>
              <w:autoSpaceDE w:val="0"/>
              <w:autoSpaceDN w:val="0"/>
              <w:adjustRightInd w:val="0"/>
              <w:snapToGrid w:val="0"/>
              <w:ind w:firstLine="0" w:firstLineChars="0"/>
              <w:jc w:val="center"/>
              <w:rPr>
                <w:color w:val="000000"/>
                <w:kern w:val="0"/>
                <w:szCs w:val="21"/>
              </w:rPr>
            </w:pPr>
            <w:r>
              <w:rPr>
                <w:color w:val="000000"/>
                <w:kern w:val="0"/>
                <w:szCs w:val="21"/>
              </w:rPr>
              <w:t>专项评价设置情况</w:t>
            </w:r>
          </w:p>
        </w:tc>
        <w:tc>
          <w:tcPr>
            <w:tcW w:w="6703" w:type="dxa"/>
            <w:gridSpan w:val="3"/>
            <w:vAlign w:val="center"/>
          </w:tcPr>
          <w:p>
            <w:r>
              <w:rPr>
                <w:rFonts w:hint="eastAsia"/>
              </w:rPr>
              <w:t>根据《建设项目环境影响报告表编制技术指南（污染影响类）（试行）》，土壤、声环境不开展专项评价，项目专项评价设置情况详见表1.1-1。</w:t>
            </w:r>
          </w:p>
          <w:p>
            <w:pPr>
              <w:pStyle w:val="96"/>
            </w:pPr>
            <w:r>
              <w:rPr>
                <w:rFonts w:hint="eastAsia"/>
              </w:rPr>
              <w:t>表1.1-1  项目专项评价设置表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83"/>
              <w:gridCol w:w="2948"/>
              <w:gridCol w:w="1841"/>
              <w:gridCol w:w="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2" w:hRule="atLeast"/>
                <w:jc w:val="center"/>
              </w:trPr>
              <w:tc>
                <w:tcPr>
                  <w:tcW w:w="681" w:type="pct"/>
                  <w:tcBorders>
                    <w:top w:val="single" w:color="000000" w:sz="12" w:space="0"/>
                    <w:tl2br w:val="nil"/>
                  </w:tcBorders>
                  <w:shd w:val="clear" w:color="auto" w:fill="auto"/>
                  <w:vAlign w:val="center"/>
                </w:tcPr>
                <w:p>
                  <w:pPr>
                    <w:pStyle w:val="53"/>
                    <w:rPr>
                      <w:b/>
                      <w:bCs/>
                    </w:rPr>
                  </w:pPr>
                  <w:r>
                    <w:rPr>
                      <w:b/>
                      <w:bCs/>
                    </w:rPr>
                    <w:t>专项评价类别</w:t>
                  </w:r>
                </w:p>
              </w:tc>
              <w:tc>
                <w:tcPr>
                  <w:tcW w:w="2272" w:type="pct"/>
                  <w:tcBorders>
                    <w:top w:val="single" w:color="000000" w:sz="12" w:space="0"/>
                  </w:tcBorders>
                  <w:shd w:val="clear" w:color="auto" w:fill="auto"/>
                  <w:vAlign w:val="center"/>
                </w:tcPr>
                <w:p>
                  <w:pPr>
                    <w:pStyle w:val="53"/>
                    <w:rPr>
                      <w:b/>
                      <w:bCs/>
                    </w:rPr>
                  </w:pPr>
                  <w:r>
                    <w:rPr>
                      <w:b/>
                      <w:bCs/>
                    </w:rPr>
                    <w:t>涉及项目类别</w:t>
                  </w:r>
                </w:p>
              </w:tc>
              <w:tc>
                <w:tcPr>
                  <w:tcW w:w="1419" w:type="pct"/>
                  <w:tcBorders>
                    <w:top w:val="single" w:color="000000" w:sz="12" w:space="0"/>
                  </w:tcBorders>
                  <w:shd w:val="clear" w:color="auto" w:fill="auto"/>
                  <w:vAlign w:val="center"/>
                </w:tcPr>
                <w:p>
                  <w:pPr>
                    <w:pStyle w:val="53"/>
                    <w:rPr>
                      <w:b/>
                      <w:bCs/>
                    </w:rPr>
                  </w:pPr>
                  <w:r>
                    <w:rPr>
                      <w:b/>
                      <w:bCs/>
                    </w:rPr>
                    <w:t>本项目评价</w:t>
                  </w:r>
                </w:p>
              </w:tc>
              <w:tc>
                <w:tcPr>
                  <w:tcW w:w="627" w:type="pct"/>
                  <w:tcBorders>
                    <w:top w:val="single" w:color="000000" w:sz="12" w:space="0"/>
                  </w:tcBorders>
                  <w:shd w:val="clear" w:color="auto" w:fill="auto"/>
                  <w:vAlign w:val="center"/>
                </w:tcPr>
                <w:p>
                  <w:pPr>
                    <w:pStyle w:val="53"/>
                    <w:rPr>
                      <w:b/>
                      <w:bCs/>
                    </w:rPr>
                  </w:pPr>
                  <w:r>
                    <w:rPr>
                      <w:b/>
                      <w:bCs/>
                    </w:rPr>
                    <w:t>是否设置专项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6" w:hRule="atLeast"/>
                <w:jc w:val="center"/>
              </w:trPr>
              <w:tc>
                <w:tcPr>
                  <w:tcW w:w="681" w:type="pct"/>
                  <w:shd w:val="clear" w:color="auto" w:fill="auto"/>
                  <w:vAlign w:val="center"/>
                </w:tcPr>
                <w:p>
                  <w:pPr>
                    <w:pStyle w:val="53"/>
                  </w:pPr>
                  <w:r>
                    <w:t>大气</w:t>
                  </w:r>
                </w:p>
              </w:tc>
              <w:tc>
                <w:tcPr>
                  <w:tcW w:w="2272" w:type="pct"/>
                  <w:shd w:val="clear" w:color="auto" w:fill="auto"/>
                  <w:vAlign w:val="center"/>
                </w:tcPr>
                <w:p>
                  <w:pPr>
                    <w:pStyle w:val="53"/>
                  </w:pPr>
                  <w:r>
                    <w:t>排放废气含有毒有害污染物、二噁英、苯并[a]芘、氰化物、氯气且厂界外500米范围内有环境空气保护目标的建设项目</w:t>
                  </w:r>
                </w:p>
              </w:tc>
              <w:tc>
                <w:tcPr>
                  <w:tcW w:w="1419" w:type="pct"/>
                  <w:shd w:val="clear" w:color="auto" w:fill="auto"/>
                  <w:vAlign w:val="center"/>
                </w:tcPr>
                <w:p>
                  <w:pPr>
                    <w:pStyle w:val="53"/>
                  </w:pPr>
                  <w:r>
                    <w:rPr>
                      <w:rFonts w:hint="eastAsia"/>
                    </w:rPr>
                    <w:t>本项目</w:t>
                  </w:r>
                  <w:r>
                    <w:t>排放废气</w:t>
                  </w:r>
                  <w:r>
                    <w:rPr>
                      <w:rFonts w:hint="eastAsia"/>
                    </w:rPr>
                    <w:t>中不</w:t>
                  </w:r>
                  <w:r>
                    <w:t>含有毒有害污染物、二噁英、苯并[a]芘、氰化物、氯气</w:t>
                  </w:r>
                  <w:r>
                    <w:rPr>
                      <w:rFonts w:hint="eastAsia"/>
                    </w:rPr>
                    <w:t>等</w:t>
                  </w:r>
                  <w:r>
                    <w:t>纳入《有毒有害大气污染物名录》的污染物</w:t>
                  </w:r>
                  <w:r>
                    <w:rPr>
                      <w:rFonts w:hint="eastAsia"/>
                    </w:rPr>
                    <w:t>，主要污染物为非甲烷总烃、</w:t>
                  </w:r>
                  <w:r>
                    <w:rPr>
                      <w:rFonts w:hint="eastAsia"/>
                      <w:lang w:val="en-US" w:eastAsia="zh-CN"/>
                    </w:rPr>
                    <w:t>苯乙烯、</w:t>
                  </w:r>
                  <w:r>
                    <w:rPr>
                      <w:rFonts w:hint="eastAsia"/>
                    </w:rPr>
                    <w:t>颗粒物</w:t>
                  </w:r>
                </w:p>
              </w:tc>
              <w:tc>
                <w:tcPr>
                  <w:tcW w:w="627" w:type="pct"/>
                  <w:shd w:val="clear" w:color="auto" w:fill="auto"/>
                  <w:vAlign w:val="center"/>
                </w:tcPr>
                <w:p>
                  <w:pPr>
                    <w:pStyle w:val="53"/>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21" w:hRule="atLeast"/>
                <w:jc w:val="center"/>
              </w:trPr>
              <w:tc>
                <w:tcPr>
                  <w:tcW w:w="681" w:type="pct"/>
                  <w:shd w:val="clear" w:color="auto" w:fill="auto"/>
                  <w:vAlign w:val="center"/>
                </w:tcPr>
                <w:p>
                  <w:pPr>
                    <w:pStyle w:val="53"/>
                  </w:pPr>
                  <w:r>
                    <w:t>地表水</w:t>
                  </w:r>
                </w:p>
              </w:tc>
              <w:tc>
                <w:tcPr>
                  <w:tcW w:w="2272" w:type="pct"/>
                  <w:shd w:val="clear" w:color="auto" w:fill="auto"/>
                  <w:vAlign w:val="center"/>
                </w:tcPr>
                <w:p>
                  <w:pPr>
                    <w:pStyle w:val="53"/>
                  </w:pPr>
                  <w:r>
                    <w:t>新增工业废水直排建设项目</w:t>
                  </w:r>
                  <w:r>
                    <w:rPr>
                      <w:rFonts w:hint="eastAsia"/>
                    </w:rPr>
                    <w:t>（</w:t>
                  </w:r>
                  <w:r>
                    <w:t>槽罐车外送污水处理厂的除外</w:t>
                  </w:r>
                  <w:r>
                    <w:rPr>
                      <w:rFonts w:hint="eastAsia"/>
                    </w:rPr>
                    <w:t>）</w:t>
                  </w:r>
                  <w:r>
                    <w:t>；新增废水直排的污水集中处理厂</w:t>
                  </w:r>
                </w:p>
              </w:tc>
              <w:tc>
                <w:tcPr>
                  <w:tcW w:w="1419" w:type="pct"/>
                  <w:shd w:val="clear" w:color="auto" w:fill="auto"/>
                  <w:vAlign w:val="center"/>
                </w:tcPr>
                <w:p>
                  <w:pPr>
                    <w:pStyle w:val="53"/>
                  </w:pPr>
                  <w:r>
                    <w:t>本项目无生产废水直排；生活污水</w:t>
                  </w:r>
                  <w:r>
                    <w:rPr>
                      <w:rFonts w:hint="eastAsia"/>
                    </w:rPr>
                    <w:t>依托万洋化粪池</w:t>
                  </w:r>
                  <w:r>
                    <w:t>预处理后接入市政污水管网</w:t>
                  </w:r>
                </w:p>
              </w:tc>
              <w:tc>
                <w:tcPr>
                  <w:tcW w:w="627" w:type="pct"/>
                  <w:shd w:val="clear" w:color="auto" w:fill="auto"/>
                  <w:vAlign w:val="center"/>
                </w:tcPr>
                <w:p>
                  <w:pPr>
                    <w:pStyle w:val="53"/>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2" w:hRule="atLeast"/>
                <w:jc w:val="center"/>
              </w:trPr>
              <w:tc>
                <w:tcPr>
                  <w:tcW w:w="681" w:type="pct"/>
                  <w:shd w:val="clear" w:color="auto" w:fill="auto"/>
                  <w:vAlign w:val="center"/>
                </w:tcPr>
                <w:p>
                  <w:pPr>
                    <w:pStyle w:val="53"/>
                  </w:pPr>
                  <w:r>
                    <w:t>环境</w:t>
                  </w:r>
                </w:p>
                <w:p>
                  <w:pPr>
                    <w:pStyle w:val="53"/>
                  </w:pPr>
                  <w:r>
                    <w:t>风险</w:t>
                  </w:r>
                </w:p>
              </w:tc>
              <w:tc>
                <w:tcPr>
                  <w:tcW w:w="2272" w:type="pct"/>
                  <w:shd w:val="clear" w:color="auto" w:fill="auto"/>
                  <w:vAlign w:val="center"/>
                </w:tcPr>
                <w:p>
                  <w:pPr>
                    <w:pStyle w:val="53"/>
                  </w:pPr>
                  <w:r>
                    <w:t>有毒有害和易燃易爆危险物质存储量超过临界量的建设项目</w:t>
                  </w:r>
                </w:p>
              </w:tc>
              <w:tc>
                <w:tcPr>
                  <w:tcW w:w="1419" w:type="pct"/>
                  <w:shd w:val="clear" w:color="auto" w:fill="auto"/>
                  <w:vAlign w:val="center"/>
                </w:tcPr>
                <w:p>
                  <w:pPr>
                    <w:pStyle w:val="53"/>
                  </w:pPr>
                  <w:r>
                    <w:t>本项目危险物质存储量未超过临界量</w:t>
                  </w:r>
                </w:p>
              </w:tc>
              <w:tc>
                <w:tcPr>
                  <w:tcW w:w="627" w:type="pct"/>
                  <w:shd w:val="clear" w:color="auto" w:fill="auto"/>
                  <w:vAlign w:val="center"/>
                </w:tcPr>
                <w:p>
                  <w:pPr>
                    <w:pStyle w:val="53"/>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4" w:hRule="atLeast"/>
                <w:jc w:val="center"/>
              </w:trPr>
              <w:tc>
                <w:tcPr>
                  <w:tcW w:w="681" w:type="pct"/>
                  <w:shd w:val="clear" w:color="auto" w:fill="auto"/>
                  <w:vAlign w:val="center"/>
                </w:tcPr>
                <w:p>
                  <w:pPr>
                    <w:pStyle w:val="53"/>
                  </w:pPr>
                  <w:r>
                    <w:t>生态</w:t>
                  </w:r>
                </w:p>
              </w:tc>
              <w:tc>
                <w:tcPr>
                  <w:tcW w:w="2272" w:type="pct"/>
                  <w:shd w:val="clear" w:color="auto" w:fill="auto"/>
                  <w:vAlign w:val="center"/>
                </w:tcPr>
                <w:p>
                  <w:pPr>
                    <w:pStyle w:val="53"/>
                  </w:pPr>
                  <w:r>
                    <w:t>取水口下游500米范围内有重要水生生物的自然产卵场、索饵场、越冬场和洄游通道的新增河道取水的污染类建设项目</w:t>
                  </w:r>
                </w:p>
              </w:tc>
              <w:tc>
                <w:tcPr>
                  <w:tcW w:w="1419" w:type="pct"/>
                  <w:shd w:val="clear" w:color="auto" w:fill="auto"/>
                  <w:vAlign w:val="center"/>
                </w:tcPr>
                <w:p>
                  <w:pPr>
                    <w:pStyle w:val="53"/>
                  </w:pPr>
                  <w:r>
                    <w:t>本项目不涉及取水口</w:t>
                  </w:r>
                </w:p>
              </w:tc>
              <w:tc>
                <w:tcPr>
                  <w:tcW w:w="627" w:type="pct"/>
                  <w:shd w:val="clear" w:color="auto" w:fill="auto"/>
                  <w:vAlign w:val="center"/>
                </w:tcPr>
                <w:p>
                  <w:pPr>
                    <w:pStyle w:val="53"/>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7" w:hRule="atLeast"/>
                <w:jc w:val="center"/>
              </w:trPr>
              <w:tc>
                <w:tcPr>
                  <w:tcW w:w="681" w:type="pct"/>
                  <w:shd w:val="clear" w:color="auto" w:fill="auto"/>
                  <w:vAlign w:val="center"/>
                </w:tcPr>
                <w:p>
                  <w:pPr>
                    <w:pStyle w:val="53"/>
                  </w:pPr>
                  <w:r>
                    <w:t>海洋</w:t>
                  </w:r>
                </w:p>
              </w:tc>
              <w:tc>
                <w:tcPr>
                  <w:tcW w:w="2272" w:type="pct"/>
                  <w:shd w:val="clear" w:color="auto" w:fill="auto"/>
                  <w:vAlign w:val="center"/>
                </w:tcPr>
                <w:p>
                  <w:pPr>
                    <w:pStyle w:val="53"/>
                  </w:pPr>
                  <w:r>
                    <w:t>直接向海排放污染物的海洋工程建设项目</w:t>
                  </w:r>
                </w:p>
              </w:tc>
              <w:tc>
                <w:tcPr>
                  <w:tcW w:w="1419" w:type="pct"/>
                  <w:shd w:val="clear" w:color="auto" w:fill="auto"/>
                  <w:vAlign w:val="center"/>
                </w:tcPr>
                <w:p>
                  <w:pPr>
                    <w:pStyle w:val="53"/>
                  </w:pPr>
                  <w:r>
                    <w:t>本项目不属于向海洋排放污染物的海洋工程建设项目</w:t>
                  </w:r>
                </w:p>
              </w:tc>
              <w:tc>
                <w:tcPr>
                  <w:tcW w:w="627" w:type="pct"/>
                  <w:shd w:val="clear" w:color="auto" w:fill="auto"/>
                  <w:vAlign w:val="center"/>
                </w:tcPr>
                <w:p>
                  <w:pPr>
                    <w:pStyle w:val="53"/>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7" w:hRule="atLeast"/>
                <w:jc w:val="center"/>
              </w:trPr>
              <w:tc>
                <w:tcPr>
                  <w:tcW w:w="681" w:type="pct"/>
                  <w:shd w:val="clear" w:color="auto" w:fill="auto"/>
                  <w:vAlign w:val="center"/>
                </w:tcPr>
                <w:p>
                  <w:pPr>
                    <w:pStyle w:val="53"/>
                  </w:pPr>
                  <w:r>
                    <w:t>地下水</w:t>
                  </w:r>
                </w:p>
              </w:tc>
              <w:tc>
                <w:tcPr>
                  <w:tcW w:w="2272" w:type="pct"/>
                  <w:shd w:val="clear" w:color="auto" w:fill="auto"/>
                  <w:vAlign w:val="center"/>
                </w:tcPr>
                <w:p>
                  <w:pPr>
                    <w:pStyle w:val="53"/>
                  </w:pPr>
                  <w:r>
                    <w:t>原则上不开展专项评价，涉及集中式饮用水水源和热水、矿泉水、温泉等特殊地下水资源保护区的开展地下水专项评价工作</w:t>
                  </w:r>
                </w:p>
              </w:tc>
              <w:tc>
                <w:tcPr>
                  <w:tcW w:w="1419" w:type="pct"/>
                  <w:shd w:val="clear" w:color="auto" w:fill="auto"/>
                  <w:vAlign w:val="center"/>
                </w:tcPr>
                <w:p>
                  <w:pPr>
                    <w:pStyle w:val="53"/>
                  </w:pPr>
                  <w:r>
                    <w:rPr>
                      <w:rFonts w:hint="eastAsia"/>
                    </w:rPr>
                    <w:t>本项目</w:t>
                  </w:r>
                  <w:r>
                    <w:t>不涉及集中式饮用水水源和热水、矿泉水、温泉等特殊地下水资源保护区</w:t>
                  </w:r>
                </w:p>
              </w:tc>
              <w:tc>
                <w:tcPr>
                  <w:tcW w:w="627" w:type="pct"/>
                  <w:shd w:val="clear" w:color="auto" w:fill="auto"/>
                  <w:vAlign w:val="center"/>
                </w:tcPr>
                <w:p>
                  <w:pPr>
                    <w:pStyle w:val="53"/>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7" w:hRule="atLeast"/>
                <w:jc w:val="center"/>
              </w:trPr>
              <w:tc>
                <w:tcPr>
                  <w:tcW w:w="5000" w:type="pct"/>
                  <w:gridSpan w:val="4"/>
                  <w:tcBorders>
                    <w:bottom w:val="single" w:color="000000" w:sz="12" w:space="0"/>
                  </w:tcBorders>
                  <w:shd w:val="clear" w:color="auto" w:fill="auto"/>
                  <w:vAlign w:val="center"/>
                </w:tcPr>
                <w:p>
                  <w:pPr>
                    <w:pStyle w:val="53"/>
                  </w:pPr>
                  <w:r>
                    <w:t>注:1.废气中有毒有害污染物指纳入《有毒有害大气污染物名录》的污染物</w:t>
                  </w:r>
                  <w:r>
                    <w:rPr>
                      <w:rFonts w:hint="eastAsia"/>
                    </w:rPr>
                    <w:t>（</w:t>
                  </w:r>
                  <w:r>
                    <w:t>不包括无排放标准的污染物</w:t>
                  </w:r>
                  <w:r>
                    <w:rPr>
                      <w:rFonts w:hint="eastAsia"/>
                    </w:rPr>
                    <w:t>）</w:t>
                  </w:r>
                  <w:r>
                    <w:t>。2.环境空气保护目标指自然保护区、风景名胜区、居住区、文化区和农村地区中人群较集中的区域。3.临界量及其计算方法可参考《建设项目环境风险评价技术导则》《HJ169》附录B、附录C</w:t>
                  </w:r>
                </w:p>
              </w:tc>
            </w:tr>
          </w:tbl>
          <w:p>
            <w:pPr>
              <w:rPr>
                <w:color w:val="000000"/>
                <w:kern w:val="0"/>
                <w:szCs w:val="21"/>
              </w:rPr>
            </w:pPr>
            <w:r>
              <w:rPr>
                <w:rFonts w:hint="eastAsia"/>
              </w:rPr>
              <w:t>综上所述，本项目无需开展专项评价工作。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67" w:type="dxa"/>
            <w:vAlign w:val="center"/>
          </w:tcPr>
          <w:p>
            <w:pPr>
              <w:autoSpaceDE w:val="0"/>
              <w:autoSpaceDN w:val="0"/>
              <w:adjustRightInd w:val="0"/>
              <w:snapToGrid w:val="0"/>
              <w:ind w:firstLine="0" w:firstLineChars="0"/>
              <w:jc w:val="center"/>
              <w:rPr>
                <w:color w:val="000000"/>
                <w:kern w:val="0"/>
                <w:szCs w:val="21"/>
              </w:rPr>
            </w:pPr>
            <w:r>
              <w:rPr>
                <w:color w:val="000000"/>
                <w:szCs w:val="21"/>
              </w:rPr>
              <w:t>规划情况</w:t>
            </w:r>
          </w:p>
        </w:tc>
        <w:tc>
          <w:tcPr>
            <w:tcW w:w="6703" w:type="dxa"/>
            <w:gridSpan w:val="3"/>
            <w:vAlign w:val="center"/>
          </w:tcPr>
          <w:p>
            <w:pPr>
              <w:rPr>
                <w:rFonts w:hint="eastAsia"/>
              </w:rPr>
            </w:pPr>
            <w:r>
              <w:rPr>
                <w:rFonts w:hint="eastAsia"/>
              </w:rPr>
              <w:t>①规划名称：《福州经济技术开发区扩区总体规划》</w:t>
            </w:r>
          </w:p>
          <w:p>
            <w:r>
              <w:t>审批机关：</w:t>
            </w:r>
            <w:r>
              <w:rPr>
                <w:rFonts w:cs="宋体"/>
              </w:rPr>
              <w:t>商务部、国土资源部（现自然资源部）、建设部（现住房和城乡建设部）</w:t>
            </w:r>
          </w:p>
          <w:p>
            <w:r>
              <w:t>审批文件名称及文号：</w:t>
            </w:r>
            <w:r>
              <w:rPr>
                <w:rFonts w:ascii="宋体" w:hAnsi="宋体" w:cs="宋体"/>
              </w:rPr>
              <w:t>商务部、国土资源部、建设部关于扩大福州经济技术开发区规划范围的复函</w:t>
            </w:r>
            <w:r>
              <w:rPr>
                <w:rFonts w:hint="eastAsia"/>
              </w:rPr>
              <w:t>（</w:t>
            </w:r>
            <w:r>
              <w:rPr>
                <w:rFonts w:cs="宋体"/>
              </w:rPr>
              <w:t>商资函[2004]200号</w:t>
            </w:r>
            <w:r>
              <w:rPr>
                <w:rFonts w:hint="eastAsia"/>
              </w:rPr>
              <w:t>）</w:t>
            </w:r>
          </w:p>
          <w:p>
            <w:r>
              <w:rPr>
                <w:rFonts w:hint="eastAsia"/>
              </w:rPr>
              <w:t>②规划名称：《</w:t>
            </w:r>
            <w:r>
              <w:rPr>
                <w:rFonts w:ascii="宋体" w:hAnsi="宋体" w:cs="宋体"/>
              </w:rPr>
              <w:t>福州自贸区（长安片区）控制性详细规划</w:t>
            </w:r>
            <w:r>
              <w:rPr>
                <w:rFonts w:hint="eastAsia"/>
              </w:rPr>
              <w:t>》</w:t>
            </w:r>
            <w:r>
              <w:t>，福州市规划设计研究院，20</w:t>
            </w:r>
            <w:r>
              <w:rPr>
                <w:rFonts w:hint="eastAsia"/>
              </w:rPr>
              <w:t>17</w:t>
            </w:r>
            <w:r>
              <w:t>年</w:t>
            </w:r>
            <w:r>
              <w:rPr>
                <w:rFonts w:hint="eastAsia"/>
              </w:rPr>
              <w:t>10</w:t>
            </w:r>
            <w:r>
              <w:t>月</w:t>
            </w:r>
          </w:p>
          <w:p>
            <w:r>
              <w:t>审批机关：</w:t>
            </w:r>
            <w:r>
              <w:rPr>
                <w:rFonts w:cs="宋体"/>
              </w:rPr>
              <w:t>无</w:t>
            </w:r>
          </w:p>
          <w:p>
            <w:pPr>
              <w:pStyle w:val="2"/>
              <w:ind w:firstLine="480"/>
            </w:pPr>
            <w:r>
              <w:t>审批文件名称及文号：</w:t>
            </w:r>
            <w:r>
              <w:rPr>
                <w:rFonts w:cs="宋体"/>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67" w:type="dxa"/>
            <w:vAlign w:val="center"/>
          </w:tcPr>
          <w:p>
            <w:pPr>
              <w:adjustRightInd w:val="0"/>
              <w:snapToGrid w:val="0"/>
              <w:ind w:firstLine="0" w:firstLineChars="0"/>
              <w:jc w:val="center"/>
              <w:rPr>
                <w:color w:val="000000"/>
                <w:szCs w:val="21"/>
              </w:rPr>
            </w:pPr>
            <w:r>
              <w:rPr>
                <w:color w:val="000000"/>
                <w:szCs w:val="21"/>
              </w:rPr>
              <w:t>规划环境影响</w:t>
            </w:r>
          </w:p>
          <w:p>
            <w:pPr>
              <w:adjustRightInd w:val="0"/>
              <w:snapToGrid w:val="0"/>
              <w:ind w:firstLine="0" w:firstLineChars="0"/>
              <w:jc w:val="center"/>
              <w:rPr>
                <w:color w:val="000000"/>
                <w:kern w:val="0"/>
                <w:szCs w:val="21"/>
              </w:rPr>
            </w:pPr>
            <w:r>
              <w:rPr>
                <w:color w:val="000000"/>
                <w:szCs w:val="21"/>
              </w:rPr>
              <w:t>评价情况</w:t>
            </w:r>
          </w:p>
        </w:tc>
        <w:tc>
          <w:tcPr>
            <w:tcW w:w="6703" w:type="dxa"/>
            <w:gridSpan w:val="3"/>
            <w:vAlign w:val="center"/>
          </w:tcPr>
          <w:p>
            <w:r>
              <w:rPr>
                <w:rFonts w:hint="eastAsia"/>
              </w:rPr>
              <w:t>规划环评文件名称：</w:t>
            </w:r>
            <w:r>
              <w:t>《</w:t>
            </w:r>
            <w:r>
              <w:rPr>
                <w:rFonts w:hint="eastAsia" w:ascii="宋体" w:hAnsi="宋体" w:cs="宋体"/>
                <w:color w:val="000000"/>
                <w:kern w:val="0"/>
              </w:rPr>
              <w:t>福州经济技术开发区扩区总体规划环境影响报告书</w:t>
            </w:r>
            <w:r>
              <w:t>》</w:t>
            </w:r>
          </w:p>
          <w:p>
            <w:pPr>
              <w:rPr>
                <w:rFonts w:hint="eastAsia"/>
              </w:rPr>
            </w:pPr>
            <w:r>
              <w:rPr>
                <w:rFonts w:hint="eastAsia"/>
              </w:rPr>
              <w:t>召集审查机关：原国家环境保护部</w:t>
            </w:r>
          </w:p>
          <w:p>
            <w:r>
              <w:rPr>
                <w:rFonts w:hint="eastAsia"/>
              </w:rPr>
              <w:t>审查文件名称及文号：无，于2012年4月19日通过原国家环境保护部审查</w:t>
            </w:r>
          </w:p>
        </w:tc>
      </w:tr>
    </w:tbl>
    <w:p>
      <w:pPr>
        <w:pStyle w:val="33"/>
        <w:ind w:firstLine="600"/>
        <w:jc w:val="center"/>
        <w:outlineLvl w:val="0"/>
        <w:rPr>
          <w:rFonts w:ascii="Times New Roman" w:hAnsi="Times New Roman"/>
          <w:snapToGrid w:val="0"/>
          <w:color w:val="000000"/>
          <w:sz w:val="30"/>
          <w:szCs w:val="30"/>
        </w:rPr>
        <w:sectPr>
          <w:footerReference r:id="rId12" w:type="default"/>
          <w:pgSz w:w="11906" w:h="16838"/>
          <w:pgMar w:top="1701" w:right="1531" w:bottom="1701" w:left="1531" w:header="851" w:footer="1077" w:gutter="0"/>
          <w:pgNumType w:start="1"/>
          <w:cols w:space="720" w:num="1"/>
          <w:docGrid w:linePitch="312" w:charSpace="0"/>
        </w:sectPr>
      </w:pP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7"/>
        <w:gridCol w:w="81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517" w:type="pct"/>
            <w:vAlign w:val="center"/>
          </w:tcPr>
          <w:p>
            <w:pPr>
              <w:autoSpaceDE w:val="0"/>
              <w:autoSpaceDN w:val="0"/>
              <w:adjustRightInd w:val="0"/>
              <w:snapToGrid w:val="0"/>
              <w:ind w:firstLine="0" w:firstLineChars="0"/>
              <w:jc w:val="center"/>
              <w:rPr>
                <w:color w:val="000000"/>
                <w:kern w:val="0"/>
                <w:szCs w:val="21"/>
              </w:rPr>
            </w:pPr>
            <w:r>
              <w:rPr>
                <w:color w:val="000000"/>
                <w:kern w:val="0"/>
                <w:szCs w:val="21"/>
              </w:rPr>
              <w:t>规划及规划环境影响评价符合性分析</w:t>
            </w:r>
          </w:p>
        </w:tc>
        <w:tc>
          <w:tcPr>
            <w:tcW w:w="4482" w:type="pct"/>
            <w:vAlign w:val="center"/>
          </w:tcPr>
          <w:p>
            <w:pPr>
              <w:pStyle w:val="4"/>
            </w:pPr>
            <w:bookmarkStart w:id="3" w:name="_Toc20823"/>
            <w:r>
              <w:t>与规划符合性分析</w:t>
            </w:r>
            <w:bookmarkEnd w:id="3"/>
          </w:p>
          <w:p>
            <w:pPr>
              <w:pStyle w:val="5"/>
              <w:spacing w:before="120"/>
            </w:pPr>
            <w:r>
              <w:rPr>
                <w:rFonts w:hint="eastAsia"/>
              </w:rPr>
              <w:t>与《福州经济技术开发区扩区总体规划》符合性分析</w:t>
            </w:r>
          </w:p>
          <w:p>
            <w:pPr>
              <w:pStyle w:val="159"/>
              <w:rPr>
                <w:rFonts w:cs="宋体"/>
                <w:szCs w:val="24"/>
              </w:rPr>
            </w:pPr>
            <w:r>
              <w:rPr>
                <w:rFonts w:cs="宋体"/>
                <w:szCs w:val="24"/>
              </w:rPr>
              <w:t>国家级福州经济技术开发区（以下简称</w:t>
            </w:r>
            <w:r>
              <w:rPr>
                <w:rFonts w:hint="eastAsia" w:cs="宋体"/>
                <w:szCs w:val="24"/>
              </w:rPr>
              <w:t>“</w:t>
            </w:r>
            <w:r>
              <w:rPr>
                <w:rFonts w:cs="宋体"/>
                <w:szCs w:val="24"/>
              </w:rPr>
              <w:t>开发区</w:t>
            </w:r>
            <w:r>
              <w:rPr>
                <w:rFonts w:hint="eastAsia" w:cs="宋体"/>
                <w:szCs w:val="24"/>
              </w:rPr>
              <w:t>”</w:t>
            </w:r>
            <w:r>
              <w:rPr>
                <w:rFonts w:cs="宋体"/>
                <w:szCs w:val="24"/>
              </w:rPr>
              <w:t>）行政管辖 范围包括罗星街道、马尾镇、亭江镇、琅岐镇等</w:t>
            </w:r>
            <w:r>
              <w:rPr>
                <w:rFonts w:hint="eastAsia" w:cs="宋体"/>
                <w:szCs w:val="24"/>
              </w:rPr>
              <w:t>“</w:t>
            </w:r>
            <w:r>
              <w:rPr>
                <w:rFonts w:cs="宋体"/>
                <w:szCs w:val="24"/>
              </w:rPr>
              <w:t>三镇一街</w:t>
            </w:r>
            <w:r>
              <w:rPr>
                <w:rFonts w:hint="eastAsia" w:cs="宋体"/>
                <w:szCs w:val="24"/>
              </w:rPr>
              <w:t>”</w:t>
            </w:r>
            <w:r>
              <w:rPr>
                <w:rFonts w:cs="宋体"/>
                <w:szCs w:val="24"/>
              </w:rPr>
              <w:t>，主要产业园区包括：快安片区、马江园区、长安投资区、琅岐经济区。开发区现有</w:t>
            </w:r>
            <w:r>
              <w:rPr>
                <w:rFonts w:hint="eastAsia" w:cs="宋体"/>
                <w:szCs w:val="24"/>
              </w:rPr>
              <w:t>国土面积</w:t>
            </w:r>
            <w:r>
              <w:rPr>
                <w:rFonts w:cs="宋体"/>
                <w:szCs w:val="24"/>
              </w:rPr>
              <w:t>23平方公里。</w:t>
            </w:r>
          </w:p>
          <w:p>
            <w:pPr>
              <w:pStyle w:val="159"/>
              <w:rPr>
                <w:rFonts w:cs="宋体"/>
                <w:szCs w:val="24"/>
              </w:rPr>
            </w:pPr>
            <w:r>
              <w:rPr>
                <w:rFonts w:cs="宋体"/>
                <w:szCs w:val="24"/>
              </w:rPr>
              <w:t>根据《福州经济技术开发区扩区总体规划》，福州经济技术开发区功能定位为集国家级开发区、保税区、高科技园区、现代交通枢纽为一体的福州市中心城外围沿江（海）组团式港口工业区。发展战略遵照福州市城市发展</w:t>
            </w:r>
            <w:r>
              <w:rPr>
                <w:rFonts w:hint="eastAsia" w:cs="宋体"/>
                <w:szCs w:val="24"/>
              </w:rPr>
              <w:t>“</w:t>
            </w:r>
            <w:r>
              <w:rPr>
                <w:rFonts w:cs="宋体"/>
                <w:szCs w:val="24"/>
              </w:rPr>
              <w:t>东扩南进、沿江向海开发</w:t>
            </w:r>
            <w:r>
              <w:rPr>
                <w:rFonts w:hint="eastAsia" w:cs="宋体"/>
                <w:szCs w:val="24"/>
              </w:rPr>
              <w:t>”</w:t>
            </w:r>
            <w:r>
              <w:rPr>
                <w:rFonts w:cs="宋体"/>
                <w:szCs w:val="24"/>
              </w:rPr>
              <w:t>的总体发展策略，开发区</w:t>
            </w:r>
            <w:r>
              <w:rPr>
                <w:rFonts w:hint="eastAsia" w:cs="宋体"/>
                <w:szCs w:val="24"/>
              </w:rPr>
              <w:t>向</w:t>
            </w:r>
            <w:r>
              <w:rPr>
                <w:rFonts w:cs="宋体"/>
                <w:szCs w:val="24"/>
              </w:rPr>
              <w:t>江下游两岸扩展延伸，进一步形成到江口经济繁荣带；充分发挥</w:t>
            </w:r>
            <w:r>
              <w:rPr>
                <w:rFonts w:hint="eastAsia" w:cs="宋体"/>
                <w:szCs w:val="24"/>
              </w:rPr>
              <w:t>国家级经济技术开发区</w:t>
            </w:r>
            <w:r>
              <w:rPr>
                <w:rFonts w:cs="宋体"/>
                <w:szCs w:val="24"/>
              </w:rPr>
              <w:t>、台商投资区、高科技园区、保税区功能，突出发展高新技术产业，做大做强经济技术开发区，实施</w:t>
            </w:r>
            <w:r>
              <w:rPr>
                <w:rFonts w:hint="eastAsia" w:cs="宋体"/>
                <w:szCs w:val="24"/>
              </w:rPr>
              <w:t>“</w:t>
            </w:r>
            <w:r>
              <w:rPr>
                <w:rFonts w:cs="宋体"/>
                <w:szCs w:val="24"/>
              </w:rPr>
              <w:t>以港兴区、科教兴区</w:t>
            </w:r>
            <w:r>
              <w:rPr>
                <w:rFonts w:hint="eastAsia" w:cs="宋体"/>
                <w:szCs w:val="24"/>
              </w:rPr>
              <w:t>”</w:t>
            </w:r>
            <w:r>
              <w:rPr>
                <w:rFonts w:cs="宋体"/>
                <w:szCs w:val="24"/>
              </w:rPr>
              <w:t>和可持续发展战略，搞好对外 开放和对台经贸合作</w:t>
            </w:r>
            <w:r>
              <w:rPr>
                <w:rFonts w:hint="eastAsia" w:cs="宋体"/>
                <w:szCs w:val="24"/>
              </w:rPr>
              <w:t>，</w:t>
            </w:r>
            <w:r>
              <w:rPr>
                <w:rFonts w:cs="宋体"/>
                <w:szCs w:val="24"/>
              </w:rPr>
              <w:t>大力发展第三产业完善城市功能，拓展城市空间，提高城市品位，增强综合竞争能力，把开发区建设成为工业发达、第三产业繁荣的现代化园林式港口工业城市。</w:t>
            </w:r>
          </w:p>
          <w:p>
            <w:pPr>
              <w:pStyle w:val="159"/>
              <w:numPr>
                <w:ilvl w:val="0"/>
                <w:numId w:val="2"/>
              </w:numPr>
              <w:rPr>
                <w:rFonts w:cs="宋体"/>
                <w:szCs w:val="24"/>
              </w:rPr>
            </w:pPr>
            <w:r>
              <w:rPr>
                <w:rFonts w:cs="宋体"/>
                <w:szCs w:val="24"/>
              </w:rPr>
              <w:t>用地规模规划建设用地23km</w:t>
            </w:r>
            <w:r>
              <w:rPr>
                <w:rFonts w:cs="宋体"/>
                <w:szCs w:val="24"/>
                <w:vertAlign w:val="superscript"/>
              </w:rPr>
              <w:t>2</w:t>
            </w:r>
            <w:r>
              <w:rPr>
                <w:rFonts w:cs="宋体"/>
                <w:szCs w:val="24"/>
              </w:rPr>
              <w:t>。其中马尾组团4.4km</w:t>
            </w:r>
            <w:r>
              <w:rPr>
                <w:rFonts w:cs="宋体"/>
                <w:szCs w:val="24"/>
                <w:vertAlign w:val="superscript"/>
              </w:rPr>
              <w:t>2</w:t>
            </w:r>
            <w:r>
              <w:rPr>
                <w:rFonts w:cs="宋体"/>
                <w:szCs w:val="24"/>
              </w:rPr>
              <w:t>，快安组团5.6km</w:t>
            </w:r>
            <w:r>
              <w:rPr>
                <w:rFonts w:cs="宋体"/>
                <w:szCs w:val="24"/>
                <w:vertAlign w:val="superscript"/>
              </w:rPr>
              <w:t>2</w:t>
            </w:r>
            <w:r>
              <w:rPr>
                <w:rFonts w:cs="宋体"/>
                <w:szCs w:val="24"/>
              </w:rPr>
              <w:t>，长安组团6.0km</w:t>
            </w:r>
            <w:r>
              <w:rPr>
                <w:rFonts w:cs="宋体"/>
                <w:szCs w:val="24"/>
                <w:vertAlign w:val="superscript"/>
              </w:rPr>
              <w:t>2</w:t>
            </w:r>
            <w:r>
              <w:rPr>
                <w:rFonts w:cs="宋体"/>
                <w:szCs w:val="24"/>
              </w:rPr>
              <w:t>，南台岛组团5.0km</w:t>
            </w:r>
            <w:r>
              <w:rPr>
                <w:rFonts w:cs="宋体"/>
                <w:szCs w:val="24"/>
                <w:vertAlign w:val="superscript"/>
              </w:rPr>
              <w:t>2</w:t>
            </w:r>
            <w:r>
              <w:rPr>
                <w:rFonts w:cs="宋体"/>
                <w:szCs w:val="24"/>
              </w:rPr>
              <w:t>，琅岐组团2.0km</w:t>
            </w:r>
            <w:r>
              <w:rPr>
                <w:rFonts w:cs="宋体"/>
                <w:szCs w:val="24"/>
                <w:vertAlign w:val="superscript"/>
              </w:rPr>
              <w:t>2</w:t>
            </w:r>
            <w:r>
              <w:rPr>
                <w:rFonts w:cs="宋体"/>
                <w:szCs w:val="24"/>
              </w:rPr>
              <w:t>。</w:t>
            </w:r>
          </w:p>
          <w:p>
            <w:pPr>
              <w:pStyle w:val="159"/>
              <w:rPr>
                <w:rFonts w:cs="宋体"/>
                <w:szCs w:val="24"/>
              </w:rPr>
            </w:pPr>
            <w:r>
              <w:rPr>
                <w:rFonts w:cs="宋体"/>
                <w:szCs w:val="24"/>
              </w:rPr>
              <w:t>（2）城市空间结构密切承接福州中心城区发展，实施</w:t>
            </w:r>
            <w:r>
              <w:rPr>
                <w:rFonts w:hint="eastAsia" w:cs="宋体"/>
                <w:szCs w:val="24"/>
              </w:rPr>
              <w:t>“</w:t>
            </w:r>
            <w:r>
              <w:rPr>
                <w:rFonts w:cs="宋体"/>
                <w:szCs w:val="24"/>
              </w:rPr>
              <w:t>东扩南进</w:t>
            </w:r>
            <w:r>
              <w:rPr>
                <w:rFonts w:hint="eastAsia" w:cs="宋体"/>
                <w:szCs w:val="24"/>
              </w:rPr>
              <w:t>”</w:t>
            </w:r>
            <w:r>
              <w:rPr>
                <w:rFonts w:cs="宋体"/>
                <w:szCs w:val="24"/>
              </w:rPr>
              <w:t>战略，沿闽江两岸集约发展，传承山水格局形成沿江带状组团式结构。以滨江交通线为主要发展轴，发展快安、南台岛组团链接中心城区，强化完善马尾中心组团，并沿江向长安组团和琅岐组团发展，各组团中间以绿色空间分隔，以快速便捷的交通相联系。</w:t>
            </w:r>
          </w:p>
          <w:p>
            <w:pPr>
              <w:pStyle w:val="159"/>
              <w:numPr>
                <w:ilvl w:val="0"/>
                <w:numId w:val="3"/>
              </w:numPr>
              <w:rPr>
                <w:rFonts w:cs="宋体"/>
                <w:szCs w:val="24"/>
              </w:rPr>
            </w:pPr>
            <w:r>
              <w:rPr>
                <w:rFonts w:cs="宋体"/>
                <w:szCs w:val="24"/>
              </w:rPr>
              <w:t>组团规划</w:t>
            </w:r>
          </w:p>
          <w:p>
            <w:pPr>
              <w:autoSpaceDE w:val="0"/>
              <w:autoSpaceDN w:val="0"/>
              <w:adjustRightInd w:val="0"/>
              <w:snapToGrid w:val="0"/>
              <w:jc w:val="left"/>
            </w:pPr>
            <w:r>
              <w:t>①马尾中心组团</w:t>
            </w:r>
          </w:p>
          <w:p>
            <w:pPr>
              <w:autoSpaceDE w:val="0"/>
              <w:autoSpaceDN w:val="0"/>
              <w:adjustRightInd w:val="0"/>
              <w:snapToGrid w:val="0"/>
              <w:jc w:val="left"/>
            </w:pPr>
            <w:r>
              <w:t>马尾中心组团地处福州中心城东大门前沿，规划该组团将拥有福州港客运、货运新港区，具有不可替代的交通枢纽功能，有福马路、长乐国际机场专用线、福马铁路横贯其间。规划重点是进行用地调整，增加第三产业用地，强化区中心的商贸、文化功能。规划以青洲路为界，青洲路以西以生活居住为主，青洲路以东为工业区、保税区和新港区。搬迁青洲路以西占地大、效益差的渔业公司等企业，把江滨大道延伸至青洲路。结合区政府搬迁至马江大厦，在其周边形成公建中心，并沿着罗星大道和江滨大道向外辐射，形成商贸金融区。</w:t>
            </w:r>
          </w:p>
          <w:p>
            <w:pPr>
              <w:autoSpaceDE w:val="0"/>
              <w:autoSpaceDN w:val="0"/>
              <w:adjustRightInd w:val="0"/>
              <w:snapToGrid w:val="0"/>
              <w:jc w:val="left"/>
            </w:pPr>
            <w:r>
              <w:t>②快安组团</w:t>
            </w:r>
          </w:p>
          <w:p>
            <w:pPr>
              <w:autoSpaceDE w:val="0"/>
              <w:autoSpaceDN w:val="0"/>
              <w:adjustRightInd w:val="0"/>
              <w:snapToGrid w:val="0"/>
              <w:jc w:val="left"/>
            </w:pPr>
            <w:r>
              <w:t>快安组团位于马尾隧道以西，鼓山隧道以东，本组团被福马铁路分成南北两块，目前用地已基本填满。规划利用福马线、江滨大道两条交通线连接条件，带动百亿电子产业园和滨江新区发展，同时加强基础设施和生活配套设施建设，加快电子信息产业基地的规模型建设。在铁路以南、磨溪以东、里挡路以西设立商贸服务生活配套中心。福马路以北以现有村庄为基础，扩大为生活</w:t>
            </w:r>
            <w:r>
              <w:rPr>
                <w:rFonts w:hint="eastAsia"/>
              </w:rPr>
              <w:t>居住点</w:t>
            </w:r>
            <w:r>
              <w:t>，福马路以南是开发区主体。沿江滨路内侧100米左右用地控制作为商住综合用地。</w:t>
            </w:r>
          </w:p>
          <w:p>
            <w:pPr>
              <w:autoSpaceDE w:val="0"/>
              <w:autoSpaceDN w:val="0"/>
              <w:adjustRightInd w:val="0"/>
              <w:snapToGrid w:val="0"/>
              <w:jc w:val="left"/>
            </w:pPr>
            <w:r>
              <w:t>③长安组团</w:t>
            </w:r>
          </w:p>
          <w:p>
            <w:pPr>
              <w:autoSpaceDE w:val="0"/>
              <w:autoSpaceDN w:val="0"/>
              <w:adjustRightInd w:val="0"/>
              <w:snapToGrid w:val="0"/>
              <w:jc w:val="left"/>
            </w:pPr>
            <w:r>
              <w:t>长安组团规划重点是处理好城市建设用地与铁路、公路、港区之间的关系，解决好琯头镇基础设施相衔接的问题，重点发展临港工业。在长安大道以南，七号路和八号路之间设立商贸服务中心。</w:t>
            </w:r>
          </w:p>
          <w:p>
            <w:pPr>
              <w:autoSpaceDE w:val="0"/>
              <w:autoSpaceDN w:val="0"/>
              <w:adjustRightInd w:val="0"/>
              <w:snapToGrid w:val="0"/>
              <w:jc w:val="left"/>
            </w:pPr>
            <w:r>
              <w:t>④琅岐组团</w:t>
            </w:r>
          </w:p>
          <w:p>
            <w:pPr>
              <w:autoSpaceDE w:val="0"/>
              <w:autoSpaceDN w:val="0"/>
              <w:adjustRightInd w:val="0"/>
              <w:snapToGrid w:val="0"/>
              <w:jc w:val="left"/>
            </w:pPr>
            <w:r>
              <w:t>琅岐组团规划在琅岐轮渡北面建设发展生态型化纤纺织工业、纺织科研的现代工业园区，依托琅岐镇区进行生活配套。</w:t>
            </w:r>
          </w:p>
          <w:p>
            <w:pPr>
              <w:autoSpaceDE w:val="0"/>
              <w:autoSpaceDN w:val="0"/>
              <w:adjustRightInd w:val="0"/>
              <w:snapToGrid w:val="0"/>
              <w:jc w:val="left"/>
            </w:pPr>
            <w:r>
              <w:t>⑤南台岛组团</w:t>
            </w:r>
          </w:p>
          <w:p>
            <w:pPr>
              <w:autoSpaceDE w:val="0"/>
              <w:autoSpaceDN w:val="0"/>
              <w:adjustRightInd w:val="0"/>
              <w:snapToGrid w:val="0"/>
              <w:jc w:val="left"/>
            </w:pPr>
            <w:r>
              <w:t>南台岛组团原规划发展形成林浦、壁头、下门洲三片，后国务院只批复林浦片区作为福州经济技术开发区南台岛组团。林浦片区规划发展形成滨江高级配套区、林浦体育公园、林浦高新产业区三大功能。</w:t>
            </w:r>
          </w:p>
          <w:p>
            <w:r>
              <w:rPr>
                <w:rFonts w:hint="eastAsia"/>
              </w:rPr>
              <w:t>本项目主要从事</w:t>
            </w:r>
            <w:r>
              <w:rPr>
                <w:rFonts w:hint="eastAsia"/>
                <w:color w:val="000000"/>
              </w:rPr>
              <w:t>按摩器配件生产</w:t>
            </w:r>
            <w:r>
              <w:rPr>
                <w:rFonts w:hint="eastAsia"/>
              </w:rPr>
              <w:t>，项目位于</w:t>
            </w:r>
            <w:r>
              <w:rPr>
                <w:rFonts w:hint="eastAsia"/>
                <w:lang w:eastAsia="zh-CN"/>
              </w:rPr>
              <w:t>福建省福州市马尾区亭江镇亭江路66号福州（马尾）万洋众创（三期）B22#楼1层02厂房</w:t>
            </w:r>
            <w:r>
              <w:rPr>
                <w:rFonts w:hint="eastAsia"/>
              </w:rPr>
              <w:t>，位于长安组团范围内，不为《福州经济技术开发区扩区总体规划》中限制的行业，符合《福州经济技术开发区扩区总体规划》的要求。</w:t>
            </w:r>
          </w:p>
          <w:p>
            <w:pPr>
              <w:pStyle w:val="5"/>
              <w:spacing w:before="120"/>
            </w:pPr>
            <w:r>
              <w:rPr>
                <w:rFonts w:hint="eastAsia"/>
              </w:rPr>
              <w:t>与</w:t>
            </w:r>
            <w:r>
              <w:t>《</w:t>
            </w:r>
            <w:r>
              <w:rPr>
                <w:rFonts w:hint="eastAsia"/>
              </w:rPr>
              <w:t>福州自贸区（长安片区）控制性详细规划</w:t>
            </w:r>
            <w:r>
              <w:t>》</w:t>
            </w:r>
            <w:r>
              <w:rPr>
                <w:rFonts w:hint="eastAsia"/>
              </w:rPr>
              <w:t>符合性分析</w:t>
            </w:r>
          </w:p>
          <w:p>
            <w:r>
              <w:rPr>
                <w:rFonts w:hint="eastAsia"/>
              </w:rPr>
              <w:t>一、</w:t>
            </w:r>
            <w:r>
              <w:rPr>
                <w:rFonts w:hint="eastAsia"/>
                <w:color w:val="000000"/>
              </w:rPr>
              <w:t>区位及规划范围</w:t>
            </w:r>
          </w:p>
          <w:p>
            <w:r>
              <w:rPr>
                <w:rFonts w:hint="eastAsia"/>
              </w:rPr>
              <w:t>福州自贸区长安片区（以下简称本片区）西与马江片区相接，东至亭江与琯头交界线，北抵山脚，南至闽江，总面积20.21平方公里。</w:t>
            </w:r>
          </w:p>
          <w:p>
            <w:r>
              <w:rPr>
                <w:rFonts w:hint="eastAsia"/>
              </w:rPr>
              <w:t>二、</w:t>
            </w:r>
            <w:r>
              <w:rPr>
                <w:rFonts w:hint="eastAsia"/>
                <w:color w:val="000000"/>
              </w:rPr>
              <w:t>功能定位及规模</w:t>
            </w:r>
          </w:p>
          <w:p>
            <w:pPr>
              <w:rPr>
                <w:rFonts w:ascii="宋体" w:hAnsi="宋体" w:cs="宋体"/>
              </w:rPr>
            </w:pPr>
            <w:r>
              <w:rPr>
                <w:rFonts w:ascii="宋体" w:hAnsi="宋体" w:cs="宋体"/>
              </w:rPr>
              <w:t>1、功能定位</w:t>
            </w:r>
          </w:p>
          <w:p>
            <w:pPr>
              <w:rPr>
                <w:rFonts w:ascii="宋体" w:hAnsi="宋体" w:cs="宋体"/>
              </w:rPr>
            </w:pPr>
            <w:r>
              <w:rPr>
                <w:rFonts w:ascii="宋体" w:hAnsi="宋体" w:cs="宋体"/>
              </w:rPr>
              <w:t>闽江口产业集中区、福州市马尾自贸区的重要组成部分；福州市重要临港物流仓储集聚区；福州市对外产业加工、出口、贸易的主要窗口之一；闽江口文化生态旅游的重点推介区；福州市重要的宜居侨乡社区。</w:t>
            </w:r>
          </w:p>
          <w:p>
            <w:pPr>
              <w:rPr>
                <w:rFonts w:ascii="宋体" w:hAnsi="宋体" w:cs="宋体"/>
              </w:rPr>
            </w:pPr>
            <w:r>
              <w:rPr>
                <w:rFonts w:ascii="宋体" w:hAnsi="宋体" w:cs="宋体"/>
              </w:rPr>
              <w:t>2、规模</w:t>
            </w:r>
          </w:p>
          <w:p>
            <w:pPr>
              <w:rPr>
                <w:rFonts w:ascii="宋体" w:hAnsi="宋体" w:cs="宋体"/>
              </w:rPr>
            </w:pPr>
            <w:r>
              <w:rPr>
                <w:rFonts w:ascii="宋体" w:hAnsi="宋体" w:cs="宋体"/>
              </w:rPr>
              <w:t>（1）用地规模：</w:t>
            </w:r>
          </w:p>
          <w:p>
            <w:pPr>
              <w:rPr>
                <w:rFonts w:ascii="宋体" w:hAnsi="宋体" w:cs="宋体"/>
              </w:rPr>
            </w:pPr>
            <w:r>
              <w:rPr>
                <w:rFonts w:ascii="宋体" w:hAnsi="宋体" w:cs="宋体"/>
              </w:rPr>
              <w:t>本片区规划总用地</w:t>
            </w:r>
            <w:r>
              <w:rPr>
                <w:rFonts w:hint="eastAsia" w:ascii="宋体" w:hAnsi="宋体" w:cs="宋体"/>
              </w:rPr>
              <w:t>规模</w:t>
            </w:r>
            <w:r>
              <w:rPr>
                <w:rFonts w:ascii="宋体" w:hAnsi="宋体" w:cs="宋体"/>
              </w:rPr>
              <w:t>20.21平方公里，城市建设用地规模为11.02平方公里。</w:t>
            </w:r>
          </w:p>
          <w:p>
            <w:pPr>
              <w:rPr>
                <w:rFonts w:ascii="宋体" w:hAnsi="宋体" w:cs="宋体"/>
              </w:rPr>
            </w:pPr>
            <w:r>
              <w:rPr>
                <w:rFonts w:ascii="宋体" w:hAnsi="宋体" w:cs="宋体"/>
              </w:rPr>
              <w:t>（2）人口规模：</w:t>
            </w:r>
          </w:p>
          <w:p>
            <w:pPr>
              <w:rPr>
                <w:rFonts w:ascii="宋体" w:hAnsi="宋体" w:cs="宋体"/>
              </w:rPr>
            </w:pPr>
            <w:r>
              <w:rPr>
                <w:rFonts w:ascii="宋体" w:hAnsi="宋体" w:cs="宋体"/>
              </w:rPr>
              <w:t>本片区人口规模为6.9万人。</w:t>
            </w:r>
          </w:p>
          <w:p>
            <w:r>
              <w:rPr>
                <w:rFonts w:hint="eastAsia"/>
              </w:rPr>
              <w:t>三、用地布局</w:t>
            </w:r>
          </w:p>
          <w:p>
            <w:pPr>
              <w:rPr>
                <w:rFonts w:ascii="宋体" w:hAnsi="宋体" w:cs="宋体"/>
              </w:rPr>
            </w:pPr>
            <w:r>
              <w:rPr>
                <w:rFonts w:hint="eastAsia" w:ascii="宋体" w:hAnsi="宋体" w:cs="宋体"/>
              </w:rPr>
              <w:t>1、规划结构</w:t>
            </w:r>
          </w:p>
          <w:p>
            <w:r>
              <w:rPr>
                <w:rFonts w:hint="eastAsia"/>
              </w:rPr>
              <w:t>本片区的结构为：“</w:t>
            </w:r>
            <w:r>
              <w:t>一心一轴一带五片区</w:t>
            </w:r>
            <w:r>
              <w:rPr>
                <w:rFonts w:hint="eastAsia"/>
              </w:rPr>
              <w:t>”</w:t>
            </w:r>
          </w:p>
          <w:p>
            <w:r>
              <w:t>一心：长安公建服务中心，集行政服务、商业娱乐、教育培训、仓储物流、生态居住为一体的综合服务中心。</w:t>
            </w:r>
          </w:p>
          <w:p>
            <w:r>
              <w:t>一轴：将老104国道转为长安片区的南北向重要的城市干道，公路疏散功能移至西侧的新104国道，以高架形式横跨整个片区。沿着老104国道设置商业娱乐、行政办公、旅游服务、客运出行等功能，并从北至南串联整个长安片区，是长安片区重要的城市公共空间活动发展轴。</w:t>
            </w:r>
          </w:p>
          <w:p>
            <w:r>
              <w:t>一带：指闽江滨江休闲带，即沿着闽江布局滨水特色商业、康体娱乐、公园广场等丰富多彩的滨江休闲生活功能。</w:t>
            </w:r>
          </w:p>
          <w:p>
            <w:r>
              <w:t>五片区：闽安文化旅游发展区、长安商住综合服务区、长柄产业区、英屿东岐产业区、长安产业区。闽安文化旅游发展区是以闽安国家历史文化名村为主题，同田螺湾滨水康体娱乐区形成的文化旅游发展区；长安商住综合服务区是亭江镇中心区，为整个片区集中提供行政服务、教育、商业休闲娱乐、生态居住为一体的综合片区；长柄产业区是位于长柄村东南侧，以电子电气、建材、保税仓储物流、加工贸易为主体的产业集中区；英屿东岐产业区位于英屿村和东岐村西侧，是以海洋食品加工、包装为主体的产业集中区；长安产业区位于长安村北面</w:t>
            </w:r>
            <w:r>
              <w:rPr>
                <w:rFonts w:hint="eastAsia"/>
              </w:rPr>
              <w:t>，是</w:t>
            </w:r>
            <w:r>
              <w:t>以高端机械制造为主体的产业集中区。</w:t>
            </w:r>
          </w:p>
          <w:p>
            <w:r>
              <w:rPr>
                <w:rFonts w:hint="eastAsia"/>
              </w:rPr>
              <w:t>2、总体布局</w:t>
            </w:r>
          </w:p>
          <w:p>
            <w:r>
              <w:t>规划充分利用本片区依山面江的自然环境优势，根据本片区的功能定位以及目前的发展情况，并对可开发用地的土地开发价值、开发诱导因素进行分析、评估，确定用地布局方案。</w:t>
            </w:r>
          </w:p>
          <w:p>
            <w:r>
              <w:t>规划由南向北，分别沿着闽安村规划旅游功能，亭江镇区规划为行政、商业居住综合服务功能，往北围绕村庄布局自贸区的生产加工功能。</w:t>
            </w:r>
          </w:p>
          <w:p>
            <w:r>
              <w:rPr>
                <w:rFonts w:hint="eastAsia"/>
              </w:rPr>
              <w:t>本项目为按摩器配件生产项目，位于长安商住综合服务区，项目建设符合国家和地方产业导向，</w:t>
            </w:r>
            <w:r>
              <w:t>项目用地性质为工业用地（</w:t>
            </w:r>
            <w:r>
              <w:rPr>
                <w:rFonts w:hint="eastAsia"/>
              </w:rPr>
              <w:t>土地证及产权证详见</w:t>
            </w:r>
            <w:r>
              <w:fldChar w:fldCharType="begin"/>
            </w:r>
            <w:r>
              <w:instrText xml:space="preserve"> REF _Ref31370 \h </w:instrText>
            </w:r>
            <w:r>
              <w:fldChar w:fldCharType="separate"/>
            </w:r>
            <w:r>
              <w:t>附件 5</w:t>
            </w:r>
            <w:r>
              <w:fldChar w:fldCharType="end"/>
            </w:r>
            <w:r>
              <w:t>）</w:t>
            </w:r>
            <w:r>
              <w:rPr>
                <w:rFonts w:hint="eastAsia"/>
              </w:rPr>
              <w:t>，符合《福州自贸区（长安片区）控制线详细规划</w:t>
            </w:r>
            <w:r>
              <w:rPr>
                <w:rFonts w:hint="eastAsia"/>
                <w:color w:val="000000"/>
              </w:rPr>
              <w:t>》（详见</w:t>
            </w:r>
            <w:r>
              <w:rPr>
                <w:rFonts w:hint="eastAsia"/>
                <w:color w:val="000000"/>
              </w:rPr>
              <w:fldChar w:fldCharType="begin"/>
            </w:r>
            <w:r>
              <w:rPr>
                <w:rFonts w:hint="eastAsia"/>
                <w:color w:val="000000"/>
              </w:rPr>
              <w:instrText xml:space="preserve"> REF _Ref7156 \h </w:instrText>
            </w:r>
            <w:r>
              <w:rPr>
                <w:rFonts w:hint="eastAsia"/>
                <w:color w:val="000000"/>
              </w:rPr>
              <w:fldChar w:fldCharType="separate"/>
            </w:r>
            <w:r>
              <w:t>附图 6</w:t>
            </w:r>
            <w:r>
              <w:rPr>
                <w:rFonts w:hint="eastAsia"/>
                <w:color w:val="000000"/>
              </w:rPr>
              <w:fldChar w:fldCharType="end"/>
            </w:r>
            <w:r>
              <w:rPr>
                <w:rFonts w:hint="eastAsia"/>
                <w:color w:val="000000"/>
              </w:rPr>
              <w:t>）</w:t>
            </w:r>
            <w:r>
              <w:rPr>
                <w:rFonts w:hint="eastAsia"/>
              </w:rPr>
              <w:t>。</w:t>
            </w:r>
          </w:p>
          <w:p>
            <w:pPr>
              <w:pStyle w:val="4"/>
            </w:pPr>
            <w:r>
              <w:t>与规划环评符合性分析</w:t>
            </w:r>
          </w:p>
          <w:p>
            <w:pPr>
              <w:adjustRightInd w:val="0"/>
              <w:contextualSpacing/>
              <w:jc w:val="left"/>
              <w:rPr>
                <w:color w:val="000000"/>
              </w:rPr>
            </w:pPr>
            <w:r>
              <w:rPr>
                <w:rFonts w:hint="eastAsia"/>
                <w:color w:val="000000"/>
              </w:rPr>
              <w:t>规划布局结构为“一轴、二心、三片区”。其中“一轴”：利用原104国道作为投资区的主干道，使之成为本区发展的主轴线，把投资区的几个片区联系起来；“二心”：在亭江中心区和长安村东侧的江滨地带，设置南、北两个公共服务中心，均匀的为全区服务；“三片区”：分别为港区（出口加工区）、亭江片区和长安片区。产业发展类型为主要发展：电子电器、临港工业、现代物流；适度发展：食品加工、建筑材料、轻工纺织；限制发展：对环境有严重污染、高耗能的产业。</w:t>
            </w:r>
          </w:p>
          <w:p>
            <w:pPr>
              <w:rPr>
                <w:color w:val="000000"/>
                <w:kern w:val="0"/>
                <w:szCs w:val="21"/>
              </w:rPr>
            </w:pPr>
            <w:r>
              <w:rPr>
                <w:rFonts w:hint="eastAsia"/>
                <w:color w:val="000000"/>
              </w:rPr>
              <w:t>本项目为按摩器配件生产项目，项目建设符合国家和地方产业导向，符合国家清洁生产标准要求，属于低污染、低耗能产业，项目的建设与《福州经济技术开发区扩区总体规划环境影响报告书》结论及审查意见基本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7" w:type="pct"/>
            <w:vAlign w:val="center"/>
          </w:tcPr>
          <w:p>
            <w:pPr>
              <w:autoSpaceDE w:val="0"/>
              <w:autoSpaceDN w:val="0"/>
              <w:adjustRightInd w:val="0"/>
              <w:snapToGrid w:val="0"/>
              <w:ind w:firstLine="0" w:firstLineChars="0"/>
              <w:jc w:val="center"/>
              <w:rPr>
                <w:color w:val="000000"/>
                <w:kern w:val="0"/>
                <w:szCs w:val="21"/>
              </w:rPr>
            </w:pPr>
            <w:r>
              <w:rPr>
                <w:color w:val="000000"/>
                <w:kern w:val="0"/>
                <w:szCs w:val="21"/>
              </w:rPr>
              <w:t>其他符合性分析</w:t>
            </w:r>
          </w:p>
        </w:tc>
        <w:tc>
          <w:tcPr>
            <w:tcW w:w="4482" w:type="pct"/>
            <w:vAlign w:val="center"/>
          </w:tcPr>
          <w:p>
            <w:pPr>
              <w:pStyle w:val="4"/>
            </w:pPr>
            <w:r>
              <w:t>产业政策适宜性分析</w:t>
            </w:r>
          </w:p>
          <w:p>
            <w:pPr>
              <w:adjustRightInd w:val="0"/>
              <w:contextualSpacing/>
              <w:jc w:val="left"/>
            </w:pPr>
            <w:r>
              <w:t>项</w:t>
            </w:r>
            <w:r>
              <w:rPr>
                <w:rFonts w:hint="eastAsia"/>
              </w:rPr>
              <w:t>目主要从事</w:t>
            </w:r>
            <w:r>
              <w:rPr>
                <w:rFonts w:hint="eastAsia"/>
                <w:color w:val="000000"/>
              </w:rPr>
              <w:t>按摩器配件生产</w:t>
            </w:r>
            <w:r>
              <w:rPr>
                <w:rFonts w:hint="eastAsia"/>
              </w:rPr>
              <w:t>，</w:t>
            </w:r>
            <w:r>
              <w:rPr>
                <w:rFonts w:cs="宋体"/>
              </w:rPr>
              <w:t>根据《产业结构调整指导目录（2024年本）》，本项目产品、生产工艺及设备均不属于产业政策中的限制和淘汰类，符合国家产业政策。</w:t>
            </w:r>
            <w:r>
              <w:rPr>
                <w:rFonts w:hint="eastAsia"/>
              </w:rPr>
              <w:t>同</w:t>
            </w:r>
            <w:r>
              <w:t>时，该项目于20</w:t>
            </w:r>
            <w:r>
              <w:rPr>
                <w:rFonts w:hint="eastAsia"/>
              </w:rPr>
              <w:t>25</w:t>
            </w:r>
            <w:r>
              <w:t>年</w:t>
            </w:r>
            <w:r>
              <w:rPr>
                <w:rFonts w:hint="eastAsia"/>
                <w:lang w:val="en-US" w:eastAsia="zh-CN"/>
              </w:rPr>
              <w:t>9月</w:t>
            </w:r>
            <w:bookmarkStart w:id="124" w:name="_GoBack"/>
            <w:bookmarkEnd w:id="124"/>
            <w:r>
              <w:rPr>
                <w:rFonts w:hint="eastAsia"/>
              </w:rPr>
              <w:t>29</w:t>
            </w:r>
            <w:r>
              <w:t>日通过了</w:t>
            </w:r>
            <w:r>
              <w:rPr>
                <w:rFonts w:hint="eastAsia"/>
              </w:rPr>
              <w:t>福州经济技术开发区发展和改革局</w:t>
            </w:r>
            <w:r>
              <w:t>的备案</w:t>
            </w:r>
            <w:r>
              <w:rPr>
                <w:rFonts w:hint="eastAsia"/>
              </w:rPr>
              <w:t>，</w:t>
            </w:r>
            <w:r>
              <w:rPr>
                <w:rFonts w:hint="eastAsia"/>
                <w:lang w:eastAsia="zh-CN"/>
              </w:rPr>
              <w:t>闽发改备[2025]A050157号</w:t>
            </w:r>
            <w:r>
              <w:t>（见</w:t>
            </w:r>
            <w:r>
              <w:fldChar w:fldCharType="begin"/>
            </w:r>
            <w:r>
              <w:instrText xml:space="preserve"> REF _Ref26870 \h </w:instrText>
            </w:r>
            <w:r>
              <w:fldChar w:fldCharType="separate"/>
            </w:r>
            <w:r>
              <w:t>附件 4</w:t>
            </w:r>
            <w:r>
              <w:fldChar w:fldCharType="end"/>
            </w:r>
            <w:r>
              <w:t>）。</w:t>
            </w:r>
          </w:p>
          <w:p>
            <w:pPr>
              <w:adjustRightInd w:val="0"/>
              <w:snapToGrid w:val="0"/>
            </w:pPr>
            <w:r>
              <w:t>综上，本项目建设符合国家当前的产业政策要求。</w:t>
            </w:r>
          </w:p>
          <w:p>
            <w:pPr>
              <w:pStyle w:val="4"/>
            </w:pPr>
            <w:r>
              <w:t>项目用地规划合理性分析</w:t>
            </w:r>
          </w:p>
          <w:p>
            <w:r>
              <w:t>本项目位于</w:t>
            </w:r>
            <w:r>
              <w:rPr>
                <w:rFonts w:hint="eastAsia"/>
                <w:lang w:eastAsia="zh-CN"/>
              </w:rPr>
              <w:t>福建省福州市马尾区亭江镇亭江路66号福州（马尾）万洋众创（三期）B22#楼1层02厂房</w:t>
            </w:r>
            <w:r>
              <w:t>，本项目建设用地不在《限制用地项目目录（2012年本）》和《禁止用地项目目录（2012年本）》目录中；根据业主提供的</w:t>
            </w:r>
            <w:r>
              <w:rPr>
                <w:rFonts w:hint="eastAsia"/>
              </w:rPr>
              <w:t>不动</w:t>
            </w:r>
            <w:r>
              <w:t>产权证</w:t>
            </w:r>
            <w:r>
              <w:rPr>
                <w:rFonts w:hint="eastAsia"/>
              </w:rPr>
              <w:t>（闽（2025）福州市马尾区不动产权第9008327号</w:t>
            </w:r>
            <w:r>
              <w:t>，本项目土地性质为工业用地</w:t>
            </w:r>
            <w:r>
              <w:rPr>
                <w:rFonts w:hint="eastAsia"/>
              </w:rPr>
              <w:t>（</w:t>
            </w:r>
            <w:r>
              <w:t>详见</w:t>
            </w:r>
            <w:r>
              <w:fldChar w:fldCharType="begin"/>
            </w:r>
            <w:r>
              <w:instrText xml:space="preserve"> REF _Ref31370 \h </w:instrText>
            </w:r>
            <w:r>
              <w:fldChar w:fldCharType="separate"/>
            </w:r>
            <w:r>
              <w:t>附件 5</w:t>
            </w:r>
            <w:r>
              <w:fldChar w:fldCharType="end"/>
            </w:r>
            <w:r>
              <w:rPr>
                <w:rFonts w:hint="eastAsia"/>
              </w:rPr>
              <w:t>）</w:t>
            </w:r>
            <w:r>
              <w:t>，</w:t>
            </w:r>
            <w:r>
              <w:rPr>
                <w:rFonts w:hint="eastAsia"/>
              </w:rPr>
              <w:t>本项目位于马尾区亭江镇万洋众创城内，项目所在地属于工业用地，且项目周边均为工业厂房，在充分落实好各项环保措施的前提下，本项目建设对周边环境影响不大，符合土地利用规划</w:t>
            </w:r>
            <w:r>
              <w:t>。</w:t>
            </w:r>
          </w:p>
          <w:p>
            <w:pPr>
              <w:pStyle w:val="4"/>
            </w:pPr>
            <w:r>
              <w:t>项目与周边敏感点相容性符合性分析</w:t>
            </w:r>
          </w:p>
          <w:p>
            <w:pPr>
              <w:adjustRightInd w:val="0"/>
              <w:snapToGrid w:val="0"/>
            </w:pPr>
            <w:r>
              <w:rPr>
                <w:rFonts w:hint="eastAsia" w:cs="宋体"/>
              </w:rPr>
              <w:t>本项目位于</w:t>
            </w:r>
            <w:r>
              <w:t>马尾区亭江镇万洋众创城</w:t>
            </w:r>
            <w:r>
              <w:rPr>
                <w:rFonts w:hint="eastAsia"/>
              </w:rPr>
              <w:t>内，</w:t>
            </w:r>
            <w:r>
              <w:rPr>
                <w:rFonts w:hint="eastAsia"/>
                <w:lang w:eastAsia="zh-CN"/>
              </w:rPr>
              <w:t>福建省福州市马尾区亭江镇亭江路66号福州（马尾）万洋众创（三期）B22#楼1层02厂房</w:t>
            </w:r>
            <w:r>
              <w:rPr>
                <w:rFonts w:hint="eastAsia" w:cs="宋体"/>
              </w:rPr>
              <w:t>。根据现场勘查，</w:t>
            </w:r>
            <w:r>
              <w:rPr>
                <w:rFonts w:hint="eastAsia"/>
              </w:rPr>
              <w:t>厂区北侧为福建国泰光电设备有限公司，西侧为</w:t>
            </w:r>
            <w:r>
              <w:rPr>
                <w:rFonts w:hint="eastAsia"/>
                <w:lang w:eastAsia="zh-CN"/>
              </w:rPr>
              <w:t>洪塘</w:t>
            </w:r>
            <w:r>
              <w:rPr>
                <w:rFonts w:hint="eastAsia"/>
              </w:rPr>
              <w:t>村距离</w:t>
            </w:r>
            <w:r>
              <w:rPr>
                <w:rFonts w:hint="eastAsia"/>
                <w:lang w:eastAsia="zh-CN"/>
              </w:rPr>
              <w:t>48m</w:t>
            </w:r>
            <w:r>
              <w:rPr>
                <w:rFonts w:hint="eastAsia"/>
              </w:rPr>
              <w:t>，南侧福建多加新材料有限公司，东侧为福州飞达橡塑制品有限公司，</w:t>
            </w:r>
            <w:r>
              <w:t>周边以工业企业为主</w:t>
            </w:r>
            <w:r>
              <w:rPr>
                <w:rFonts w:hint="eastAsia" w:cs="宋体"/>
              </w:rPr>
              <w:t>。项目周边环境以工业用地为主，交通便利。</w:t>
            </w:r>
            <w:r>
              <w:t>项目周边环境现状拍摄图详见附图</w:t>
            </w:r>
            <w:r>
              <w:rPr>
                <w:rFonts w:hint="eastAsia"/>
              </w:rPr>
              <w:t>3</w:t>
            </w:r>
            <w:r>
              <w:t>。根据项目土地证显示，该地块土地用途为工业用地，具体详见</w:t>
            </w:r>
            <w:r>
              <w:fldChar w:fldCharType="begin"/>
            </w:r>
            <w:r>
              <w:instrText xml:space="preserve"> REF _Ref31370 \h </w:instrText>
            </w:r>
            <w:r>
              <w:fldChar w:fldCharType="separate"/>
            </w:r>
            <w:r>
              <w:t>附件 5</w:t>
            </w:r>
            <w:r>
              <w:fldChar w:fldCharType="end"/>
            </w:r>
            <w:r>
              <w:t>。项目运营过程中对周边敏感点和企业无较大的影响，只要按要求采取各项污染控制措施，确保各污染物达标排放，对周围环境的影响则可以控制</w:t>
            </w:r>
            <w:r>
              <w:rPr>
                <w:rFonts w:hint="eastAsia"/>
              </w:rPr>
              <w:t>在</w:t>
            </w:r>
            <w:r>
              <w:t>允许范围之内。因此本项目与周边环境可相容</w:t>
            </w:r>
            <w:r>
              <w:rPr>
                <w:rFonts w:hint="eastAsia"/>
              </w:rPr>
              <w:t>。</w:t>
            </w:r>
          </w:p>
          <w:p>
            <w:pPr>
              <w:pStyle w:val="4"/>
            </w:pPr>
            <w:r>
              <w:t>环境功能区划符合性分析</w:t>
            </w:r>
          </w:p>
          <w:p>
            <w:r>
              <w:rPr>
                <w:rFonts w:ascii="宋体" w:hAnsi="宋体" w:cs="宋体"/>
              </w:rPr>
              <w:t>项</w:t>
            </w:r>
            <w:r>
              <w:rPr>
                <w:rFonts w:cs="宋体"/>
              </w:rPr>
              <w:t>目运营期环境空气污染排放源强很低，对周围环境空气不会产生显著 影响，符合《环境空气质量标准》（GB3095-2012）及其修改单中二级标准； 生活污水经园区内化粪池处理达标后排入市政污水管网最终纳入</w:t>
            </w:r>
            <w:r>
              <w:rPr>
                <w:rFonts w:hint="eastAsia" w:cs="宋体"/>
              </w:rPr>
              <w:t>长安污水处理厂</w:t>
            </w:r>
            <w:r>
              <w:rPr>
                <w:rFonts w:cs="宋体"/>
              </w:rPr>
              <w:t>处理，生产废水</w:t>
            </w:r>
            <w:r>
              <w:rPr>
                <w:rFonts w:hint="eastAsia" w:cs="宋体"/>
              </w:rPr>
              <w:t>为冷却水，循环使用，不外排</w:t>
            </w:r>
            <w:r>
              <w:t>。</w:t>
            </w:r>
          </w:p>
          <w:p>
            <w:pPr>
              <w:pStyle w:val="4"/>
            </w:pPr>
            <w:r>
              <w:rPr>
                <w:rFonts w:hint="eastAsia"/>
              </w:rPr>
              <w:t>生</w:t>
            </w:r>
            <w:r>
              <w:t>态环境分区管控要求符合性分析</w:t>
            </w:r>
          </w:p>
          <w:p>
            <w:r>
              <w:rPr>
                <w:rFonts w:hint="eastAsia"/>
              </w:rPr>
              <w:t>根据</w:t>
            </w:r>
            <w:r>
              <w:t>《福州市生态环境分区管控方案</w:t>
            </w:r>
            <w:r>
              <w:rPr>
                <w:rFonts w:hint="eastAsia"/>
              </w:rPr>
              <w:t>（</w:t>
            </w:r>
            <w:r>
              <w:t>2023年更新</w:t>
            </w:r>
            <w:r>
              <w:rPr>
                <w:rFonts w:hint="eastAsia"/>
              </w:rPr>
              <w:t>）</w:t>
            </w:r>
            <w:r>
              <w:t>》</w:t>
            </w:r>
            <w:r>
              <w:rPr>
                <w:rFonts w:hint="eastAsia"/>
              </w:rPr>
              <w:t>相关内容，项目与福州市</w:t>
            </w:r>
            <w:r>
              <w:t>生态环境分区管控</w:t>
            </w:r>
            <w:r>
              <w:rPr>
                <w:rFonts w:hint="eastAsia"/>
              </w:rPr>
              <w:t>的符合性分析如下：</w:t>
            </w:r>
          </w:p>
          <w:p>
            <w:r>
              <w:t>（1）与生态保护红线的符合性分析</w:t>
            </w:r>
          </w:p>
          <w:p>
            <w:r>
              <w:rPr>
                <w:rFonts w:hint="eastAsia"/>
              </w:rPr>
              <w:t>完整利用福建省“三区三线”生态保护红线划定成果，福州市生态保护红线划定面积为5082.05平方千米，其中陆域面积为2410.32平方千米，海域面积为2671.73平方千米。生态保护红线最终面积以省政府发布结果为准。</w:t>
            </w:r>
          </w:p>
          <w:p>
            <w:r>
              <w:rPr>
                <w:rFonts w:hint="eastAsia"/>
              </w:rPr>
              <w:t xml:space="preserve">（2）与环境质量底线的符合性分析 </w:t>
            </w:r>
          </w:p>
          <w:p>
            <w:r>
              <w:t xml:space="preserve">①地表水环境质量底线 </w:t>
            </w:r>
          </w:p>
          <w:p>
            <w:r>
              <w:t>到2025年，国省控断面水质优良</w:t>
            </w:r>
            <w:r>
              <w:rPr>
                <w:rFonts w:hint="eastAsia"/>
              </w:rPr>
              <w:t>（</w:t>
            </w:r>
            <w:r>
              <w:t>达到或优于类</w:t>
            </w:r>
            <w:r>
              <w:rPr>
                <w:rFonts w:hint="eastAsia"/>
              </w:rPr>
              <w:t>）</w:t>
            </w:r>
            <w:r>
              <w:t>比例总体达97.2%以上；县级以上集中式饮用水水源水质达标率达100%。到2035年，国省控断面水质优良</w:t>
            </w:r>
            <w:r>
              <w:rPr>
                <w:rFonts w:hint="eastAsia"/>
              </w:rPr>
              <w:t>（</w:t>
            </w:r>
            <w:r>
              <w:t>达到或优于类</w:t>
            </w:r>
            <w:r>
              <w:rPr>
                <w:rFonts w:hint="eastAsia"/>
              </w:rPr>
              <w:t>）</w:t>
            </w:r>
            <w:r>
              <w:t>比例总体达到100%；生态系统实现良性循环。项目</w:t>
            </w:r>
            <w:r>
              <w:rPr>
                <w:rFonts w:hint="eastAsia"/>
              </w:rPr>
              <w:t>有</w:t>
            </w:r>
            <w:r>
              <w:t>生产废水产生</w:t>
            </w:r>
            <w:r>
              <w:rPr>
                <w:rFonts w:hint="eastAsia"/>
              </w:rPr>
              <w:t>，循环回用，无外排</w:t>
            </w:r>
            <w:r>
              <w:t>；生活污水经厂区化粪池处理后经市政污水管网排入长安处理厂集中处理，符合水环境质量底线要求。</w:t>
            </w:r>
          </w:p>
          <w:p>
            <w:pPr>
              <w:rPr>
                <w:rFonts w:cs="宋体"/>
              </w:rPr>
            </w:pPr>
            <w:r>
              <w:t>②大气环境质量底线到2025年，环境空气质量持续改善，细颗粒物年均浓度降至18.6μg/m。到2035年，县级</w:t>
            </w:r>
            <w:r>
              <w:rPr>
                <w:rFonts w:cs="宋体"/>
              </w:rPr>
              <w:t>城市细颗粒物年均浓度小于15ug/m，最终指标值以省下达指标为准。本项目运营期产生的废气经</w:t>
            </w:r>
            <w:r>
              <w:rPr>
                <w:rFonts w:hint="eastAsia" w:cs="宋体"/>
              </w:rPr>
              <w:t>“</w:t>
            </w:r>
            <w:r>
              <w:rPr>
                <w:rFonts w:cs="宋体"/>
              </w:rPr>
              <w:t>二级活性炭吸附装置</w:t>
            </w:r>
            <w:r>
              <w:rPr>
                <w:rFonts w:hint="eastAsia" w:cs="宋体"/>
              </w:rPr>
              <w:t>”</w:t>
            </w:r>
            <w:r>
              <w:rPr>
                <w:rFonts w:cs="宋体"/>
              </w:rPr>
              <w:t>有效净化处理后进行有组织达标排放，</w:t>
            </w:r>
            <w:r>
              <w:rPr>
                <w:rFonts w:hint="eastAsia" w:cs="宋体"/>
              </w:rPr>
              <w:t>对周边环境影响较小，</w:t>
            </w:r>
            <w:r>
              <w:rPr>
                <w:rFonts w:cs="宋体"/>
              </w:rPr>
              <w:t>符合大气环境质量底线要求。</w:t>
            </w:r>
          </w:p>
          <w:p>
            <w:pPr>
              <w:pStyle w:val="19"/>
              <w:ind w:firstLine="480"/>
              <w:rPr>
                <w:rFonts w:ascii="Times New Roman" w:hAnsi="Times New Roman" w:cs="宋体"/>
              </w:rPr>
            </w:pPr>
            <w:r>
              <w:rPr>
                <w:rFonts w:ascii="Times New Roman" w:hAnsi="Times New Roman" w:cs="宋体"/>
              </w:rPr>
              <w:t>③土壤环境风险防控底线</w:t>
            </w:r>
          </w:p>
          <w:p>
            <w:pPr>
              <w:pStyle w:val="19"/>
              <w:ind w:firstLine="480"/>
              <w:rPr>
                <w:rFonts w:ascii="Times New Roman" w:hAnsi="Times New Roman"/>
              </w:rPr>
            </w:pPr>
            <w:r>
              <w:rPr>
                <w:rFonts w:ascii="Times New Roman" w:hAnsi="Times New Roman" w:cs="宋体"/>
              </w:rPr>
              <w:t>到2025年，受污染耕地安全利用率达到95%</w:t>
            </w:r>
            <w:r>
              <w:rPr>
                <w:rFonts w:hint="eastAsia" w:ascii="Times New Roman" w:hAnsi="Times New Roman" w:cs="宋体"/>
              </w:rPr>
              <w:t>（</w:t>
            </w:r>
            <w:r>
              <w:rPr>
                <w:rFonts w:ascii="Times New Roman" w:hAnsi="Times New Roman" w:cs="宋体"/>
              </w:rPr>
              <w:t>含</w:t>
            </w:r>
            <w:r>
              <w:rPr>
                <w:rFonts w:hint="eastAsia" w:ascii="Times New Roman" w:hAnsi="Times New Roman" w:cs="宋体"/>
              </w:rPr>
              <w:t>）</w:t>
            </w:r>
            <w:r>
              <w:rPr>
                <w:rFonts w:ascii="Times New Roman" w:hAnsi="Times New Roman" w:cs="宋体"/>
              </w:rPr>
              <w:t>以上，重点 建设用地安全利用率得到有效保障，重点行业企业用地优先管控 名录地块风险管控率达到95%</w:t>
            </w:r>
            <w:r>
              <w:rPr>
                <w:rFonts w:hint="eastAsia" w:ascii="Times New Roman" w:hAnsi="Times New Roman" w:cs="宋体"/>
              </w:rPr>
              <w:t>（</w:t>
            </w:r>
            <w:r>
              <w:rPr>
                <w:rFonts w:ascii="Times New Roman" w:hAnsi="Times New Roman" w:cs="宋体"/>
              </w:rPr>
              <w:t>含</w:t>
            </w:r>
            <w:r>
              <w:rPr>
                <w:rFonts w:hint="eastAsia" w:ascii="Times New Roman" w:hAnsi="Times New Roman" w:cs="宋体"/>
              </w:rPr>
              <w:t>）</w:t>
            </w:r>
            <w:r>
              <w:rPr>
                <w:rFonts w:ascii="Times New Roman" w:hAnsi="Times New Roman" w:cs="宋体"/>
              </w:rPr>
              <w:t>以上，开垦耕地土壤污染调查 覆盖率达90%以上，畜禽粪污综合利用率预期达95%</w:t>
            </w:r>
            <w:r>
              <w:rPr>
                <w:rFonts w:hint="eastAsia" w:ascii="Times New Roman" w:hAnsi="Times New Roman" w:cs="宋体"/>
              </w:rPr>
              <w:t>（</w:t>
            </w:r>
            <w:r>
              <w:rPr>
                <w:rFonts w:ascii="Times New Roman" w:hAnsi="Times New Roman" w:cs="宋体"/>
              </w:rPr>
              <w:t>含</w:t>
            </w:r>
            <w:r>
              <w:rPr>
                <w:rFonts w:hint="eastAsia" w:ascii="Times New Roman" w:hAnsi="Times New Roman" w:cs="宋体"/>
              </w:rPr>
              <w:t>）</w:t>
            </w:r>
            <w:r>
              <w:rPr>
                <w:rFonts w:ascii="Times New Roman" w:hAnsi="Times New Roman" w:cs="宋体"/>
              </w:rPr>
              <w:t>以上。到2035年，全市土壤环境质量稳中向好，农用地和建设用地土壤环境得到有效保障，土壤环境风险得到全面管控。</w:t>
            </w:r>
          </w:p>
          <w:p>
            <w:pPr>
              <w:rPr>
                <w:rFonts w:ascii="宋体" w:hAnsi="宋体" w:cs="宋体"/>
              </w:rPr>
            </w:pPr>
            <w:r>
              <w:rPr>
                <w:rFonts w:ascii="宋体" w:hAnsi="宋体" w:cs="宋体"/>
              </w:rPr>
              <w:t>项目位于</w:t>
            </w:r>
            <w:r>
              <w:rPr>
                <w:rFonts w:hint="eastAsia"/>
                <w:lang w:eastAsia="zh-CN"/>
              </w:rPr>
              <w:t>福建省福州市马尾区亭江镇亭江路66号福州（马尾）万洋众创（三期）B22#楼1层02厂房</w:t>
            </w:r>
            <w:r>
              <w:rPr>
                <w:rFonts w:ascii="宋体" w:hAnsi="宋体" w:cs="宋体"/>
              </w:rPr>
              <w:t>，项目厂区内所有地面均已全部硬化，生产过程不排放持久性污染物，不存在土壤环境风险，符合土壤环境风险防控底线要求。</w:t>
            </w:r>
          </w:p>
          <w:p>
            <w:r>
              <w:rPr>
                <w:rFonts w:hint="eastAsia"/>
              </w:rPr>
              <w:t>（</w:t>
            </w:r>
            <w:r>
              <w:t>3</w:t>
            </w:r>
            <w:r>
              <w:rPr>
                <w:rFonts w:hint="eastAsia"/>
              </w:rPr>
              <w:t>）</w:t>
            </w:r>
            <w:r>
              <w:t>与资源利用上限的符合性分析</w:t>
            </w:r>
          </w:p>
          <w:p>
            <w:r>
              <w:t>①水资源利用上线</w:t>
            </w:r>
          </w:p>
          <w:p>
            <w:r>
              <w:t>到2025年，全市总用水量目标值为28亿立方米，万元工业增加值用水量达到12立方米、万元GDP用水量达到19立方米、农田灌溉有效利用系数达到0.586。2035年指标以省人民政府下达为准。</w:t>
            </w:r>
          </w:p>
          <w:p>
            <w:r>
              <w:t>②土地资源利用上线</w:t>
            </w:r>
          </w:p>
          <w:p>
            <w:r>
              <w:t>到2025年，耕地保有量达到947.53平方千米，基本农田保护面积达到844.82平方千米。2035年指标与2025年保持一致。</w:t>
            </w:r>
          </w:p>
          <w:p>
            <w:r>
              <w:t>③能源资源利用上线</w:t>
            </w:r>
          </w:p>
          <w:p>
            <w:r>
              <w:t>到2025年，单位地区生产总值二氧化碳排放降低率达到19.5%，单位地区生产总值能源消耗降低率达到14%，非化石能源占一次能源消费比例达到32%。2035年指标以省人民政府下达为准。</w:t>
            </w:r>
          </w:p>
          <w:p>
            <w:r>
              <w:t>项目用水为市政自来水供水，用电为区域集中供应，项目运行过程通过内部管理、设备选择、原材料管理、废物回收利用、污染治理等多方面采取合理可行的防治措施，以</w:t>
            </w:r>
            <w:r>
              <w:rPr>
                <w:rFonts w:hint="eastAsia"/>
              </w:rPr>
              <w:t>“</w:t>
            </w:r>
            <w:r>
              <w:t>节能、降耗、减污</w:t>
            </w:r>
            <w:r>
              <w:rPr>
                <w:rFonts w:hint="eastAsia"/>
              </w:rPr>
              <w:t>”</w:t>
            </w:r>
            <w:r>
              <w:t>为目标，有效</w:t>
            </w:r>
            <w:r>
              <w:rPr>
                <w:rFonts w:hint="eastAsia"/>
              </w:rPr>
              <w:t>地</w:t>
            </w:r>
            <w:r>
              <w:t>控制污染。项目的水、电等资源利用不会突破区域的资源利用上限。</w:t>
            </w:r>
          </w:p>
          <w:p>
            <w:r>
              <w:rPr>
                <w:rFonts w:hint="eastAsia"/>
              </w:rPr>
              <w:t>（4）生态环境准入清单</w:t>
            </w:r>
          </w:p>
          <w:p>
            <w:r>
              <w:t>本项目未列入《福建省第一批国家重点生态功能区县</w:t>
            </w:r>
            <w:r>
              <w:rPr>
                <w:rFonts w:hint="eastAsia"/>
              </w:rPr>
              <w:t>（</w:t>
            </w:r>
            <w:r>
              <w:t>市</w:t>
            </w:r>
            <w:r>
              <w:rPr>
                <w:rFonts w:hint="eastAsia"/>
              </w:rPr>
              <w:t>）</w:t>
            </w:r>
            <w:r>
              <w:t>产业准入负面清单</w:t>
            </w:r>
            <w:r>
              <w:rPr>
                <w:rFonts w:hint="eastAsia"/>
              </w:rPr>
              <w:t>（</w:t>
            </w:r>
            <w:r>
              <w:t>试行</w:t>
            </w:r>
            <w:r>
              <w:rPr>
                <w:rFonts w:hint="eastAsia"/>
              </w:rPr>
              <w:t>）</w:t>
            </w:r>
            <w:r>
              <w:t>》，未列入《市场准入负面清单</w:t>
            </w:r>
            <w:r>
              <w:rPr>
                <w:rFonts w:hint="eastAsia"/>
              </w:rPr>
              <w:t>（</w:t>
            </w:r>
            <w:r>
              <w:t>2020年版</w:t>
            </w:r>
            <w:r>
              <w:rPr>
                <w:rFonts w:hint="eastAsia"/>
              </w:rPr>
              <w:t>）</w:t>
            </w:r>
            <w:r>
              <w:t>》禁止准入类</w:t>
            </w:r>
            <w:r>
              <w:rPr>
                <w:rFonts w:hint="eastAsia"/>
              </w:rPr>
              <w:t>。</w:t>
            </w:r>
          </w:p>
          <w:p>
            <w:r>
              <w:t>①与《福建省人民政府关于实施</w:t>
            </w:r>
            <w:r>
              <w:rPr>
                <w:rFonts w:hint="eastAsia"/>
              </w:rPr>
              <w:t>“</w:t>
            </w:r>
            <w:r>
              <w:t>三线一单</w:t>
            </w:r>
            <w:r>
              <w:rPr>
                <w:rFonts w:hint="eastAsia"/>
              </w:rPr>
              <w:t>”</w:t>
            </w:r>
            <w:r>
              <w:t>生态环境分区管控的通知》符合性分析</w:t>
            </w:r>
          </w:p>
          <w:p>
            <w:r>
              <w:t>根据《福建省人民政府关于实施</w:t>
            </w:r>
            <w:r>
              <w:rPr>
                <w:rFonts w:hint="eastAsia"/>
              </w:rPr>
              <w:t>“三线一单”</w:t>
            </w:r>
            <w:r>
              <w:t>生态环境分区管控的通知》</w:t>
            </w:r>
            <w:r>
              <w:rPr>
                <w:rFonts w:hint="eastAsia"/>
              </w:rPr>
              <w:t>（</w:t>
            </w:r>
            <w:r>
              <w:t>闽政[2020]12号</w:t>
            </w:r>
            <w:r>
              <w:rPr>
                <w:rFonts w:hint="eastAsia"/>
              </w:rPr>
              <w:t>）</w:t>
            </w:r>
            <w:r>
              <w:t>相关要求分析，项目所在位置属于福建省陆域区域。因此，项目对照全省生态环境总体准入要求中</w:t>
            </w:r>
            <w:r>
              <w:rPr>
                <w:rFonts w:hint="eastAsia"/>
              </w:rPr>
              <w:t>“全省陆域”</w:t>
            </w:r>
            <w:r>
              <w:t>部分，具体见表</w:t>
            </w:r>
            <w:r>
              <w:rPr>
                <w:rFonts w:hint="eastAsia"/>
              </w:rPr>
              <w:t>1.7-1。</w:t>
            </w:r>
          </w:p>
          <w:p>
            <w:pPr>
              <w:pStyle w:val="96"/>
            </w:pPr>
            <w:r>
              <w:t>表1.</w:t>
            </w:r>
            <w:r>
              <w:rPr>
                <w:rFonts w:hint="eastAsia"/>
              </w:rPr>
              <w:t>7</w:t>
            </w:r>
            <w:r>
              <w:t>-1</w:t>
            </w:r>
            <w:r>
              <w:rPr>
                <w:rFonts w:hint="eastAsia"/>
              </w:rPr>
              <w:t xml:space="preserve">  </w:t>
            </w:r>
            <w:r>
              <w:t>与全省生态环境总体准入要求的符合性分析</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376"/>
              <w:gridCol w:w="428"/>
              <w:gridCol w:w="3500"/>
              <w:gridCol w:w="3244"/>
              <w:gridCol w:w="3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376" w:type="dxa"/>
                  <w:vAlign w:val="center"/>
                </w:tcPr>
                <w:p>
                  <w:pPr>
                    <w:pStyle w:val="53"/>
                  </w:pPr>
                  <w:r>
                    <w:t>适用范围</w:t>
                  </w:r>
                </w:p>
              </w:tc>
              <w:tc>
                <w:tcPr>
                  <w:tcW w:w="3928" w:type="dxa"/>
                  <w:gridSpan w:val="2"/>
                  <w:vAlign w:val="center"/>
                </w:tcPr>
                <w:p>
                  <w:pPr>
                    <w:pStyle w:val="53"/>
                  </w:pPr>
                  <w:r>
                    <w:t>准入要求</w:t>
                  </w:r>
                </w:p>
              </w:tc>
              <w:tc>
                <w:tcPr>
                  <w:tcW w:w="3244" w:type="dxa"/>
                  <w:vAlign w:val="center"/>
                </w:tcPr>
                <w:p>
                  <w:pPr>
                    <w:pStyle w:val="53"/>
                  </w:pPr>
                  <w:r>
                    <w:t>本项目情况</w:t>
                  </w:r>
                </w:p>
              </w:tc>
              <w:tc>
                <w:tcPr>
                  <w:tcW w:w="359" w:type="dxa"/>
                  <w:vAlign w:val="center"/>
                </w:tcPr>
                <w:p>
                  <w:pPr>
                    <w:pStyle w:val="53"/>
                  </w:pPr>
                  <w: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376" w:type="dxa"/>
                  <w:vMerge w:val="restart"/>
                  <w:vAlign w:val="center"/>
                </w:tcPr>
                <w:p>
                  <w:pPr>
                    <w:pStyle w:val="53"/>
                  </w:pPr>
                  <w:r>
                    <w:t>全省陆域</w:t>
                  </w:r>
                </w:p>
              </w:tc>
              <w:tc>
                <w:tcPr>
                  <w:tcW w:w="428" w:type="dxa"/>
                  <w:vAlign w:val="center"/>
                </w:tcPr>
                <w:p>
                  <w:pPr>
                    <w:pStyle w:val="53"/>
                  </w:pPr>
                  <w:r>
                    <w:t>空间布局约束</w:t>
                  </w:r>
                </w:p>
              </w:tc>
              <w:tc>
                <w:tcPr>
                  <w:tcW w:w="3500" w:type="dxa"/>
                  <w:vAlign w:val="center"/>
                </w:tcPr>
                <w:p>
                  <w:pPr>
                    <w:pStyle w:val="53"/>
                  </w:pPr>
                  <w:r>
                    <w:t>1、石化、汽车、船舶、冶金、水泥、制浆造纸、印染等重点产业，要符合全省规划布局要求。</w:t>
                  </w:r>
                </w:p>
                <w:p>
                  <w:pPr>
                    <w:pStyle w:val="53"/>
                  </w:pPr>
                  <w:r>
                    <w:t>2、严控钢铁、水泥、平板玻璃等产能过剩行业新增产能，新增产能应实施产能等量或减量置换。</w:t>
                  </w:r>
                </w:p>
                <w:p>
                  <w:pPr>
                    <w:pStyle w:val="53"/>
                  </w:pPr>
                  <w:r>
                    <w:t>3、除列入国家规划的大型煤电和符合相关要求的等容量替代项目，以及以供热为主的热电联产项目外，原则上不再建设新的煤电项目。</w:t>
                  </w:r>
                </w:p>
                <w:p>
                  <w:pPr>
                    <w:pStyle w:val="53"/>
                  </w:pPr>
                  <w:r>
                    <w:t>4、氟化工产业应集中布局在《关于促进我省氟化工产业绿色高效发展的若干意见》中确定的园区，在上述园区之外不再新建氟化工项目，园区之外现有氟化工项目不再扩大规模。</w:t>
                  </w:r>
                </w:p>
                <w:p>
                  <w:pPr>
                    <w:pStyle w:val="53"/>
                  </w:pPr>
                  <w:r>
                    <w:t>5、禁止在水环境质量不能稳定达标的区域内，建设新增相应不达标污染物指标排放量的工业项目。</w:t>
                  </w:r>
                </w:p>
                <w:p>
                  <w:pPr>
                    <w:pStyle w:val="53"/>
                  </w:pPr>
                  <w:r>
                    <w:rPr>
                      <w:rFonts w:hint="eastAsia"/>
                    </w:rPr>
                    <w:t>6</w:t>
                  </w:r>
                  <w:r>
                    <w:t>、</w:t>
                  </w:r>
                  <w:r>
                    <w:rPr>
                      <w:rFonts w:hint="eastAsia"/>
                    </w:rPr>
                    <w:t>禁止在通风廊道和主导风向的上风向布局大气重污染企业，推进建成区大气重污染企业搬迁或升级改造、环境风险企业搬迁或关闭退出。7.新建、扩建的涉及重点重金属污染物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3244" w:type="dxa"/>
                  <w:vAlign w:val="center"/>
                </w:tcPr>
                <w:p>
                  <w:pPr>
                    <w:pStyle w:val="53"/>
                  </w:pPr>
                  <w:r>
                    <w:rPr>
                      <w:rFonts w:hint="eastAsia"/>
                    </w:rPr>
                    <w:t>1</w:t>
                  </w:r>
                  <w:r>
                    <w:rPr>
                      <w:rFonts w:hint="eastAsia"/>
                      <w:lang w:val="en-US" w:eastAsia="zh-CN"/>
                    </w:rPr>
                    <w:t>.</w:t>
                  </w:r>
                  <w:r>
                    <w:t>本项目主要</w:t>
                  </w:r>
                  <w:r>
                    <w:rPr>
                      <w:rFonts w:hint="eastAsia"/>
                    </w:rPr>
                    <w:t>从事</w:t>
                  </w:r>
                  <w:r>
                    <w:rPr>
                      <w:rFonts w:hint="eastAsia"/>
                      <w:lang w:val="en-GB"/>
                    </w:rPr>
                    <w:t>按摩器</w:t>
                  </w:r>
                  <w:r>
                    <w:rPr>
                      <w:rFonts w:hint="eastAsia"/>
                    </w:rPr>
                    <w:t>配件生产</w:t>
                  </w:r>
                  <w:r>
                    <w:t>，</w:t>
                  </w:r>
                  <w:r>
                    <w:rPr>
                      <w:rFonts w:hint="eastAsia"/>
                    </w:rPr>
                    <w:t>不属于石化、汽车、船舶、冶金、水泥、制浆造纸、印染等重点产业2</w:t>
                  </w:r>
                  <w:r>
                    <w:rPr>
                      <w:rFonts w:hint="eastAsia"/>
                      <w:lang w:val="en-US" w:eastAsia="zh-CN"/>
                    </w:rPr>
                    <w:t>.</w:t>
                  </w:r>
                  <w:r>
                    <w:rPr>
                      <w:rFonts w:hint="eastAsia"/>
                    </w:rPr>
                    <w:t>本项目不属于钢铁、水泥、平板玻璃等产能过剩行业3-4</w:t>
                  </w:r>
                  <w:r>
                    <w:rPr>
                      <w:rFonts w:hint="eastAsia"/>
                      <w:lang w:val="en-US" w:eastAsia="zh-CN"/>
                    </w:rPr>
                    <w:t>.本项目</w:t>
                  </w:r>
                  <w:r>
                    <w:rPr>
                      <w:rFonts w:hint="eastAsia"/>
                    </w:rPr>
                    <w:t>不</w:t>
                  </w:r>
                  <w:r>
                    <w:rPr>
                      <w:rFonts w:hint="eastAsia"/>
                      <w:lang w:val="en-US" w:eastAsia="zh-CN"/>
                    </w:rPr>
                    <w:t>是</w:t>
                  </w:r>
                  <w:r>
                    <w:t>煤电项目</w:t>
                  </w:r>
                  <w:r>
                    <w:rPr>
                      <w:rFonts w:hint="eastAsia"/>
                      <w:lang w:eastAsia="zh-CN"/>
                    </w:rPr>
                    <w:t>、</w:t>
                  </w:r>
                  <w:r>
                    <w:rPr>
                      <w:rFonts w:hint="eastAsia"/>
                      <w:lang w:val="en-US" w:eastAsia="zh-CN"/>
                    </w:rPr>
                    <w:t>且不属于</w:t>
                  </w:r>
                  <w:r>
                    <w:t>氟化工产业</w:t>
                  </w:r>
                  <w:r>
                    <w:rPr>
                      <w:rFonts w:hint="eastAsia"/>
                    </w:rPr>
                    <w:t>5</w:t>
                  </w:r>
                  <w:r>
                    <w:rPr>
                      <w:rFonts w:hint="eastAsia"/>
                      <w:lang w:val="en-US" w:eastAsia="zh-CN"/>
                    </w:rPr>
                    <w:t>.</w:t>
                  </w:r>
                  <w:r>
                    <w:rPr>
                      <w:rFonts w:hint="eastAsia"/>
                    </w:rPr>
                    <w:t>所在区域</w:t>
                  </w:r>
                  <w:r>
                    <w:t>水环境质量能稳定达标</w:t>
                  </w:r>
                  <w:r>
                    <w:rPr>
                      <w:rFonts w:hint="eastAsia"/>
                    </w:rPr>
                    <w:t>，</w:t>
                  </w:r>
                  <w:r>
                    <w:t>项目建设</w:t>
                  </w:r>
                  <w:r>
                    <w:rPr>
                      <w:rFonts w:hint="eastAsia"/>
                    </w:rPr>
                    <w:t>符合</w:t>
                  </w:r>
                  <w:r>
                    <w:t>空间布局约束</w:t>
                  </w:r>
                  <w:r>
                    <w:rPr>
                      <w:rFonts w:hint="eastAsia"/>
                    </w:rPr>
                    <w:t>要求6</w:t>
                  </w:r>
                  <w:r>
                    <w:rPr>
                      <w:rFonts w:hint="eastAsia"/>
                      <w:lang w:val="en-US" w:eastAsia="zh-CN"/>
                    </w:rPr>
                    <w:t>.</w:t>
                  </w:r>
                  <w:r>
                    <w:rPr>
                      <w:rFonts w:hint="eastAsia"/>
                    </w:rPr>
                    <w:t>本项目使用</w:t>
                  </w:r>
                  <w:r>
                    <w:t>低VOCs含量原辅材料</w:t>
                  </w:r>
                  <w:r>
                    <w:rPr>
                      <w:rFonts w:hint="eastAsia"/>
                    </w:rPr>
                    <w:t>，</w:t>
                  </w:r>
                  <w:r>
                    <w:t>项目VOCs通过采取</w:t>
                  </w:r>
                  <w:r>
                    <w:rPr>
                      <w:rFonts w:hint="eastAsia"/>
                    </w:rPr>
                    <w:t>二级活性炭吸附装置处理</w:t>
                  </w:r>
                  <w:r>
                    <w:t>后</w:t>
                  </w:r>
                  <w:r>
                    <w:rPr>
                      <w:rFonts w:hint="eastAsia"/>
                    </w:rPr>
                    <w:t>达标排放，不属于大气重污染企业，7</w:t>
                  </w:r>
                  <w:r>
                    <w:rPr>
                      <w:rFonts w:hint="eastAsia"/>
                      <w:lang w:val="en-US" w:eastAsia="zh-CN"/>
                    </w:rPr>
                    <w:t>.</w:t>
                  </w:r>
                  <w:r>
                    <w:rPr>
                      <w:rFonts w:hint="eastAsia"/>
                    </w:rPr>
                    <w:t>本项目主要从事按摩器配件生产，不属于涉及重点重金属污染物的有色金属冶炼、电镀、制革、铅蓄电池制造企业</w:t>
                  </w:r>
                </w:p>
              </w:tc>
              <w:tc>
                <w:tcPr>
                  <w:tcW w:w="359" w:type="dxa"/>
                  <w:vAlign w:val="center"/>
                </w:tcPr>
                <w:p>
                  <w:pPr>
                    <w:pStyle w:val="53"/>
                  </w:pPr>
                  <w: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376" w:type="dxa"/>
                  <w:vMerge w:val="continue"/>
                  <w:vAlign w:val="center"/>
                </w:tcPr>
                <w:p>
                  <w:pPr>
                    <w:pStyle w:val="53"/>
                  </w:pPr>
                </w:p>
              </w:tc>
              <w:tc>
                <w:tcPr>
                  <w:tcW w:w="428" w:type="dxa"/>
                  <w:vAlign w:val="center"/>
                </w:tcPr>
                <w:p>
                  <w:pPr>
                    <w:pStyle w:val="53"/>
                  </w:pPr>
                  <w:r>
                    <w:t>污染物排放管控</w:t>
                  </w:r>
                </w:p>
              </w:tc>
              <w:tc>
                <w:tcPr>
                  <w:tcW w:w="3500" w:type="dxa"/>
                  <w:vAlign w:val="center"/>
                </w:tcPr>
                <w:p>
                  <w:pPr>
                    <w:pStyle w:val="53"/>
                  </w:pPr>
                  <w:r>
                    <w:t>1、建设项目新增的主要污染物排放量应按要求实行等量或倍量替代。涉及总磷排放的建设项目应按照要求实行总磷排放量倍量或等量削减替代。涉及重金属重点行业建设项目新增的重点重金属污染物应按要求实行</w:t>
                  </w:r>
                  <w:r>
                    <w:rPr>
                      <w:rFonts w:hint="eastAsia"/>
                    </w:rPr>
                    <w:t>“</w:t>
                  </w:r>
                  <w:r>
                    <w:t>减量置换</w:t>
                  </w:r>
                  <w:r>
                    <w:rPr>
                      <w:rFonts w:hint="eastAsia"/>
                    </w:rPr>
                    <w:t>”</w:t>
                  </w:r>
                  <w:r>
                    <w:t>或</w:t>
                  </w:r>
                  <w:r>
                    <w:rPr>
                      <w:rFonts w:hint="eastAsia"/>
                    </w:rPr>
                    <w:t>“</w:t>
                  </w:r>
                  <w:r>
                    <w:t>等量替换</w:t>
                  </w:r>
                  <w:r>
                    <w:rPr>
                      <w:rFonts w:hint="eastAsia"/>
                    </w:rPr>
                    <w:t>”</w:t>
                  </w:r>
                  <w:r>
                    <w:t>。涉新增VOCS排放项目，VOCS排放实行区域内等量替代。福州、厦门、漳州、泉州、莆田、宁德等6个重点控制区可实施倍量替代。</w:t>
                  </w:r>
                </w:p>
                <w:p>
                  <w:pPr>
                    <w:pStyle w:val="53"/>
                  </w:pPr>
                  <w:r>
                    <w:t>2、新建水泥、有色金属项目应执行大气污染物特别排放限值，钢铁项目应执行超低排放指标要求，火电项目应达到超低排放限值。</w:t>
                  </w:r>
                </w:p>
                <w:p>
                  <w:pPr>
                    <w:pStyle w:val="53"/>
                  </w:pPr>
                  <w:r>
                    <w:t>3、尾水排入近岸海域汇水区域、</w:t>
                  </w:r>
                  <w:r>
                    <w:rPr>
                      <w:rFonts w:hint="eastAsia"/>
                    </w:rPr>
                    <w:t>“</w:t>
                  </w:r>
                  <w:r>
                    <w:t>六江两溪</w:t>
                  </w:r>
                  <w:r>
                    <w:rPr>
                      <w:rFonts w:hint="eastAsia"/>
                    </w:rPr>
                    <w:t>”</w:t>
                  </w:r>
                  <w:r>
                    <w:t>流域以及湖泊、水库等封闭、半封闭水域的城镇污水处理设施执行不低于一级 A 排放标准。</w:t>
                  </w:r>
                </w:p>
              </w:tc>
              <w:tc>
                <w:tcPr>
                  <w:tcW w:w="3244" w:type="dxa"/>
                  <w:vAlign w:val="center"/>
                </w:tcPr>
                <w:p>
                  <w:pPr>
                    <w:pStyle w:val="53"/>
                  </w:pPr>
                  <w:r>
                    <w:t>1</w:t>
                  </w:r>
                  <w:r>
                    <w:rPr>
                      <w:rFonts w:hint="eastAsia"/>
                      <w:lang w:val="en-US" w:eastAsia="zh-CN"/>
                    </w:rPr>
                    <w:t>.</w:t>
                  </w:r>
                  <w:r>
                    <w:t>项目位于</w:t>
                  </w:r>
                  <w:r>
                    <w:rPr>
                      <w:rFonts w:hint="eastAsia"/>
                      <w:lang w:eastAsia="zh-CN"/>
                    </w:rPr>
                    <w:t>福建省福州市马尾区亭江镇亭江路66号福州（马尾）万洋众创（三期）B22#楼1层02厂房</w:t>
                  </w:r>
                  <w:r>
                    <w:t>，属于其规定的污染物管控区域。项目</w:t>
                  </w:r>
                  <w:r>
                    <w:rPr>
                      <w:rFonts w:hint="eastAsia"/>
                    </w:rPr>
                    <w:t>涉及</w:t>
                  </w:r>
                  <w:r>
                    <w:t>VOCS排放</w:t>
                  </w:r>
                  <w:r>
                    <w:rPr>
                      <w:rFonts w:hint="eastAsia"/>
                    </w:rPr>
                    <w:t>，需</w:t>
                  </w:r>
                  <w:r>
                    <w:t>实施倍量替代</w:t>
                  </w:r>
                  <w:r>
                    <w:rPr>
                      <w:rFonts w:hint="eastAsia"/>
                    </w:rPr>
                    <w:t>。</w:t>
                  </w:r>
                </w:p>
                <w:p>
                  <w:pPr>
                    <w:pStyle w:val="53"/>
                  </w:pPr>
                  <w:r>
                    <w:t>2</w:t>
                  </w:r>
                  <w:r>
                    <w:rPr>
                      <w:rFonts w:hint="eastAsia"/>
                      <w:lang w:val="en-US" w:eastAsia="zh-CN"/>
                    </w:rPr>
                    <w:t>.</w:t>
                  </w:r>
                  <w:r>
                    <w:t>项目主要</w:t>
                  </w:r>
                  <w:r>
                    <w:rPr>
                      <w:rFonts w:hint="eastAsia"/>
                    </w:rPr>
                    <w:t>从事</w:t>
                  </w:r>
                  <w:r>
                    <w:rPr>
                      <w:rFonts w:hint="eastAsia"/>
                      <w:lang w:val="en-GB"/>
                    </w:rPr>
                    <w:t>按摩器</w:t>
                  </w:r>
                  <w:r>
                    <w:rPr>
                      <w:rFonts w:hint="eastAsia"/>
                    </w:rPr>
                    <w:t>配件生产</w:t>
                  </w:r>
                  <w:r>
                    <w:t>，不属于水泥、有色金属、钢铁、火电项目。</w:t>
                  </w:r>
                </w:p>
                <w:p>
                  <w:pPr>
                    <w:pStyle w:val="53"/>
                  </w:pPr>
                  <w:r>
                    <w:t>3</w:t>
                  </w:r>
                  <w:r>
                    <w:rPr>
                      <w:rFonts w:hint="eastAsia"/>
                      <w:lang w:val="en-US" w:eastAsia="zh-CN"/>
                    </w:rPr>
                    <w:t>.</w:t>
                  </w:r>
                  <w:r>
                    <w:t>项目</w:t>
                  </w:r>
                  <w:r>
                    <w:rPr>
                      <w:rFonts w:hint="eastAsia"/>
                    </w:rPr>
                    <w:t>无生产废水外排；</w:t>
                  </w:r>
                  <w:r>
                    <w:t>生活污水</w:t>
                  </w:r>
                  <w:r>
                    <w:rPr>
                      <w:rFonts w:hint="eastAsia"/>
                    </w:rPr>
                    <w:t>依托万洋化粪池</w:t>
                  </w:r>
                  <w:r>
                    <w:t>预处理后，排入市政污水管网，尾水排放达一级A排放标准</w:t>
                  </w:r>
                </w:p>
              </w:tc>
              <w:tc>
                <w:tcPr>
                  <w:tcW w:w="359" w:type="dxa"/>
                  <w:vAlign w:val="center"/>
                </w:tcPr>
                <w:p>
                  <w:pPr>
                    <w:pStyle w:val="53"/>
                  </w:pPr>
                  <w:r>
                    <w:t>符合</w:t>
                  </w:r>
                </w:p>
              </w:tc>
            </w:tr>
          </w:tbl>
          <w:p>
            <w:r>
              <w:t>根据上述分析，本项目与《福建省人民政府关于实</w:t>
            </w:r>
            <w:r>
              <w:rPr>
                <w:rFonts w:hint="eastAsia"/>
              </w:rPr>
              <w:t>施“三线一单”生</w:t>
            </w:r>
            <w:r>
              <w:t>态环境分区管控的通知》</w:t>
            </w:r>
            <w:r>
              <w:rPr>
                <w:rFonts w:hint="eastAsia"/>
              </w:rPr>
              <w:t>（</w:t>
            </w:r>
            <w:r>
              <w:t>闽政[2020]12号</w:t>
            </w:r>
            <w:r>
              <w:rPr>
                <w:rFonts w:hint="eastAsia"/>
              </w:rPr>
              <w:t>）</w:t>
            </w:r>
            <w:r>
              <w:t>中的相关规定是符合的。</w:t>
            </w:r>
          </w:p>
          <w:p>
            <w:r>
              <w:t>②与《</w:t>
            </w:r>
            <w:r>
              <w:rPr>
                <w:rFonts w:hint="eastAsia"/>
              </w:rPr>
              <w:t>福州市生态环境局关于发布福州市2024年生态环境分区管控动态更新成果的通知</w:t>
            </w:r>
            <w:r>
              <w:t>》符合性分析</w:t>
            </w:r>
          </w:p>
          <w:p>
            <w:r>
              <w:t>根据《</w:t>
            </w:r>
            <w:r>
              <w:rPr>
                <w:rFonts w:hint="eastAsia"/>
              </w:rPr>
              <w:t>福州市生态环境局关于发布福州市2024年生态环境分区管控动态更新成果的通知</w:t>
            </w:r>
            <w:r>
              <w:t>》</w:t>
            </w:r>
            <w:r>
              <w:rPr>
                <w:rFonts w:hint="eastAsia"/>
                <w:color w:val="auto"/>
                <w:lang w:bidi="ar"/>
              </w:rPr>
              <w:t>（榕</w:t>
            </w:r>
            <w:r>
              <w:rPr>
                <w:rFonts w:hint="eastAsia"/>
                <w:color w:val="auto"/>
                <w:lang w:val="en-US" w:eastAsia="zh-CN" w:bidi="ar"/>
              </w:rPr>
              <w:t>环保综</w:t>
            </w:r>
            <w:r>
              <w:rPr>
                <w:rFonts w:hint="eastAsia"/>
                <w:color w:val="auto"/>
                <w:lang w:bidi="ar"/>
              </w:rPr>
              <w:t>〔202</w:t>
            </w:r>
            <w:r>
              <w:rPr>
                <w:rFonts w:hint="eastAsia"/>
                <w:color w:val="auto"/>
                <w:lang w:val="en-US" w:eastAsia="zh-CN" w:bidi="ar"/>
              </w:rPr>
              <w:t>5</w:t>
            </w:r>
            <w:r>
              <w:rPr>
                <w:rFonts w:hint="eastAsia"/>
                <w:color w:val="auto"/>
                <w:lang w:bidi="ar"/>
              </w:rPr>
              <w:t>〕</w:t>
            </w:r>
            <w:r>
              <w:rPr>
                <w:rFonts w:hint="eastAsia"/>
                <w:color w:val="auto"/>
                <w:lang w:val="en-US" w:eastAsia="zh-CN" w:bidi="ar"/>
              </w:rPr>
              <w:t>1</w:t>
            </w:r>
            <w:r>
              <w:rPr>
                <w:rFonts w:hint="eastAsia"/>
                <w:color w:val="auto"/>
                <w:lang w:bidi="ar"/>
              </w:rPr>
              <w:t>号）</w:t>
            </w:r>
            <w:r>
              <w:t>相关要求分析，本项目属于马尾区重点管控单元1</w:t>
            </w:r>
            <w:r>
              <w:rPr>
                <w:rFonts w:hint="eastAsia"/>
              </w:rPr>
              <w:t>（ZH35010520003），为重点管控单元（三线一单综合查询报告见</w:t>
            </w:r>
            <w:r>
              <w:rPr>
                <w:rFonts w:hint="eastAsia"/>
              </w:rPr>
              <w:fldChar w:fldCharType="begin"/>
            </w:r>
            <w:r>
              <w:rPr>
                <w:rFonts w:hint="eastAsia"/>
              </w:rPr>
              <w:instrText xml:space="preserve"> REF _Ref26952 \h </w:instrText>
            </w:r>
            <w:r>
              <w:rPr>
                <w:rFonts w:hint="eastAsia"/>
              </w:rPr>
              <w:fldChar w:fldCharType="separate"/>
            </w:r>
            <w:r>
              <w:t>附件 13</w:t>
            </w:r>
            <w:r>
              <w:rPr>
                <w:rFonts w:hint="eastAsia"/>
              </w:rPr>
              <w:fldChar w:fldCharType="end"/>
            </w:r>
            <w:r>
              <w:rPr>
                <w:rFonts w:hint="eastAsia"/>
              </w:rPr>
              <w:t>）</w:t>
            </w:r>
            <w:r>
              <w:t>。本项目与福州市</w:t>
            </w:r>
            <w:r>
              <w:rPr>
                <w:rFonts w:hint="eastAsia"/>
              </w:rPr>
              <w:t>“</w:t>
            </w:r>
            <w:r>
              <w:t>生态环境分区管控</w:t>
            </w:r>
            <w:r>
              <w:rPr>
                <w:rFonts w:hint="eastAsia"/>
              </w:rPr>
              <w:t>”</w:t>
            </w:r>
            <w:r>
              <w:t>相符性分析具体见表1.</w:t>
            </w:r>
            <w:r>
              <w:rPr>
                <w:rFonts w:hint="eastAsia"/>
              </w:rPr>
              <w:t>7</w:t>
            </w:r>
            <w:r>
              <w:t>-2、1.</w:t>
            </w:r>
            <w:r>
              <w:rPr>
                <w:rFonts w:hint="eastAsia"/>
              </w:rPr>
              <w:t>7</w:t>
            </w:r>
            <w:r>
              <w:t>-3。</w:t>
            </w:r>
          </w:p>
          <w:p>
            <w:pPr>
              <w:pStyle w:val="96"/>
            </w:pPr>
            <w:r>
              <w:t>表1.</w:t>
            </w:r>
            <w:r>
              <w:rPr>
                <w:rFonts w:hint="eastAsia"/>
              </w:rPr>
              <w:t>7</w:t>
            </w:r>
            <w:r>
              <w:t>-2</w:t>
            </w:r>
            <w:r>
              <w:rPr>
                <w:rFonts w:hint="eastAsia"/>
              </w:rPr>
              <w:t xml:space="preserve"> </w:t>
            </w:r>
            <w:r>
              <w:t xml:space="preserve"> 与福州市生态环境总体准入要求的符合性分析</w:t>
            </w:r>
          </w:p>
          <w:tbl>
            <w:tblPr>
              <w:tblStyle w:val="36"/>
              <w:tblW w:w="781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
              <w:gridCol w:w="523"/>
              <w:gridCol w:w="4275"/>
              <w:gridCol w:w="1948"/>
              <w:gridCol w:w="6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tcBorders>
                    <w:tl2br w:val="nil"/>
                    <w:tr2bl w:val="nil"/>
                  </w:tcBorders>
                  <w:vAlign w:val="center"/>
                </w:tcPr>
                <w:p>
                  <w:pPr>
                    <w:pStyle w:val="53"/>
                  </w:pPr>
                  <w:r>
                    <w:rPr>
                      <w:rFonts w:hint="eastAsia"/>
                    </w:rPr>
                    <w:t>适用范围</w:t>
                  </w:r>
                </w:p>
              </w:tc>
              <w:tc>
                <w:tcPr>
                  <w:tcW w:w="523" w:type="dxa"/>
                  <w:tcBorders>
                    <w:tl2br w:val="nil"/>
                    <w:tr2bl w:val="nil"/>
                  </w:tcBorders>
                  <w:vAlign w:val="center"/>
                </w:tcPr>
                <w:p>
                  <w:pPr>
                    <w:pStyle w:val="53"/>
                  </w:pPr>
                  <w:r>
                    <w:rPr>
                      <w:rFonts w:hint="eastAsia"/>
                    </w:rPr>
                    <w:t>类别</w:t>
                  </w:r>
                </w:p>
              </w:tc>
              <w:tc>
                <w:tcPr>
                  <w:tcW w:w="4275" w:type="dxa"/>
                  <w:tcBorders>
                    <w:tl2br w:val="nil"/>
                    <w:tr2bl w:val="nil"/>
                  </w:tcBorders>
                  <w:vAlign w:val="center"/>
                </w:tcPr>
                <w:p>
                  <w:pPr>
                    <w:pStyle w:val="53"/>
                  </w:pPr>
                  <w:r>
                    <w:rPr>
                      <w:rFonts w:hint="eastAsia"/>
                    </w:rPr>
                    <w:t>准入要求</w:t>
                  </w:r>
                </w:p>
              </w:tc>
              <w:tc>
                <w:tcPr>
                  <w:tcW w:w="1948" w:type="dxa"/>
                  <w:tcBorders>
                    <w:tl2br w:val="nil"/>
                    <w:tr2bl w:val="nil"/>
                  </w:tcBorders>
                  <w:vAlign w:val="center"/>
                </w:tcPr>
                <w:p>
                  <w:pPr>
                    <w:pStyle w:val="53"/>
                  </w:pPr>
                  <w:r>
                    <w:rPr>
                      <w:rFonts w:hint="eastAsia"/>
                    </w:rPr>
                    <w:t>本项目情况</w:t>
                  </w:r>
                </w:p>
              </w:tc>
              <w:tc>
                <w:tcPr>
                  <w:tcW w:w="616" w:type="dxa"/>
                  <w:tcBorders>
                    <w:tl2br w:val="nil"/>
                    <w:tr2bl w:val="nil"/>
                  </w:tcBorders>
                  <w:vAlign w:val="center"/>
                </w:tcPr>
                <w:p>
                  <w:pPr>
                    <w:pStyle w:val="53"/>
                  </w:pPr>
                  <w:r>
                    <w:rPr>
                      <w:rFonts w:hint="eastAsia"/>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0" w:hRule="atLeast"/>
              </w:trPr>
              <w:tc>
                <w:tcPr>
                  <w:tcW w:w="454" w:type="dxa"/>
                  <w:vMerge w:val="restart"/>
                  <w:tcBorders>
                    <w:tl2br w:val="nil"/>
                    <w:tr2bl w:val="nil"/>
                  </w:tcBorders>
                  <w:vAlign w:val="center"/>
                </w:tcPr>
                <w:p>
                  <w:pPr>
                    <w:pStyle w:val="53"/>
                  </w:pPr>
                  <w:r>
                    <w:rPr>
                      <w:rFonts w:hint="eastAsia"/>
                    </w:rPr>
                    <w:t>福州市陆域</w:t>
                  </w:r>
                </w:p>
              </w:tc>
              <w:tc>
                <w:tcPr>
                  <w:tcW w:w="523" w:type="dxa"/>
                  <w:tcBorders>
                    <w:tl2br w:val="nil"/>
                    <w:tr2bl w:val="nil"/>
                  </w:tcBorders>
                  <w:vAlign w:val="center"/>
                </w:tcPr>
                <w:p>
                  <w:pPr>
                    <w:pStyle w:val="53"/>
                  </w:pPr>
                  <w:r>
                    <w:rPr>
                      <w:rFonts w:hint="eastAsia"/>
                    </w:rPr>
                    <w:t>空间布局约束</w:t>
                  </w:r>
                </w:p>
              </w:tc>
              <w:tc>
                <w:tcPr>
                  <w:tcW w:w="4275" w:type="dxa"/>
                  <w:tcBorders>
                    <w:tl2br w:val="nil"/>
                    <w:tr2bl w:val="nil"/>
                  </w:tcBorders>
                  <w:vAlign w:val="center"/>
                </w:tcPr>
                <w:p>
                  <w:pPr>
                    <w:pStyle w:val="53"/>
                    <w:jc w:val="both"/>
                    <w:rPr>
                      <w:rFonts w:hint="eastAsia"/>
                    </w:rPr>
                  </w:pPr>
                  <w:r>
                    <w:rPr>
                      <w:rFonts w:hint="eastAsia"/>
                    </w:rPr>
                    <w:t>一、优先保护单元中的生态保护红线</w:t>
                  </w:r>
                </w:p>
                <w:p>
                  <w:pPr>
                    <w:pStyle w:val="53"/>
                    <w:jc w:val="both"/>
                    <w:rPr>
                      <w:rFonts w:hint="eastAsia"/>
                    </w:rPr>
                  </w:pPr>
                  <w:r>
                    <w:rPr>
                      <w:rFonts w:hint="eastAsia"/>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pPr>
                    <w:pStyle w:val="53"/>
                    <w:jc w:val="both"/>
                    <w:rPr>
                      <w:rFonts w:hint="eastAsia"/>
                    </w:rPr>
                  </w:pPr>
                  <w:r>
                    <w:rPr>
                      <w:rFonts w:hint="eastAsia"/>
                    </w:rPr>
                    <w:t>（1）管护巡护、保护执法、科学研究、调查监测、测绘导航、防灾减灾救灾、军事国防、疫情防控等活动及相关的必要设施修筑。</w:t>
                  </w:r>
                </w:p>
                <w:p>
                  <w:pPr>
                    <w:pStyle w:val="53"/>
                    <w:jc w:val="both"/>
                    <w:rPr>
                      <w:rFonts w:hint="eastAsia"/>
                    </w:rPr>
                  </w:pPr>
                  <w:r>
                    <w:rPr>
                      <w:rFonts w:hint="eastAsia"/>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pPr>
                    <w:pStyle w:val="53"/>
                    <w:jc w:val="both"/>
                    <w:rPr>
                      <w:rFonts w:hint="eastAsia"/>
                    </w:rPr>
                  </w:pPr>
                  <w:r>
                    <w:rPr>
                      <w:rFonts w:hint="eastAsia"/>
                    </w:rPr>
                    <w:t>（3）经依法批准的考古调查发掘、古生物化石调查发掘、标本采集和文物保护活动。</w:t>
                  </w:r>
                </w:p>
                <w:p>
                  <w:pPr>
                    <w:pStyle w:val="53"/>
                    <w:jc w:val="both"/>
                    <w:rPr>
                      <w:rFonts w:hint="eastAsia"/>
                    </w:rPr>
                  </w:pPr>
                  <w:r>
                    <w:rPr>
                      <w:rFonts w:hint="eastAsia"/>
                    </w:rPr>
                    <w:t>（4）按规定对人工商品林进行抚育采伐，或以提升森林质量、优化栖息地、建设生物防火隔离带等为目的的树种更新，依法开展的竹林采伐经营。</w:t>
                  </w:r>
                </w:p>
                <w:p>
                  <w:pPr>
                    <w:pStyle w:val="53"/>
                    <w:jc w:val="both"/>
                    <w:rPr>
                      <w:rFonts w:hint="eastAsia"/>
                    </w:rPr>
                  </w:pPr>
                  <w:r>
                    <w:rPr>
                      <w:rFonts w:hint="eastAsia"/>
                    </w:rPr>
                    <w:t>（5）不破坏生态功能的适度参观旅游、科普宣教及符合相关规划的配套性服务设施和相关的必要公共设施建设及维护。</w:t>
                  </w:r>
                </w:p>
                <w:p>
                  <w:pPr>
                    <w:pStyle w:val="53"/>
                    <w:jc w:val="both"/>
                    <w:rPr>
                      <w:rFonts w:hint="eastAsia"/>
                    </w:rPr>
                  </w:pPr>
                  <w:r>
                    <w:rPr>
                      <w:rFonts w:hint="eastAsia"/>
                    </w:rPr>
                    <w:t>（6）必须且无法避让、符合县级以上国土空间规划的线性基础设施、通讯和防洪、供水设施建设和船舶航行、航道疏浚清淤等活动；已有的合法水利、交通运输等设施运行维护改造。</w:t>
                  </w:r>
                </w:p>
                <w:p>
                  <w:pPr>
                    <w:pStyle w:val="53"/>
                    <w:jc w:val="both"/>
                    <w:rPr>
                      <w:rFonts w:hint="eastAsia"/>
                    </w:rPr>
                  </w:pPr>
                  <w:r>
                    <w:rPr>
                      <w:rFonts w:hint="eastAsia"/>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pPr>
                    <w:pStyle w:val="53"/>
                    <w:jc w:val="both"/>
                    <w:rPr>
                      <w:rFonts w:hint="eastAsia"/>
                    </w:rPr>
                  </w:pPr>
                  <w:r>
                    <w:rPr>
                      <w:rFonts w:hint="eastAsia"/>
                    </w:rPr>
                    <w:t>（8）依据县级以上国土空间规划和生态保护修复专项规划开展的生态修复。</w:t>
                  </w:r>
                </w:p>
                <w:p>
                  <w:pPr>
                    <w:pStyle w:val="53"/>
                    <w:jc w:val="both"/>
                    <w:rPr>
                      <w:rFonts w:hint="eastAsia"/>
                    </w:rPr>
                  </w:pPr>
                  <w:r>
                    <w:rPr>
                      <w:rFonts w:hint="eastAsia"/>
                    </w:rPr>
                    <w:t>（9）法律法规规定允许的其他人为活动。</w:t>
                  </w:r>
                </w:p>
                <w:p>
                  <w:pPr>
                    <w:pStyle w:val="53"/>
                    <w:jc w:val="both"/>
                    <w:rPr>
                      <w:rFonts w:hint="eastAsia"/>
                    </w:rPr>
                  </w:pPr>
                  <w:r>
                    <w:rPr>
                      <w:rFonts w:hint="eastAsia"/>
                    </w:rPr>
                    <w:t>2.依据《福建省自然资源厅福建省生态环境厅福建省林业局关于进一步加强生态保护红线监管的通知（试行）》（闽自然资发〔2023〕56号），允许占用生态保护红线的重大项目范围：</w:t>
                  </w:r>
                </w:p>
                <w:p>
                  <w:pPr>
                    <w:pStyle w:val="53"/>
                    <w:jc w:val="both"/>
                    <w:rPr>
                      <w:rFonts w:hint="eastAsia"/>
                    </w:rPr>
                  </w:pPr>
                  <w:r>
                    <w:rPr>
                      <w:rFonts w:hint="eastAsia"/>
                    </w:rPr>
                    <w:t>（1）党中央、国务院发布文件或批准规划中明确具体名称的项目和国务院批准的项目。</w:t>
                  </w:r>
                </w:p>
                <w:p>
                  <w:pPr>
                    <w:pStyle w:val="53"/>
                    <w:jc w:val="both"/>
                    <w:rPr>
                      <w:rFonts w:hint="eastAsia"/>
                    </w:rPr>
                  </w:pPr>
                  <w:r>
                    <w:rPr>
                      <w:rFonts w:hint="eastAsia"/>
                    </w:rPr>
                    <w:t>（2）中央军委及其有关部门批准的军事国防项目。</w:t>
                  </w:r>
                </w:p>
                <w:p>
                  <w:pPr>
                    <w:pStyle w:val="53"/>
                    <w:jc w:val="both"/>
                    <w:rPr>
                      <w:rFonts w:hint="eastAsia"/>
                    </w:rPr>
                  </w:pPr>
                  <w:r>
                    <w:rPr>
                      <w:rFonts w:hint="eastAsia"/>
                    </w:rPr>
                    <w:t>（3）国家级规划（指国务院及其有关部门正式颁布）明确的交通、水利项目。</w:t>
                  </w:r>
                </w:p>
                <w:p>
                  <w:pPr>
                    <w:pStyle w:val="53"/>
                    <w:jc w:val="both"/>
                    <w:rPr>
                      <w:rFonts w:hint="eastAsia"/>
                    </w:rPr>
                  </w:pPr>
                  <w:r>
                    <w:rPr>
                      <w:rFonts w:hint="eastAsia"/>
                    </w:rPr>
                    <w:t>（4）国家级规划明确的电网项目，国家级规划明确的且符合国家产业政策的能源矿产勘查开采、油气管线、水电、核电项目。</w:t>
                  </w:r>
                </w:p>
                <w:p>
                  <w:pPr>
                    <w:pStyle w:val="53"/>
                    <w:jc w:val="both"/>
                    <w:rPr>
                      <w:rFonts w:hint="eastAsia"/>
                    </w:rPr>
                  </w:pPr>
                  <w:r>
                    <w:rPr>
                      <w:rFonts w:hint="eastAsia"/>
                    </w:rPr>
                    <w:t>（5）为贯彻落实党中央、国务院重大决策部署，国务院投资主管部门或国务院投资主管部门会同有关部门确认的交通、能源、水利等基础设施项目。</w:t>
                  </w:r>
                </w:p>
                <w:p>
                  <w:pPr>
                    <w:pStyle w:val="53"/>
                    <w:jc w:val="both"/>
                    <w:rPr>
                      <w:rFonts w:hint="eastAsia"/>
                    </w:rPr>
                  </w:pPr>
                  <w:r>
                    <w:rPr>
                      <w:rFonts w:hint="eastAsia"/>
                    </w:rPr>
                    <w:t>（6）按照国家重大项目用地保障工作机制要求，国家发展改革委会同有关部门确认的需中央加大建设用地保障力度，确实难以避让的国家重大项目。</w:t>
                  </w:r>
                </w:p>
                <w:p>
                  <w:pPr>
                    <w:pStyle w:val="53"/>
                    <w:jc w:val="both"/>
                    <w:rPr>
                      <w:rFonts w:hint="eastAsia"/>
                    </w:rPr>
                  </w:pPr>
                  <w:r>
                    <w:rPr>
                      <w:rFonts w:hint="eastAsia"/>
                    </w:rPr>
                    <w:t>二、优先保护单元中的一般生态空间</w:t>
                  </w:r>
                </w:p>
                <w:p>
                  <w:pPr>
                    <w:pStyle w:val="53"/>
                    <w:jc w:val="both"/>
                    <w:rPr>
                      <w:rFonts w:hint="eastAsia"/>
                    </w:rPr>
                  </w:pPr>
                  <w:r>
                    <w:rPr>
                      <w:rFonts w:hint="eastAsia"/>
                    </w:rPr>
                    <w:t>1.一般生态空间以保护和修复生态环境、提供生态产品和服务为首要任务，因地制宜地发展不影响主体功能定位的适宜产业。</w:t>
                  </w:r>
                </w:p>
                <w:p>
                  <w:pPr>
                    <w:pStyle w:val="53"/>
                    <w:jc w:val="both"/>
                    <w:rPr>
                      <w:rFonts w:hint="eastAsia"/>
                    </w:rPr>
                  </w:pPr>
                  <w:r>
                    <w:rPr>
                      <w:rFonts w:hint="eastAsia"/>
                    </w:rPr>
                    <w:t>2.一般生态空间内未纳入生态保护红线的饮用水水源保护区等各类法定保护地，其管控要求依照相关法律法规执行。</w:t>
                  </w:r>
                </w:p>
                <w:p>
                  <w:pPr>
                    <w:pStyle w:val="53"/>
                    <w:jc w:val="both"/>
                    <w:rPr>
                      <w:rFonts w:hint="eastAsia"/>
                    </w:rPr>
                  </w:pPr>
                  <w:r>
                    <w:rPr>
                      <w:rFonts w:hint="eastAsia"/>
                    </w:rPr>
                    <w:t>3.一般生态空间内现有合法的水泥厂、矿山开发等生产性设施及生活垃圾处置等民生工程予以保留，应按照法律法规要求落实污染防治和生态保护措施，避免对生态功能造成破坏。</w:t>
                  </w:r>
                </w:p>
                <w:p>
                  <w:pPr>
                    <w:pStyle w:val="53"/>
                    <w:jc w:val="both"/>
                    <w:rPr>
                      <w:rFonts w:hint="eastAsia"/>
                    </w:rPr>
                  </w:pPr>
                  <w:r>
                    <w:rPr>
                      <w:rFonts w:hint="eastAsia"/>
                    </w:rPr>
                    <w:t>三、其它要求</w:t>
                  </w:r>
                </w:p>
                <w:p>
                  <w:pPr>
                    <w:pStyle w:val="53"/>
                    <w:jc w:val="both"/>
                    <w:rPr>
                      <w:rFonts w:hint="eastAsia"/>
                    </w:rPr>
                  </w:pPr>
                  <w:r>
                    <w:rPr>
                      <w:rFonts w:hint="eastAsia"/>
                    </w:rPr>
                    <w:t>1.福州市石化中上游项目重点在福州江阴港城经济区、可门港经济区化工新材料产业园布局。</w:t>
                  </w:r>
                </w:p>
                <w:p>
                  <w:pPr>
                    <w:pStyle w:val="53"/>
                    <w:jc w:val="both"/>
                    <w:rPr>
                      <w:rFonts w:hint="eastAsia"/>
                    </w:rPr>
                  </w:pPr>
                  <w:r>
                    <w:rPr>
                      <w:rFonts w:hint="eastAsia"/>
                    </w:rPr>
                    <w:t>2.禁止在闽江马尾罗星塔以上流域范围新、扩建制革项目，严控新（扩）建植物制浆、印染、合成革及人造革、电镀项目。</w:t>
                  </w:r>
                </w:p>
                <w:p>
                  <w:pPr>
                    <w:pStyle w:val="53"/>
                    <w:jc w:val="both"/>
                    <w:rPr>
                      <w:rFonts w:hint="eastAsia"/>
                    </w:rPr>
                  </w:pPr>
                  <w:r>
                    <w:rPr>
                      <w:rFonts w:hint="eastAsia"/>
                    </w:rPr>
                    <w:t>3.禁止在通风廊道和主导风向的上风向布局大气重污染企业，推进建成区大气重污染企业搬迁或升级改造、环境风险企业搬迁或关闭退出。</w:t>
                  </w:r>
                </w:p>
                <w:p>
                  <w:pPr>
                    <w:pStyle w:val="53"/>
                    <w:jc w:val="both"/>
                    <w:rPr>
                      <w:rFonts w:hint="eastAsia"/>
                    </w:rPr>
                  </w:pPr>
                  <w:r>
                    <w:rPr>
                      <w:rFonts w:hint="eastAsia"/>
                    </w:rPr>
                    <w:t>4.禁止新、改、扩建生产高VOCs含量有机溶剂型涂料、油墨和胶黏剂的项目。</w:t>
                  </w:r>
                </w:p>
                <w:p>
                  <w:pPr>
                    <w:pStyle w:val="53"/>
                    <w:jc w:val="both"/>
                    <w:rPr>
                      <w:rFonts w:hint="eastAsia"/>
                    </w:rPr>
                  </w:pPr>
                  <w:r>
                    <w:rPr>
                      <w:rFonts w:hint="eastAsia"/>
                    </w:rPr>
                    <w:t>5.持续加强闽清等地建陶产业的环境综合治理，充分衔接国土空间规划和生态环境分区管控，并对照产业政策、城市总体发展规划等要求，进一步明确发展定位，优化产业布局和规模。</w:t>
                  </w:r>
                </w:p>
                <w:p>
                  <w:pPr>
                    <w:pStyle w:val="53"/>
                    <w:jc w:val="both"/>
                    <w:rPr>
                      <w:rFonts w:hint="eastAsia"/>
                    </w:rPr>
                  </w:pPr>
                  <w:r>
                    <w:rPr>
                      <w:rFonts w:hint="eastAsia"/>
                    </w:rPr>
                    <w:t>6.新建、扩建的涉及重点重金属污染物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pPr>
                    <w:pStyle w:val="53"/>
                    <w:jc w:val="both"/>
                    <w:rPr>
                      <w:rFonts w:hint="eastAsia"/>
                    </w:rPr>
                  </w:pPr>
                  <w:r>
                    <w:rPr>
                      <w:rFonts w:hint="eastAsia"/>
                    </w:rPr>
                    <w:t>7.禁止在流域上游新建、扩建重污染企业和项目。</w:t>
                  </w:r>
                </w:p>
                <w:p>
                  <w:pPr>
                    <w:pStyle w:val="53"/>
                    <w:jc w:val="both"/>
                    <w:rPr>
                      <w:rFonts w:hint="eastAsia"/>
                    </w:rPr>
                  </w:pPr>
                  <w:r>
                    <w:rPr>
                      <w:rFonts w:hint="eastAsia"/>
                    </w:rPr>
                    <w:t>8.重要敏感水体及富营养化湖库生态缓冲带除相关政府部门批准的科学研究活动外，禁止其它可能对保护区构成危害或不良影响的大规模生产、建设活动。</w:t>
                  </w:r>
                </w:p>
                <w:p>
                  <w:pPr>
                    <w:pStyle w:val="53"/>
                    <w:jc w:val="both"/>
                    <w:rPr>
                      <w:rFonts w:hint="eastAsia"/>
                    </w:rPr>
                  </w:pPr>
                  <w:r>
                    <w:rPr>
                      <w:rFonts w:hint="eastAsia"/>
                    </w:rPr>
                    <w:t>9.新、改、扩建煤电、钢铁、建材、石化、化工等“两高”项目，严格落实国家、省、市产业规划、产业政策、“三线一单”、规划环评，以及产能置换、煤炭消费减量替代、区域污染削减等相关要求。</w:t>
                  </w:r>
                </w:p>
                <w:p>
                  <w:pPr>
                    <w:pStyle w:val="53"/>
                    <w:jc w:val="both"/>
                    <w:rPr>
                      <w:rFonts w:hint="eastAsia"/>
                    </w:rPr>
                  </w:pPr>
                  <w:r>
                    <w:rPr>
                      <w:rFonts w:hint="eastAsia"/>
                    </w:rPr>
                    <w:t>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948" w:type="dxa"/>
                  <w:tcBorders>
                    <w:tl2br w:val="nil"/>
                    <w:tr2bl w:val="nil"/>
                  </w:tcBorders>
                  <w:vAlign w:val="center"/>
                </w:tcPr>
                <w:p>
                  <w:pPr>
                    <w:pStyle w:val="112"/>
                    <w:bidi w:val="0"/>
                    <w:rPr>
                      <w:rFonts w:hint="eastAsia"/>
                      <w:lang w:val="en-US" w:eastAsia="zh-CN"/>
                    </w:rPr>
                  </w:pPr>
                  <w:r>
                    <w:rPr>
                      <w:rFonts w:hint="eastAsia"/>
                      <w:lang w:val="en-US" w:eastAsia="zh-CN"/>
                    </w:rPr>
                    <w:t>一、</w:t>
                  </w:r>
                  <w:r>
                    <w:rPr>
                      <w:rFonts w:hint="eastAsia"/>
                    </w:rPr>
                    <w:t>1.本项目位于</w:t>
                  </w:r>
                  <w:r>
                    <w:rPr>
                      <w:rFonts w:hint="eastAsia"/>
                      <w:lang w:val="en-US" w:eastAsia="zh-CN"/>
                    </w:rPr>
                    <w:t>马尾</w:t>
                  </w:r>
                  <w:r>
                    <w:rPr>
                      <w:rFonts w:hint="eastAsia"/>
                    </w:rPr>
                    <w:t>万洋众创城内，利用已建成厂房进行按摩器配件生产，不扩大现有建设用地，不属于新建‘必须且无法避让的线性基础设施’等对国土空间规划有特殊要求的建设活动，不涉及种植、放牧、捕捞、养殖，考古研究、旅游业、地质调查与矿产资源勘查开采。</w:t>
                  </w:r>
                  <w:r>
                    <w:rPr>
                      <w:rFonts w:hint="eastAsia"/>
                      <w:vertAlign w:val="baseline"/>
                      <w:lang w:val="en-US" w:eastAsia="zh-CN"/>
                    </w:rPr>
                    <w:t>2.本项目不属于重大项</w:t>
                  </w:r>
                  <w:r>
                    <w:rPr>
                      <w:rFonts w:hint="eastAsia"/>
                      <w:lang w:val="en-US" w:eastAsia="zh-CN"/>
                    </w:rPr>
                    <w:t>目范围。</w:t>
                  </w:r>
                </w:p>
                <w:p>
                  <w:pPr>
                    <w:pStyle w:val="112"/>
                    <w:bidi w:val="0"/>
                    <w:rPr>
                      <w:rFonts w:hint="eastAsia"/>
                      <w:lang w:val="en-US" w:eastAsia="zh-CN"/>
                    </w:rPr>
                  </w:pPr>
                  <w:r>
                    <w:rPr>
                      <w:rFonts w:hint="eastAsia"/>
                      <w:lang w:val="en-US" w:eastAsia="zh-CN"/>
                    </w:rPr>
                    <w:t>二、</w:t>
                  </w:r>
                  <w:r>
                    <w:rPr>
                      <w:rFonts w:hint="eastAsia"/>
                    </w:rPr>
                    <w:t>本项目位于</w:t>
                  </w:r>
                  <w:r>
                    <w:rPr>
                      <w:rFonts w:hint="eastAsia"/>
                      <w:lang w:val="en-US" w:eastAsia="zh-CN"/>
                    </w:rPr>
                    <w:t>马尾</w:t>
                  </w:r>
                  <w:r>
                    <w:rPr>
                      <w:rFonts w:hint="eastAsia"/>
                    </w:rPr>
                    <w:t>万洋众创城内</w:t>
                  </w:r>
                  <w:r>
                    <w:rPr>
                      <w:rFonts w:hint="eastAsia"/>
                      <w:lang w:eastAsia="zh-CN"/>
                    </w:rPr>
                    <w:t>，</w:t>
                  </w:r>
                  <w:r>
                    <w:rPr>
                      <w:rFonts w:hint="eastAsia"/>
                      <w:lang w:val="en-US" w:eastAsia="zh-CN"/>
                    </w:rPr>
                    <w:t>不属于任何法定保护地，并承诺全面落实各项污染防治措施。</w:t>
                  </w:r>
                </w:p>
                <w:p>
                  <w:pPr>
                    <w:pStyle w:val="112"/>
                    <w:bidi w:val="0"/>
                    <w:rPr>
                      <w:rFonts w:hint="default"/>
                      <w:lang w:val="en-US" w:eastAsia="zh-CN"/>
                    </w:rPr>
                  </w:pPr>
                  <w:r>
                    <w:rPr>
                      <w:rFonts w:hint="eastAsia"/>
                      <w:vertAlign w:val="baseline"/>
                      <w:lang w:val="en-US" w:eastAsia="zh-CN"/>
                    </w:rPr>
                    <w:t>三、1-2、5-6.本项目位于马尾区万洋众创城内，主要从事按摩器配件生产，不涉及</w:t>
                  </w:r>
                  <w:r>
                    <w:rPr>
                      <w:rFonts w:hint="eastAsia"/>
                    </w:rPr>
                    <w:t>植物制浆、印染、合成革及人造革、电镀</w:t>
                  </w:r>
                  <w:r>
                    <w:rPr>
                      <w:rFonts w:hint="eastAsia"/>
                      <w:lang w:eastAsia="zh-CN"/>
                    </w:rPr>
                    <w:t>、</w:t>
                  </w:r>
                  <w:r>
                    <w:rPr>
                      <w:rFonts w:hint="eastAsia"/>
                    </w:rPr>
                    <w:t>有色金属冶炼、铅蓄电池制造</w:t>
                  </w:r>
                  <w:r>
                    <w:rPr>
                      <w:rFonts w:hint="eastAsia"/>
                      <w:lang w:eastAsia="zh-CN"/>
                    </w:rPr>
                    <w:t>、</w:t>
                  </w:r>
                  <w:r>
                    <w:rPr>
                      <w:rFonts w:hint="eastAsia"/>
                    </w:rPr>
                    <w:t>用汞的电石法（聚）氯乙烯生产工艺</w:t>
                  </w:r>
                  <w:r>
                    <w:rPr>
                      <w:rFonts w:hint="eastAsia"/>
                      <w:highlight w:val="none"/>
                      <w:lang w:val="en-US" w:eastAsia="zh-CN"/>
                    </w:rPr>
                    <w:t>3</w:t>
                  </w:r>
                  <w:r>
                    <w:rPr>
                      <w:rFonts w:hint="eastAsia"/>
                      <w:lang w:val="en-US" w:eastAsia="zh-CN"/>
                    </w:rPr>
                    <w:t>、7.不属于</w:t>
                  </w:r>
                  <w:r>
                    <w:rPr>
                      <w:rFonts w:hint="eastAsia"/>
                    </w:rPr>
                    <w:t>大气重污染企业</w:t>
                  </w:r>
                  <w:r>
                    <w:rPr>
                      <w:rFonts w:hint="eastAsia"/>
                      <w:lang w:val="en-US" w:eastAsia="zh-CN"/>
                    </w:rPr>
                    <w:t>4.</w:t>
                  </w:r>
                  <w:r>
                    <w:rPr>
                      <w:rFonts w:hint="default"/>
                      <w:b w:val="0"/>
                      <w:lang w:val="en-US" w:eastAsia="zh-CN"/>
                    </w:rPr>
                    <w:t>本项目使用低VOCs含量原辅材料</w:t>
                  </w:r>
                  <w:r>
                    <w:rPr>
                      <w:rFonts w:hint="eastAsia"/>
                      <w:lang w:val="en-US" w:eastAsia="zh-CN"/>
                    </w:rPr>
                    <w:t>8.附近无</w:t>
                  </w:r>
                  <w:r>
                    <w:rPr>
                      <w:rFonts w:hint="eastAsia"/>
                    </w:rPr>
                    <w:t>重要敏感水体及富营养化湖库生态缓冲带</w:t>
                  </w:r>
                  <w:r>
                    <w:rPr>
                      <w:rFonts w:hint="eastAsia"/>
                      <w:lang w:val="en-US" w:eastAsia="zh-CN"/>
                    </w:rPr>
                    <w:t>9.本项目不涉及</w:t>
                  </w:r>
                  <w:r>
                    <w:rPr>
                      <w:rFonts w:hint="eastAsia"/>
                    </w:rPr>
                    <w:t>新、改、扩建煤电、钢铁、建材、石化、化工等“两高”项目</w:t>
                  </w:r>
                  <w:r>
                    <w:rPr>
                      <w:rFonts w:hint="eastAsia"/>
                      <w:highlight w:val="none"/>
                      <w:lang w:eastAsia="zh-CN"/>
                    </w:rPr>
                    <w:t>，</w:t>
                  </w:r>
                  <w:r>
                    <w:rPr>
                      <w:rFonts w:hint="eastAsia"/>
                      <w:highlight w:val="none"/>
                      <w:lang w:val="en-US" w:eastAsia="zh-CN"/>
                    </w:rPr>
                    <w:t>非甲烷总烃施行</w:t>
                  </w:r>
                  <w:r>
                    <w:rPr>
                      <w:rFonts w:hint="eastAsia"/>
                      <w:highlight w:val="none"/>
                    </w:rPr>
                    <w:t>减量替代、区域污染削减等相关要求</w:t>
                  </w:r>
                  <w:r>
                    <w:rPr>
                      <w:rFonts w:hint="eastAsia"/>
                      <w:highlight w:val="none"/>
                      <w:lang w:val="en-US" w:eastAsia="zh-CN"/>
                    </w:rPr>
                    <w:t>10.本项目使用已建成厂房，不涉及永久基本农田。</w:t>
                  </w:r>
                </w:p>
              </w:tc>
              <w:tc>
                <w:tcPr>
                  <w:tcW w:w="616" w:type="dxa"/>
                  <w:tcBorders>
                    <w:tl2br w:val="nil"/>
                    <w:tr2bl w:val="nil"/>
                  </w:tcBorders>
                  <w:vAlign w:val="center"/>
                </w:tcPr>
                <w:p>
                  <w:pPr>
                    <w:pStyle w:val="53"/>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vMerge w:val="continue"/>
                  <w:tcBorders>
                    <w:tl2br w:val="nil"/>
                    <w:tr2bl w:val="nil"/>
                  </w:tcBorders>
                  <w:vAlign w:val="center"/>
                </w:tcPr>
                <w:p>
                  <w:pPr>
                    <w:pStyle w:val="53"/>
                  </w:pPr>
                </w:p>
              </w:tc>
              <w:tc>
                <w:tcPr>
                  <w:tcW w:w="523" w:type="dxa"/>
                  <w:tcBorders>
                    <w:tl2br w:val="nil"/>
                    <w:tr2bl w:val="nil"/>
                  </w:tcBorders>
                  <w:vAlign w:val="center"/>
                </w:tcPr>
                <w:p>
                  <w:pPr>
                    <w:pStyle w:val="53"/>
                  </w:pPr>
                  <w:r>
                    <w:rPr>
                      <w:rFonts w:hint="eastAsia"/>
                    </w:rPr>
                    <w:t>污染物排放管控</w:t>
                  </w:r>
                </w:p>
              </w:tc>
              <w:tc>
                <w:tcPr>
                  <w:tcW w:w="4275" w:type="dxa"/>
                  <w:tcBorders>
                    <w:tl2br w:val="nil"/>
                    <w:tr2bl w:val="nil"/>
                  </w:tcBorders>
                  <w:vAlign w:val="center"/>
                </w:tcPr>
                <w:p>
                  <w:pPr>
                    <w:pStyle w:val="53"/>
                    <w:rPr>
                      <w:rFonts w:hint="eastAsia"/>
                    </w:rPr>
                  </w:pPr>
                  <w:r>
                    <w:rPr>
                      <w:rFonts w:hint="eastAsia"/>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pPr>
                    <w:pStyle w:val="53"/>
                    <w:rPr>
                      <w:rFonts w:hint="eastAsia"/>
                    </w:rPr>
                  </w:pPr>
                  <w:r>
                    <w:rPr>
                      <w:rFonts w:hint="eastAsia"/>
                    </w:rPr>
                    <w:t>2.新、改、扩建涉VOCs排放项目污染物排放量应满足《福州市“十四五”空气质量持续改善计划》（榕环保综〔2023〕40号），应从源头加强控制，使用低（无）VOCs含量的原辅材料。</w:t>
                  </w:r>
                </w:p>
                <w:p>
                  <w:pPr>
                    <w:pStyle w:val="53"/>
                    <w:rPr>
                      <w:rFonts w:hint="eastAsia"/>
                    </w:rPr>
                  </w:pPr>
                  <w:r>
                    <w:rPr>
                      <w:rFonts w:hint="eastAsia"/>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pPr>
                    <w:pStyle w:val="53"/>
                    <w:rPr>
                      <w:rFonts w:hint="eastAsia"/>
                    </w:rPr>
                  </w:pPr>
                  <w:r>
                    <w:rPr>
                      <w:rFonts w:hint="eastAsia"/>
                    </w:rPr>
                    <w:t>4.氟化工、印染、电镀等行业企业实行水污染物特别排放限值。</w:t>
                  </w:r>
                </w:p>
                <w:p>
                  <w:pPr>
                    <w:pStyle w:val="53"/>
                    <w:rPr>
                      <w:rFonts w:hint="eastAsia"/>
                    </w:rPr>
                  </w:pPr>
                  <w:r>
                    <w:rPr>
                      <w:rFonts w:hint="eastAsia"/>
                    </w:rPr>
                    <w:t>5.新、改、扩建重点行业［2］建设项目要遵循重点重金属污染物排放“等量替代”原则，总量来源原则上应是同一重点行业内的削减量，当同一重点行业无法满足时可从其他重点行业调剂。</w:t>
                  </w:r>
                </w:p>
                <w:p>
                  <w:pPr>
                    <w:pStyle w:val="53"/>
                    <w:rPr>
                      <w:rFonts w:hint="eastAsia"/>
                    </w:rPr>
                  </w:pPr>
                  <w:r>
                    <w:rPr>
                      <w:rFonts w:hint="eastAsia"/>
                    </w:rPr>
                    <w:t>6.每小时35（含）—65蒸吨燃煤锅炉和位于县级及以上城市建成区内保留的燃煤、燃油、燃生物质锅炉，原则上2024年底前必须全面实现超低排放。</w:t>
                  </w:r>
                </w:p>
                <w:p>
                  <w:pPr>
                    <w:pStyle w:val="53"/>
                    <w:rPr>
                      <w:rFonts w:hint="eastAsia"/>
                    </w:rPr>
                  </w:pPr>
                  <w:r>
                    <w:rPr>
                      <w:rFonts w:hint="eastAsia"/>
                    </w:rPr>
                    <w:t>7.水泥行业新改扩建项目严格对照超低排放、能效标杆水平建设实施；现有项目超低排放改造应按文件（闽环规〔2023〕2号）的时限要求分步推进，2025年底前全面完成［3］［4］。</w:t>
                  </w:r>
                </w:p>
                <w:p>
                  <w:pPr>
                    <w:pStyle w:val="53"/>
                  </w:pPr>
                  <w:r>
                    <w:rPr>
                      <w:rFonts w:hint="eastAsia"/>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948" w:type="dxa"/>
                  <w:tcBorders>
                    <w:tl2br w:val="nil"/>
                    <w:tr2bl w:val="nil"/>
                  </w:tcBorders>
                  <w:shd w:val="clear" w:color="auto" w:fill="auto"/>
                  <w:vAlign w:val="center"/>
                </w:tcPr>
                <w:p>
                  <w:pPr>
                    <w:pStyle w:val="53"/>
                  </w:pPr>
                  <w:r>
                    <w:rPr>
                      <w:rFonts w:hint="eastAsia"/>
                    </w:rPr>
                    <w:t>1.本项目生产废水为冷却水，循环使用不外排，不涉及新增主要污染物2.</w:t>
                  </w:r>
                  <w:r>
                    <w:t>本项目使用低VOCs含量原辅材料</w:t>
                  </w:r>
                  <w:r>
                    <w:rPr>
                      <w:rFonts w:hint="eastAsia"/>
                    </w:rPr>
                    <w:t>；3-4.本项目不涉及钢铁、水泥、平板玻璃、有色金属冶炼、化工、氟化工、印染、电镀等行业；5.本项目不涉及重金属污染物排放；6-8.本项目不涉及锅炉使用，不涉及水泥及化工行业，且项目所在地不属于化工园区。</w:t>
                  </w:r>
                </w:p>
              </w:tc>
              <w:tc>
                <w:tcPr>
                  <w:tcW w:w="616" w:type="dxa"/>
                  <w:tcBorders>
                    <w:tl2br w:val="nil"/>
                    <w:tr2bl w:val="nil"/>
                  </w:tcBorders>
                  <w:vAlign w:val="center"/>
                </w:tcPr>
                <w:p>
                  <w:pPr>
                    <w:pStyle w:val="53"/>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vMerge w:val="continue"/>
                  <w:tcBorders>
                    <w:tl2br w:val="nil"/>
                    <w:tr2bl w:val="nil"/>
                  </w:tcBorders>
                  <w:vAlign w:val="center"/>
                </w:tcPr>
                <w:p>
                  <w:pPr>
                    <w:pStyle w:val="53"/>
                  </w:pPr>
                </w:p>
              </w:tc>
              <w:tc>
                <w:tcPr>
                  <w:tcW w:w="523" w:type="dxa"/>
                  <w:tcBorders>
                    <w:tl2br w:val="nil"/>
                    <w:tr2bl w:val="nil"/>
                  </w:tcBorders>
                  <w:vAlign w:val="center"/>
                </w:tcPr>
                <w:p>
                  <w:pPr>
                    <w:pStyle w:val="53"/>
                  </w:pPr>
                  <w:r>
                    <w:rPr>
                      <w:rFonts w:hint="eastAsia"/>
                    </w:rPr>
                    <w:t>资源开发效率要求</w:t>
                  </w:r>
                </w:p>
              </w:tc>
              <w:tc>
                <w:tcPr>
                  <w:tcW w:w="4275" w:type="dxa"/>
                  <w:tcBorders>
                    <w:tl2br w:val="nil"/>
                    <w:tr2bl w:val="nil"/>
                  </w:tcBorders>
                  <w:vAlign w:val="center"/>
                </w:tcPr>
                <w:p>
                  <w:pPr>
                    <w:pStyle w:val="53"/>
                    <w:rPr>
                      <w:rFonts w:hint="eastAsia"/>
                    </w:rPr>
                  </w:pPr>
                  <w:r>
                    <w:rPr>
                      <w:rFonts w:hint="eastAsia"/>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pPr>
                    <w:pStyle w:val="53"/>
                  </w:pPr>
                  <w:r>
                    <w:rPr>
                      <w:rFonts w:hint="eastAsia"/>
                    </w:rPr>
                    <w:t>2.按照“提气、转电、控煤”的发展思路，推动陶瓷行业进一步优化用能结构，实现能源消费清洁低碳化。</w:t>
                  </w:r>
                </w:p>
              </w:tc>
              <w:tc>
                <w:tcPr>
                  <w:tcW w:w="1948" w:type="dxa"/>
                  <w:tcBorders>
                    <w:tl2br w:val="nil"/>
                    <w:tr2bl w:val="nil"/>
                  </w:tcBorders>
                  <w:vAlign w:val="center"/>
                </w:tcPr>
                <w:p>
                  <w:pPr>
                    <w:pStyle w:val="53"/>
                  </w:pPr>
                  <w:r>
                    <w:rPr>
                      <w:rFonts w:hint="eastAsia"/>
                    </w:rPr>
                    <w:t>本项目不涉及锅炉使用，不属于陶瓷行业。</w:t>
                  </w:r>
                </w:p>
              </w:tc>
              <w:tc>
                <w:tcPr>
                  <w:tcW w:w="616" w:type="dxa"/>
                  <w:tcBorders>
                    <w:tl2br w:val="nil"/>
                    <w:tr2bl w:val="nil"/>
                  </w:tcBorders>
                  <w:vAlign w:val="center"/>
                </w:tcPr>
                <w:p>
                  <w:pPr>
                    <w:pStyle w:val="53"/>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tcBorders>
                    <w:tl2br w:val="nil"/>
                    <w:tr2bl w:val="nil"/>
                  </w:tcBorders>
                  <w:textDirection w:val="tbRlV"/>
                  <w:vAlign w:val="top"/>
                </w:tcPr>
                <w:p>
                  <w:pPr>
                    <w:pStyle w:val="53"/>
                    <w:bidi w:val="0"/>
                    <w:rPr>
                      <w:rFonts w:hint="eastAsia" w:ascii="Times New Roman" w:hAnsi="Times New Roman" w:eastAsia="宋体" w:cs="Times New Roman"/>
                      <w:color w:val="000000"/>
                      <w:kern w:val="2"/>
                      <w:szCs w:val="21"/>
                      <w:lang w:val="en-US" w:eastAsia="zh-CN" w:bidi="ar-SA"/>
                    </w:rPr>
                  </w:pPr>
                  <w:r>
                    <w:rPr>
                      <w:rFonts w:hint="eastAsia"/>
                      <w:lang w:val="en-US" w:eastAsia="zh-CN"/>
                    </w:rPr>
                    <w:t>海岸线</w:t>
                  </w:r>
                </w:p>
              </w:tc>
              <w:tc>
                <w:tcPr>
                  <w:tcW w:w="523" w:type="dxa"/>
                  <w:tcBorders>
                    <w:tl2br w:val="nil"/>
                    <w:tr2bl w:val="nil"/>
                  </w:tcBorders>
                  <w:vAlign w:val="top"/>
                </w:tcPr>
                <w:p>
                  <w:pPr>
                    <w:pStyle w:val="53"/>
                    <w:bidi w:val="0"/>
                    <w:rPr>
                      <w:rFonts w:hint="eastAsia" w:ascii="Times New Roman" w:hAnsi="Times New Roman" w:eastAsia="宋体" w:cs="Times New Roman"/>
                      <w:color w:val="000000"/>
                      <w:kern w:val="2"/>
                      <w:szCs w:val="21"/>
                      <w:lang w:val="en-US" w:eastAsia="zh-CN" w:bidi="ar-SA"/>
                    </w:rPr>
                  </w:pPr>
                  <w:r>
                    <w:rPr>
                      <w:rFonts w:hint="eastAsia"/>
                      <w:lang w:val="en-US" w:eastAsia="zh-CN"/>
                    </w:rPr>
                    <w:t>空间布局约束</w:t>
                  </w:r>
                </w:p>
              </w:tc>
              <w:tc>
                <w:tcPr>
                  <w:tcW w:w="4275" w:type="dxa"/>
                  <w:tcBorders>
                    <w:tl2br w:val="nil"/>
                    <w:tr2bl w:val="nil"/>
                  </w:tcBorders>
                  <w:vAlign w:val="top"/>
                </w:tcPr>
                <w:p>
                  <w:pPr>
                    <w:pStyle w:val="53"/>
                    <w:bidi w:val="0"/>
                    <w:jc w:val="both"/>
                    <w:rPr>
                      <w:rFonts w:hint="eastAsia"/>
                      <w:lang w:val="en-US" w:eastAsia="zh-CN"/>
                    </w:rPr>
                  </w:pPr>
                  <w:r>
                    <w:rPr>
                      <w:rFonts w:hint="eastAsia"/>
                      <w:lang w:val="en-US" w:eastAsia="zh-CN"/>
                    </w:rPr>
                    <w:t>1.严格限制建设项目占用自然岸线，项目选址和平面设计应当避让自然岸线。国家重大项目需要新增围填海等改变海域自然属性，以及线性工程等基础设施，渔港、陆岛交通码头、防灾减灾等民生工程，海洋生态修复等公益项目，需要建设非透水构筑物且无法避让的，可以占用自然岸线。确需占用自然岸线的建设项目，要落实集约节约利用等要求，严格进行论证，按照规定允许建设项目占用自然岸线的，应当通过整治修复等措施补充生态恢复岸线，补充长度不少于占用长度。</w:t>
                  </w:r>
                </w:p>
                <w:p>
                  <w:pPr>
                    <w:pStyle w:val="53"/>
                    <w:bidi w:val="0"/>
                    <w:jc w:val="both"/>
                    <w:rPr>
                      <w:rFonts w:hint="eastAsia"/>
                      <w:lang w:val="en-US" w:eastAsia="zh-CN"/>
                    </w:rPr>
                  </w:pPr>
                  <w:r>
                    <w:rPr>
                      <w:rFonts w:hint="eastAsia"/>
                      <w:lang w:val="en-US" w:eastAsia="zh-CN"/>
                    </w:rPr>
                    <w:t>2.适时搬迁或取消松门、长安、小长门等闽江口内港作业区的油品、液体化工品码头功能，适度控制新建企业专用码头，推行码头共用。</w:t>
                  </w:r>
                </w:p>
                <w:p>
                  <w:pPr>
                    <w:pStyle w:val="53"/>
                    <w:bidi w:val="0"/>
                    <w:jc w:val="both"/>
                    <w:rPr>
                      <w:rFonts w:hint="eastAsia"/>
                      <w:lang w:val="en-US" w:eastAsia="zh-CN"/>
                    </w:rPr>
                  </w:pPr>
                  <w:r>
                    <w:rPr>
                      <w:rFonts w:hint="eastAsia"/>
                      <w:lang w:val="en-US" w:eastAsia="zh-CN"/>
                    </w:rPr>
                    <w:t>3.实施港口建设分类引导和约束，严控港口重复建设。闽江口内港区重点准入对台“三通”客运项目，兼顾能源、集装箱等货运项目；福州（连江）国家远洋渔业基地核心区远洋渔业母港重点准入远洋渔业装卸码头、渔港、锚地、航道建设项目；江阴港区重点准入集装箱运输项目，兼顾散杂货、化工品和商品汽车运输项目；松下港区重点准入粮食、散杂货运输项目；罗源湾港区重点准入煤炭、矿石等散货运输项目。</w:t>
                  </w:r>
                </w:p>
              </w:tc>
              <w:tc>
                <w:tcPr>
                  <w:tcW w:w="1948" w:type="dxa"/>
                  <w:tcBorders>
                    <w:tl2br w:val="nil"/>
                    <w:tr2bl w:val="nil"/>
                  </w:tcBorders>
                  <w:vAlign w:val="top"/>
                </w:tcPr>
                <w:p>
                  <w:pPr>
                    <w:pStyle w:val="53"/>
                    <w:bidi w:val="0"/>
                    <w:rPr>
                      <w:rFonts w:hint="eastAsia" w:eastAsia="宋体"/>
                      <w:lang w:eastAsia="zh-CN"/>
                    </w:rPr>
                  </w:pPr>
                  <w:r>
                    <w:rPr>
                      <w:rFonts w:hint="eastAsia"/>
                    </w:rPr>
                    <w:t>1.本项目选址于马尾区万洋众创城内，利用已建成厂房，远离自然岸线2-3.本项目主要从事按摩器配件生产，不属于闽江口内港作业区的油品、液体化工品码头以及港口建设</w:t>
                  </w:r>
                  <w:r>
                    <w:rPr>
                      <w:rFonts w:hint="eastAsia"/>
                      <w:lang w:eastAsia="zh-CN"/>
                    </w:rPr>
                    <w:t>。</w:t>
                  </w:r>
                </w:p>
              </w:tc>
              <w:tc>
                <w:tcPr>
                  <w:tcW w:w="616" w:type="dxa"/>
                  <w:tcBorders>
                    <w:tl2br w:val="nil"/>
                    <w:tr2bl w:val="nil"/>
                  </w:tcBorders>
                  <w:textDirection w:val="tbRlV"/>
                  <w:vAlign w:val="top"/>
                </w:tcPr>
                <w:p>
                  <w:pPr>
                    <w:pStyle w:val="53"/>
                    <w:bidi w:val="0"/>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vMerge w:val="restart"/>
                  <w:tcBorders>
                    <w:tl2br w:val="nil"/>
                    <w:tr2bl w:val="nil"/>
                  </w:tcBorders>
                  <w:textDirection w:val="tbRlV"/>
                  <w:vAlign w:val="top"/>
                </w:tcPr>
                <w:p>
                  <w:pPr>
                    <w:pStyle w:val="53"/>
                    <w:bidi w:val="0"/>
                    <w:rPr>
                      <w:rFonts w:hint="default"/>
                      <w:lang w:val="en-US"/>
                    </w:rPr>
                  </w:pPr>
                  <w:r>
                    <w:rPr>
                      <w:rFonts w:hint="eastAsia"/>
                      <w:lang w:val="en-US" w:eastAsia="zh-CN"/>
                    </w:rPr>
                    <w:t>近岸海域</w:t>
                  </w:r>
                </w:p>
              </w:tc>
              <w:tc>
                <w:tcPr>
                  <w:tcW w:w="523" w:type="dxa"/>
                  <w:tcBorders>
                    <w:tl2br w:val="nil"/>
                    <w:tr2bl w:val="nil"/>
                  </w:tcBorders>
                  <w:vAlign w:val="top"/>
                </w:tcPr>
                <w:p>
                  <w:pPr>
                    <w:pStyle w:val="53"/>
                    <w:bidi w:val="0"/>
                  </w:pPr>
                  <w:r>
                    <w:rPr>
                      <w:rFonts w:hint="eastAsia"/>
                      <w:lang w:val="en-US" w:eastAsia="zh-CN"/>
                    </w:rPr>
                    <w:t>空间布局约束</w:t>
                  </w:r>
                  <w:r>
                    <w:t>束</w:t>
                  </w:r>
                </w:p>
              </w:tc>
              <w:tc>
                <w:tcPr>
                  <w:tcW w:w="4275" w:type="dxa"/>
                  <w:tcBorders>
                    <w:tl2br w:val="nil"/>
                    <w:tr2bl w:val="nil"/>
                  </w:tcBorders>
                  <w:vAlign w:val="top"/>
                </w:tcPr>
                <w:p>
                  <w:pPr>
                    <w:pStyle w:val="53"/>
                    <w:bidi w:val="0"/>
                  </w:pPr>
                  <w:r>
                    <w:rPr>
                      <w:rFonts w:hint="eastAsia"/>
                    </w:rPr>
                    <w:t>1.严格落实国家围填海管控规定，除国家重大项目外，全面禁止围填海。</w:t>
                  </w:r>
                  <w:r>
                    <w:t>2.强化生态保护红线区的管控，确保邻近的交通运输用海、工矿通信用海等功能区开发活动不得影响生态保护红线区的功能。强化闽江口、福清湾及兴化湾重要滨海湿地保护，禁止破坏芦苇荡等植被群落，生产设施与水禽筑巢区、觅食及栖息地等集中分布区须保留安全距离；禁止高噪音等惊扰鸟类的作业，禁止大面积使用栖息水鸟害怕的颜色。</w:t>
                  </w:r>
                </w:p>
                <w:p>
                  <w:pPr>
                    <w:pStyle w:val="53"/>
                    <w:bidi w:val="0"/>
                  </w:pPr>
                  <w:r>
                    <w:t>3.江阴特殊利用区内设置排污口，需严格论证并执行污水达标排放和设置深水排放口，不得影响临近的兴化湾水鸟省级自然保护区。</w:t>
                  </w:r>
                </w:p>
                <w:p>
                  <w:pPr>
                    <w:pStyle w:val="53"/>
                    <w:bidi w:val="0"/>
                  </w:pPr>
                  <w:r>
                    <w:t>4.优化调整环罗源湾区域发展定位和产业布局。大官坂组团发展污染相对较低的石化中下游产业和精细化工产品，并适当控制其发展规模，不再扩大聚酰胺一体化及配套项目规模。松山片区禁止引进、建设集中电镀、制浆、医药、农药、酿造等重污染项目。</w:t>
                  </w:r>
                </w:p>
                <w:p>
                  <w:pPr>
                    <w:pStyle w:val="53"/>
                    <w:bidi w:val="0"/>
                  </w:pPr>
                  <w:r>
                    <w:t>5.严格落实养殖水域滩涂规划，防止超规划养殖反弹回潮，进一步优化海水养殖空间布局。禁养区内和规划范围外的海水养殖予以退出；罗源湾禁养区禁止开展水产养殖，限养区不得开展网箱养殖。</w:t>
                  </w:r>
                </w:p>
                <w:p>
                  <w:pPr>
                    <w:pStyle w:val="53"/>
                    <w:bidi w:val="0"/>
                  </w:pPr>
                  <w:r>
                    <w:t>6.涉及利用无居民海岛的，原则上仅允许按照相关规定对海岛自然岸线、表面积、岛体、植被改变轻微的低影响利用方式。</w:t>
                  </w:r>
                </w:p>
              </w:tc>
              <w:tc>
                <w:tcPr>
                  <w:tcW w:w="1948" w:type="dxa"/>
                  <w:tcBorders>
                    <w:tl2br w:val="nil"/>
                    <w:tr2bl w:val="nil"/>
                  </w:tcBorders>
                  <w:vAlign w:val="top"/>
                </w:tcPr>
                <w:p>
                  <w:pPr>
                    <w:pStyle w:val="53"/>
                    <w:bidi w:val="0"/>
                    <w:rPr>
                      <w:rFonts w:hint="eastAsia" w:ascii="Times New Roman" w:hAnsi="Times New Roman" w:eastAsia="宋体" w:cs="Times New Roman"/>
                      <w:spacing w:val="4"/>
                      <w:szCs w:val="20"/>
                      <w:lang w:eastAsia="zh-CN"/>
                    </w:rPr>
                  </w:pPr>
                  <w:r>
                    <w:rPr>
                      <w:rFonts w:hint="eastAsia"/>
                    </w:rPr>
                    <w:t>本项目选址于马尾区万洋众创城内，利用已建成厂房，本项目主要从事按摩器配件生产，不涉及围填海、海、工矿通信用海等功能区开发活动，不位于闽江口、福清湾及兴化湾重要滨海湿地、江阴特殊利用区、兴化湾水鸟省级自然保护区、罗源湾区、大官坂组团、松山片区、罗源湾禁养区，不涉及利用无居民海岛</w:t>
                  </w:r>
                  <w:r>
                    <w:rPr>
                      <w:rFonts w:hint="eastAsia"/>
                      <w:lang w:eastAsia="zh-CN"/>
                    </w:rPr>
                    <w:t>。</w:t>
                  </w:r>
                </w:p>
              </w:tc>
              <w:tc>
                <w:tcPr>
                  <w:tcW w:w="616" w:type="dxa"/>
                  <w:tcBorders>
                    <w:tl2br w:val="nil"/>
                    <w:tr2bl w:val="nil"/>
                  </w:tcBorders>
                  <w:textDirection w:val="tbRlV"/>
                  <w:vAlign w:val="top"/>
                </w:tcPr>
                <w:p>
                  <w:pPr>
                    <w:pStyle w:val="167"/>
                    <w:spacing w:before="135" w:line="208" w:lineRule="auto"/>
                    <w:ind w:left="1391" w:leftChars="0" w:firstLine="452" w:firstLineChars="200"/>
                    <w:rPr>
                      <w:spacing w:val="13"/>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vMerge w:val="continue"/>
                  <w:tcBorders>
                    <w:tl2br w:val="nil"/>
                    <w:tr2bl w:val="nil"/>
                  </w:tcBorders>
                  <w:textDirection w:val="tbRlV"/>
                  <w:vAlign w:val="top"/>
                </w:tcPr>
                <w:p>
                  <w:pPr>
                    <w:ind w:firstLine="452" w:firstLineChars="200"/>
                    <w:rPr>
                      <w:spacing w:val="13"/>
                      <w:sz w:val="20"/>
                      <w:szCs w:val="20"/>
                    </w:rPr>
                  </w:pPr>
                </w:p>
              </w:tc>
              <w:tc>
                <w:tcPr>
                  <w:tcW w:w="523" w:type="dxa"/>
                  <w:tcBorders>
                    <w:tl2br w:val="nil"/>
                    <w:tr2bl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53"/>
                    <w:bidi w:val="0"/>
                  </w:pPr>
                  <w:r>
                    <w:t>污染</w:t>
                  </w:r>
                </w:p>
                <w:p>
                  <w:pPr>
                    <w:pStyle w:val="53"/>
                    <w:bidi w:val="0"/>
                  </w:pPr>
                  <w:r>
                    <w:t>物排</w:t>
                  </w:r>
                </w:p>
                <w:p>
                  <w:pPr>
                    <w:pStyle w:val="53"/>
                    <w:bidi w:val="0"/>
                    <w:rPr>
                      <w:spacing w:val="1"/>
                      <w:szCs w:val="20"/>
                    </w:rPr>
                  </w:pPr>
                  <w:r>
                    <w:t>放管 控</w:t>
                  </w:r>
                </w:p>
              </w:tc>
              <w:tc>
                <w:tcPr>
                  <w:tcW w:w="4275" w:type="dxa"/>
                  <w:tcBorders>
                    <w:tl2br w:val="nil"/>
                    <w:tr2bl w:val="nil"/>
                  </w:tcBorders>
                  <w:vAlign w:val="top"/>
                </w:tcPr>
                <w:p>
                  <w:pPr>
                    <w:pStyle w:val="53"/>
                    <w:bidi w:val="0"/>
                    <w:jc w:val="both"/>
                  </w:pPr>
                  <w:r>
                    <w:t>1.罗源湾实行主要污染物入海总量控制。合理设置湾内排污口，化工废水应全部引至湾外排放，可门经济区污水排放落实湾外深海排放。全面推进罗源湾入海排污口排查溯源、分类整治和起步溪等入海溪流综合整治。提升罗源湾港区污染物接收处理能力。</w:t>
                  </w:r>
                </w:p>
                <w:p>
                  <w:pPr>
                    <w:pStyle w:val="53"/>
                    <w:bidi w:val="0"/>
                    <w:jc w:val="both"/>
                  </w:pPr>
                  <w:r>
                    <w:t>2.实行闽江口主要污染物入海总量控制，控制闽江入海断面水质，削减氮磷入海总量。巩固深化闽江口综合整治成效，持续开展闽江口周边入海溪流水质提升行动，全面推进闽江口入海排污口排查溯源和分类整治。优化闽江口以北连江东部海域养殖结构和布局，控制养殖密度和规模。</w:t>
                  </w:r>
                </w:p>
                <w:p>
                  <w:pPr>
                    <w:pStyle w:val="53"/>
                    <w:bidi w:val="0"/>
                    <w:jc w:val="both"/>
                  </w:pPr>
                  <w:r>
                    <w:t>3.全面开展福清湾入海排污口排查溯源和分类整治，加强福清湾及龙江沿岸农村生活污水、生活垃圾的收集处理处置。严格控制湾内投饵型网箱养殖规模和密度，实行生态养殖，强化养殖污染防治和养殖尾水治理监管。</w:t>
                  </w:r>
                </w:p>
                <w:p>
                  <w:pPr>
                    <w:pStyle w:val="53"/>
                    <w:bidi w:val="0"/>
                    <w:jc w:val="both"/>
                  </w:pPr>
                  <w:r>
                    <w:t>4.兴化湾实行主要污染物入海总量控制，全面开展兴化湾福州段入海排污口排查溯源和分类整治，加快推动沿岸乡镇配套污水管网建设及江阴工业区污水处理厂提标改造，湾内严格控制投饵型网箱养殖规模和密度，实行生态养殖，强化养殖污染防治和养殖尾水治理监管。</w:t>
                  </w:r>
                </w:p>
                <w:p>
                  <w:pPr>
                    <w:pStyle w:val="53"/>
                    <w:bidi w:val="0"/>
                    <w:jc w:val="both"/>
                  </w:pPr>
                  <w:r>
                    <w:t>5.近岸海域汇水区域内城镇污水处理设施执行不低于一级A排放标准，推进沿海农村生活污水收集处理。</w:t>
                  </w:r>
                </w:p>
                <w:p>
                  <w:pPr>
                    <w:pStyle w:val="53"/>
                    <w:bidi w:val="0"/>
                    <w:jc w:val="both"/>
                  </w:pPr>
                  <w:r>
                    <w:t>6.出台福州市养殖尾水排放标准，强化养殖尾水治理和排放监测监管。控制养殖规模和密度，发展生态养殖，推进传统养殖设施的升级改造，推广环保型全塑胶鱼排和深水抗风浪网箱。实施海水养殖排污口排查整治，推进分类治理及规范化设置，实施规模化养殖池塘标准化改造。</w:t>
                  </w:r>
                </w:p>
                <w:p>
                  <w:pPr>
                    <w:pStyle w:val="53"/>
                    <w:bidi w:val="0"/>
                    <w:jc w:val="both"/>
                  </w:pPr>
                  <w:r>
                    <w:t>7.强化陆海污染联防联控，推动“蓝色海湾”整治项目、海岸带生态保护修复工程等重大工程建设，推进沿海岸线自然化和生态保护修复。</w:t>
                  </w:r>
                </w:p>
                <w:p>
                  <w:pPr>
                    <w:pStyle w:val="53"/>
                    <w:bidi w:val="0"/>
                    <w:jc w:val="both"/>
                  </w:pPr>
                  <w:r>
                    <w:t>8.闽江口内港区现有油品和危险品（液化石油气）码头搬迁前应切实保障现有油污水处理设施的有效性，搬迁后由江阴港区、罗源湾港区在对应码头设立油污水接收处理系统。其他港区的生产性油污水由码头自建油污水处理设施处理达标后排入依托城市污水处理厂，杜绝港区油污水散排。</w:t>
                  </w:r>
                </w:p>
                <w:p>
                  <w:pPr>
                    <w:pStyle w:val="53"/>
                    <w:bidi w:val="0"/>
                    <w:jc w:val="both"/>
                    <w:rPr>
                      <w:rFonts w:hint="eastAsia"/>
                    </w:rPr>
                  </w:pPr>
                  <w:r>
                    <w:t>9.提升海上环卫队伍专业化水平，强化海陆环卫无缝衔接，完善海漂垃圾收集处置设施建设</w:t>
                  </w:r>
                  <w:r>
                    <w:rPr>
                      <w:rFonts w:hint="eastAsia"/>
                    </w:rPr>
                    <w:t>实现海滩海面常态化清理保洁，强化渔业垃圾等管控，强化重点旅游岸段及罗源湾、兴化湾等重点岸段的监视监控，定期开展专项整治行动。</w:t>
                  </w:r>
                </w:p>
                <w:p>
                  <w:pPr>
                    <w:pStyle w:val="53"/>
                    <w:bidi w:val="0"/>
                    <w:jc w:val="both"/>
                    <w:rPr>
                      <w:rFonts w:hint="eastAsia"/>
                    </w:rPr>
                  </w:pPr>
                  <w:r>
                    <w:rPr>
                      <w:rFonts w:hint="eastAsia"/>
                    </w:rPr>
                    <w:t>10.巩固深化罗源湾、闽江口、福清湾、兴化湾等重点海湾综合治理，持续改善近岸海域环境质量。</w:t>
                  </w:r>
                </w:p>
                <w:p>
                  <w:pPr>
                    <w:pStyle w:val="53"/>
                    <w:bidi w:val="0"/>
                    <w:jc w:val="both"/>
                    <w:rPr>
                      <w:rFonts w:hint="eastAsia"/>
                    </w:rPr>
                  </w:pPr>
                  <w:r>
                    <w:rPr>
                      <w:rFonts w:hint="eastAsia"/>
                    </w:rPr>
                    <w:t>11.加强陆海统筹和区域协同，深化闽江、敖江、龙江主要入海河流及占泽溪等入海小流域综合治理；因地制宜加强总氮排放控制，实施入海河流总氮削减工程。</w:t>
                  </w:r>
                </w:p>
                <w:p>
                  <w:pPr>
                    <w:pStyle w:val="53"/>
                    <w:bidi w:val="0"/>
                    <w:jc w:val="both"/>
                    <w:rPr>
                      <w:rFonts w:hint="eastAsia"/>
                    </w:rPr>
                  </w:pPr>
                  <w:r>
                    <w:rPr>
                      <w:rFonts w:hint="eastAsia"/>
                    </w:rPr>
                    <w:t>12.推进省级及以上工业园区完成污水零直排建设，建设福清江阴港城经济区等一批“污水零直排”示范园区。</w:t>
                  </w:r>
                </w:p>
                <w:p>
                  <w:pPr>
                    <w:pStyle w:val="53"/>
                    <w:bidi w:val="0"/>
                    <w:jc w:val="both"/>
                  </w:pPr>
                  <w:r>
                    <w:rPr>
                      <w:rFonts w:hint="eastAsia"/>
                    </w:rPr>
                    <w:t>13.持续推进福州市美丽海湾保护与建设，到2025年，鉴江半岛-黄岐半岛东部海域湾区、长乐东部海域湾区建成国家级美丽海湾。</w:t>
                  </w:r>
                </w:p>
              </w:tc>
              <w:tc>
                <w:tcPr>
                  <w:tcW w:w="1948" w:type="dxa"/>
                  <w:tcBorders>
                    <w:tl2br w:val="nil"/>
                    <w:tr2bl w:val="nil"/>
                  </w:tcBorders>
                  <w:vAlign w:val="top"/>
                </w:tcPr>
                <w:p>
                  <w:pPr>
                    <w:pStyle w:val="53"/>
                    <w:bidi w:val="0"/>
                    <w:rPr>
                      <w:rFonts w:hint="eastAsia"/>
                    </w:rPr>
                  </w:pPr>
                  <w:r>
                    <w:rPr>
                      <w:rFonts w:hint="eastAsia"/>
                    </w:rPr>
                    <w:t>本项目选址于马尾区万洋众创城内，利用已建成厂房，本项目主要从事按摩器配件生产，不涉及围填海、海、工矿通信用海等功能区开发活动，不位于罗源湾、可门经济区、福清湾、兴化湾、江阴工业区、不靠近海湾，不涉及养殖业</w:t>
                  </w:r>
                </w:p>
                <w:p>
                  <w:pPr>
                    <w:pStyle w:val="53"/>
                    <w:bidi w:val="0"/>
                    <w:rPr>
                      <w:rFonts w:hint="eastAsia" w:ascii="Times New Roman" w:hAnsi="Times New Roman" w:eastAsia="宋体" w:cs="Times New Roman"/>
                      <w:spacing w:val="4"/>
                      <w:szCs w:val="20"/>
                      <w:lang w:eastAsia="zh-CN"/>
                    </w:rPr>
                  </w:pPr>
                  <w:r>
                    <w:rPr>
                      <w:rFonts w:hint="eastAsia"/>
                    </w:rPr>
                    <w:t>本项目生产废水为冷却水，循环使用不外排，生活污水依附万洋众创城内现有化粪池预处理后，接入市政</w:t>
                  </w:r>
                  <w:r>
                    <w:rPr>
                      <w:rFonts w:hint="eastAsia"/>
                      <w:lang w:val="en-US" w:eastAsia="zh-CN"/>
                    </w:rPr>
                    <w:t>污水</w:t>
                  </w:r>
                  <w:r>
                    <w:rPr>
                      <w:rFonts w:hint="eastAsia"/>
                    </w:rPr>
                    <w:t>管网，纳入长安污水处理厂处理，尾水排放执行《城镇污水处理厂污染物排放标准》（GB18918-2002）及其修改单表1的一级标准A标准，生产废水</w:t>
                  </w:r>
                  <w:r>
                    <w:rPr>
                      <w:rFonts w:hint="eastAsia"/>
                      <w:lang w:val="en-US" w:eastAsia="zh-CN"/>
                    </w:rPr>
                    <w:t>及生活污水均</w:t>
                  </w:r>
                  <w:r>
                    <w:rPr>
                      <w:rFonts w:hint="eastAsia"/>
                    </w:rPr>
                    <w:t>不涉及总氮排放</w:t>
                  </w:r>
                  <w:r>
                    <w:rPr>
                      <w:rFonts w:hint="eastAsia"/>
                      <w:lang w:eastAsia="zh-CN"/>
                    </w:rPr>
                    <w:t>。</w:t>
                  </w:r>
                </w:p>
              </w:tc>
              <w:tc>
                <w:tcPr>
                  <w:tcW w:w="616" w:type="dxa"/>
                  <w:tcBorders>
                    <w:tl2br w:val="nil"/>
                    <w:tr2bl w:val="nil"/>
                  </w:tcBorders>
                  <w:textDirection w:val="tbRlV"/>
                  <w:vAlign w:val="top"/>
                </w:tcPr>
                <w:p>
                  <w:pPr>
                    <w:pStyle w:val="167"/>
                    <w:spacing w:before="135" w:line="208" w:lineRule="auto"/>
                    <w:ind w:left="1391" w:leftChars="0" w:firstLine="452" w:firstLineChars="200"/>
                    <w:rPr>
                      <w:spacing w:val="13"/>
                      <w:sz w:val="20"/>
                      <w:szCs w:val="20"/>
                    </w:rPr>
                  </w:pPr>
                </w:p>
              </w:tc>
            </w:tr>
          </w:tbl>
          <w:p>
            <w:pPr>
              <w:pStyle w:val="96"/>
            </w:pPr>
            <w:r>
              <w:rPr>
                <w:rFonts w:hint="eastAsia"/>
              </w:rPr>
              <w:t>表1.7-3  本项目与</w:t>
            </w:r>
            <w:r>
              <w:rPr>
                <w:rFonts w:hint="eastAsia"/>
                <w:color w:val="auto"/>
              </w:rPr>
              <w:t>马尾区生态环境准入清单</w:t>
            </w:r>
            <w:r>
              <w:rPr>
                <w:rFonts w:hint="eastAsia"/>
              </w:rPr>
              <w:t>符合性分析</w:t>
            </w:r>
          </w:p>
          <w:tbl>
            <w:tblPr>
              <w:tblStyle w:val="3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57"/>
              <w:gridCol w:w="569"/>
              <w:gridCol w:w="1009"/>
              <w:gridCol w:w="373"/>
              <w:gridCol w:w="3020"/>
              <w:gridCol w:w="1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921" w:type="pct"/>
                  <w:tcBorders>
                    <w:tl2br w:val="nil"/>
                    <w:tr2bl w:val="nil"/>
                  </w:tcBorders>
                  <w:vAlign w:val="center"/>
                </w:tcPr>
                <w:p>
                  <w:pPr>
                    <w:pStyle w:val="53"/>
                  </w:pPr>
                  <w:r>
                    <w:rPr>
                      <w:rFonts w:hint="eastAsia"/>
                    </w:rPr>
                    <w:t>环境管控单元编码</w:t>
                  </w:r>
                </w:p>
              </w:tc>
              <w:tc>
                <w:tcPr>
                  <w:tcW w:w="360" w:type="pct"/>
                  <w:tcBorders>
                    <w:tl2br w:val="nil"/>
                    <w:tr2bl w:val="nil"/>
                  </w:tcBorders>
                  <w:vAlign w:val="center"/>
                </w:tcPr>
                <w:p>
                  <w:pPr>
                    <w:pStyle w:val="53"/>
                  </w:pPr>
                  <w:r>
                    <w:rPr>
                      <w:rFonts w:hint="eastAsia"/>
                    </w:rPr>
                    <w:t>环境管控单元名称</w:t>
                  </w:r>
                </w:p>
              </w:tc>
              <w:tc>
                <w:tcPr>
                  <w:tcW w:w="638" w:type="pct"/>
                  <w:tcBorders>
                    <w:tl2br w:val="nil"/>
                    <w:tr2bl w:val="nil"/>
                  </w:tcBorders>
                  <w:vAlign w:val="center"/>
                </w:tcPr>
                <w:p>
                  <w:pPr>
                    <w:pStyle w:val="53"/>
                  </w:pPr>
                  <w:r>
                    <w:rPr>
                      <w:rFonts w:hint="eastAsia"/>
                    </w:rPr>
                    <w:t>管控单元类别</w:t>
                  </w:r>
                </w:p>
              </w:tc>
              <w:tc>
                <w:tcPr>
                  <w:tcW w:w="2145" w:type="pct"/>
                  <w:gridSpan w:val="2"/>
                  <w:tcBorders>
                    <w:tl2br w:val="nil"/>
                    <w:tr2bl w:val="nil"/>
                  </w:tcBorders>
                  <w:vAlign w:val="center"/>
                </w:tcPr>
                <w:p>
                  <w:pPr>
                    <w:pStyle w:val="53"/>
                  </w:pPr>
                  <w:r>
                    <w:rPr>
                      <w:rFonts w:hint="eastAsia"/>
                    </w:rPr>
                    <w:t>管控要求</w:t>
                  </w:r>
                </w:p>
              </w:tc>
              <w:tc>
                <w:tcPr>
                  <w:tcW w:w="933" w:type="pct"/>
                  <w:tcBorders>
                    <w:tl2br w:val="nil"/>
                    <w:tr2bl w:val="nil"/>
                  </w:tcBorders>
                  <w:vAlign w:val="center"/>
                </w:tcPr>
                <w:p>
                  <w:pPr>
                    <w:pStyle w:val="53"/>
                  </w:pPr>
                  <w:r>
                    <w:rPr>
                      <w:rFonts w:hint="eastAsia"/>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34" w:hRule="atLeast"/>
              </w:trPr>
              <w:tc>
                <w:tcPr>
                  <w:tcW w:w="921" w:type="pct"/>
                  <w:vMerge w:val="restart"/>
                  <w:tcBorders>
                    <w:tl2br w:val="nil"/>
                    <w:tr2bl w:val="nil"/>
                  </w:tcBorders>
                  <w:vAlign w:val="center"/>
                </w:tcPr>
                <w:p>
                  <w:pPr>
                    <w:pStyle w:val="53"/>
                  </w:pPr>
                  <w:r>
                    <w:rPr>
                      <w:rFonts w:hint="eastAsia"/>
                    </w:rPr>
                    <w:t>ZH35010520003</w:t>
                  </w:r>
                </w:p>
              </w:tc>
              <w:tc>
                <w:tcPr>
                  <w:tcW w:w="360" w:type="pct"/>
                  <w:vMerge w:val="restart"/>
                  <w:tcBorders>
                    <w:tl2br w:val="nil"/>
                    <w:tr2bl w:val="nil"/>
                  </w:tcBorders>
                  <w:vAlign w:val="center"/>
                </w:tcPr>
                <w:p>
                  <w:pPr>
                    <w:pStyle w:val="53"/>
                  </w:pPr>
                  <w:r>
                    <w:rPr>
                      <w:rFonts w:hint="eastAsia"/>
                    </w:rPr>
                    <w:t>马尾区重点管控单元1</w:t>
                  </w:r>
                </w:p>
              </w:tc>
              <w:tc>
                <w:tcPr>
                  <w:tcW w:w="638" w:type="pct"/>
                  <w:vMerge w:val="restart"/>
                  <w:tcBorders>
                    <w:tl2br w:val="nil"/>
                    <w:tr2bl w:val="nil"/>
                  </w:tcBorders>
                  <w:vAlign w:val="center"/>
                </w:tcPr>
                <w:p>
                  <w:pPr>
                    <w:pStyle w:val="53"/>
                  </w:pPr>
                  <w:r>
                    <w:rPr>
                      <w:rFonts w:hint="eastAsia"/>
                    </w:rPr>
                    <w:t>重点管控单元</w:t>
                  </w:r>
                </w:p>
              </w:tc>
              <w:tc>
                <w:tcPr>
                  <w:tcW w:w="236" w:type="pct"/>
                  <w:tcBorders>
                    <w:tl2br w:val="nil"/>
                    <w:tr2bl w:val="nil"/>
                  </w:tcBorders>
                  <w:vAlign w:val="center"/>
                </w:tcPr>
                <w:p>
                  <w:pPr>
                    <w:pStyle w:val="53"/>
                  </w:pPr>
                  <w:r>
                    <w:rPr>
                      <w:rFonts w:hint="eastAsia"/>
                    </w:rPr>
                    <w:t>空间布局约束</w:t>
                  </w:r>
                </w:p>
              </w:tc>
              <w:tc>
                <w:tcPr>
                  <w:tcW w:w="1909" w:type="pct"/>
                  <w:tcBorders>
                    <w:tl2br w:val="nil"/>
                    <w:tr2bl w:val="nil"/>
                  </w:tcBorders>
                  <w:vAlign w:val="center"/>
                </w:tcPr>
                <w:p>
                  <w:pPr>
                    <w:pStyle w:val="53"/>
                  </w:pPr>
                  <w:r>
                    <w:rPr>
                      <w:rFonts w:hint="eastAsia"/>
                    </w:rPr>
                    <w:t>1.严禁在城镇人口密集区新建危险化学品生产企业；现有不符合安全和卫生防护距离要求的危险化学品生产企业2025年底前完成就地改造达标、搬迁进入规范化工园区或关闭退出。城市建成区内现有有色金属、化工等污染较重的企业应有序搬迁改造或依法关闭。城市主城区内现有有色等重污染企业环保搬迁项目须实行产能等量或减量置换。2.严格控制包装印刷、工业涂装、制鞋等高VOCs排放的项目建设，相关新建项目必须进入工业园区。3.禁止开发利用未经评估和无害化处理的列入建设用地污染地块名录及开发利用负面清单的土地。</w:t>
                  </w:r>
                </w:p>
              </w:tc>
              <w:tc>
                <w:tcPr>
                  <w:tcW w:w="933" w:type="pct"/>
                  <w:tcBorders>
                    <w:tl2br w:val="nil"/>
                    <w:tr2bl w:val="nil"/>
                  </w:tcBorders>
                  <w:vAlign w:val="center"/>
                </w:tcPr>
                <w:p>
                  <w:pPr>
                    <w:pStyle w:val="53"/>
                  </w:pPr>
                  <w:r>
                    <w:rPr>
                      <w:rFonts w:hint="eastAsia"/>
                    </w:rPr>
                    <w:t>1、3.本项目位于马尾区亭江镇万洋众创城内，不属于城镇人口密集区，且地块不属于污染地块或负面清单范围2.本项目从事按摩器配件生产，不属于包装印刷、工业涂装、制鞋等高VOCs排放的项目建设。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921" w:type="pct"/>
                  <w:vMerge w:val="continue"/>
                  <w:tcBorders>
                    <w:tl2br w:val="nil"/>
                    <w:tr2bl w:val="nil"/>
                  </w:tcBorders>
                  <w:vAlign w:val="center"/>
                </w:tcPr>
                <w:p>
                  <w:pPr>
                    <w:pStyle w:val="53"/>
                  </w:pPr>
                </w:p>
              </w:tc>
              <w:tc>
                <w:tcPr>
                  <w:tcW w:w="360" w:type="pct"/>
                  <w:vMerge w:val="continue"/>
                  <w:tcBorders>
                    <w:tl2br w:val="nil"/>
                    <w:tr2bl w:val="nil"/>
                  </w:tcBorders>
                  <w:vAlign w:val="center"/>
                </w:tcPr>
                <w:p>
                  <w:pPr>
                    <w:pStyle w:val="53"/>
                  </w:pPr>
                </w:p>
              </w:tc>
              <w:tc>
                <w:tcPr>
                  <w:tcW w:w="638" w:type="pct"/>
                  <w:vMerge w:val="continue"/>
                  <w:tcBorders>
                    <w:tl2br w:val="nil"/>
                    <w:tr2bl w:val="nil"/>
                  </w:tcBorders>
                  <w:vAlign w:val="center"/>
                </w:tcPr>
                <w:p>
                  <w:pPr>
                    <w:pStyle w:val="53"/>
                  </w:pPr>
                </w:p>
              </w:tc>
              <w:tc>
                <w:tcPr>
                  <w:tcW w:w="236" w:type="pct"/>
                  <w:tcBorders>
                    <w:tl2br w:val="nil"/>
                    <w:tr2bl w:val="nil"/>
                  </w:tcBorders>
                  <w:vAlign w:val="center"/>
                </w:tcPr>
                <w:p>
                  <w:pPr>
                    <w:pStyle w:val="53"/>
                  </w:pPr>
                  <w:r>
                    <w:rPr>
                      <w:rFonts w:hint="eastAsia"/>
                    </w:rPr>
                    <w:t>污染物排放管控</w:t>
                  </w:r>
                </w:p>
              </w:tc>
              <w:tc>
                <w:tcPr>
                  <w:tcW w:w="1909" w:type="pct"/>
                  <w:tcBorders>
                    <w:tl2br w:val="nil"/>
                    <w:tr2bl w:val="nil"/>
                  </w:tcBorders>
                  <w:vAlign w:val="center"/>
                </w:tcPr>
                <w:p>
                  <w:pPr>
                    <w:pStyle w:val="53"/>
                  </w:pPr>
                  <w:r>
                    <w:rPr>
                      <w:rFonts w:hint="eastAsia"/>
                    </w:rPr>
                    <w:t>落实新增二氧化硫、氮氧化物和VOCs排放总量控制要求。</w:t>
                  </w:r>
                </w:p>
              </w:tc>
              <w:tc>
                <w:tcPr>
                  <w:tcW w:w="933" w:type="pct"/>
                  <w:tcBorders>
                    <w:tl2br w:val="nil"/>
                    <w:tr2bl w:val="nil"/>
                  </w:tcBorders>
                  <w:vAlign w:val="center"/>
                </w:tcPr>
                <w:p>
                  <w:pPr>
                    <w:pStyle w:val="53"/>
                  </w:pPr>
                  <w:r>
                    <w:t>VOCs排放实行 区域内倍量替 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921" w:type="pct"/>
                  <w:vMerge w:val="continue"/>
                  <w:tcBorders>
                    <w:tl2br w:val="nil"/>
                    <w:tr2bl w:val="nil"/>
                  </w:tcBorders>
                  <w:vAlign w:val="center"/>
                </w:tcPr>
                <w:p>
                  <w:pPr>
                    <w:pStyle w:val="53"/>
                  </w:pPr>
                </w:p>
              </w:tc>
              <w:tc>
                <w:tcPr>
                  <w:tcW w:w="360" w:type="pct"/>
                  <w:vMerge w:val="continue"/>
                  <w:tcBorders>
                    <w:tl2br w:val="nil"/>
                    <w:tr2bl w:val="nil"/>
                  </w:tcBorders>
                  <w:vAlign w:val="center"/>
                </w:tcPr>
                <w:p>
                  <w:pPr>
                    <w:pStyle w:val="53"/>
                  </w:pPr>
                </w:p>
              </w:tc>
              <w:tc>
                <w:tcPr>
                  <w:tcW w:w="638" w:type="pct"/>
                  <w:vMerge w:val="continue"/>
                  <w:tcBorders>
                    <w:tl2br w:val="nil"/>
                    <w:tr2bl w:val="nil"/>
                  </w:tcBorders>
                  <w:vAlign w:val="center"/>
                </w:tcPr>
                <w:p>
                  <w:pPr>
                    <w:pStyle w:val="53"/>
                  </w:pPr>
                </w:p>
              </w:tc>
              <w:tc>
                <w:tcPr>
                  <w:tcW w:w="236" w:type="pct"/>
                  <w:tcBorders>
                    <w:tl2br w:val="nil"/>
                    <w:tr2bl w:val="nil"/>
                  </w:tcBorders>
                  <w:vAlign w:val="center"/>
                </w:tcPr>
                <w:p>
                  <w:pPr>
                    <w:pStyle w:val="53"/>
                  </w:pPr>
                  <w:r>
                    <w:rPr>
                      <w:rFonts w:hint="eastAsia"/>
                    </w:rPr>
                    <w:t>环境风险防控</w:t>
                  </w:r>
                </w:p>
              </w:tc>
              <w:tc>
                <w:tcPr>
                  <w:tcW w:w="1909" w:type="pct"/>
                  <w:tcBorders>
                    <w:tl2br w:val="nil"/>
                    <w:tr2bl w:val="nil"/>
                  </w:tcBorders>
                  <w:vAlign w:val="center"/>
                </w:tcPr>
                <w:p>
                  <w:pPr>
                    <w:pStyle w:val="53"/>
                  </w:pPr>
                  <w:r>
                    <w:rPr>
                      <w:rFonts w:hint="eastAsia"/>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933" w:type="pct"/>
                  <w:tcBorders>
                    <w:tl2br w:val="nil"/>
                    <w:tr2bl w:val="nil"/>
                  </w:tcBorders>
                  <w:vAlign w:val="center"/>
                </w:tcPr>
                <w:p>
                  <w:pPr>
                    <w:pStyle w:val="53"/>
                  </w:pPr>
                  <w:r>
                    <w:t>本项目</w:t>
                  </w:r>
                  <w:r>
                    <w:rPr>
                      <w:rFonts w:hint="eastAsia"/>
                    </w:rPr>
                    <w:t>厂区内所有地面均已全部硬化，</w:t>
                  </w:r>
                  <w:r>
                    <w:t>建立健全环境风险防控体系，防止在处理安全生产事故过程中产生</w:t>
                  </w:r>
                  <w:r>
                    <w:rPr>
                      <w:rFonts w:hint="eastAsia"/>
                    </w:rPr>
                    <w:t>污染地块。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921" w:type="pct"/>
                  <w:vMerge w:val="continue"/>
                  <w:tcBorders>
                    <w:tl2br w:val="nil"/>
                    <w:tr2bl w:val="nil"/>
                  </w:tcBorders>
                  <w:vAlign w:val="center"/>
                </w:tcPr>
                <w:p>
                  <w:pPr>
                    <w:pStyle w:val="53"/>
                  </w:pPr>
                </w:p>
              </w:tc>
              <w:tc>
                <w:tcPr>
                  <w:tcW w:w="360" w:type="pct"/>
                  <w:vMerge w:val="continue"/>
                  <w:tcBorders>
                    <w:tl2br w:val="nil"/>
                    <w:tr2bl w:val="nil"/>
                  </w:tcBorders>
                  <w:vAlign w:val="center"/>
                </w:tcPr>
                <w:p>
                  <w:pPr>
                    <w:pStyle w:val="53"/>
                  </w:pPr>
                </w:p>
              </w:tc>
              <w:tc>
                <w:tcPr>
                  <w:tcW w:w="638" w:type="pct"/>
                  <w:vMerge w:val="continue"/>
                  <w:tcBorders>
                    <w:tl2br w:val="nil"/>
                    <w:tr2bl w:val="nil"/>
                  </w:tcBorders>
                  <w:vAlign w:val="center"/>
                </w:tcPr>
                <w:p>
                  <w:pPr>
                    <w:pStyle w:val="53"/>
                  </w:pPr>
                </w:p>
              </w:tc>
              <w:tc>
                <w:tcPr>
                  <w:tcW w:w="236" w:type="pct"/>
                  <w:tcBorders>
                    <w:tl2br w:val="nil"/>
                    <w:tr2bl w:val="nil"/>
                  </w:tcBorders>
                  <w:vAlign w:val="center"/>
                </w:tcPr>
                <w:p>
                  <w:pPr>
                    <w:pStyle w:val="53"/>
                  </w:pPr>
                  <w:r>
                    <w:rPr>
                      <w:rFonts w:hint="eastAsia"/>
                    </w:rPr>
                    <w:t>资源开发效率要求</w:t>
                  </w:r>
                </w:p>
              </w:tc>
              <w:tc>
                <w:tcPr>
                  <w:tcW w:w="1909" w:type="pct"/>
                  <w:tcBorders>
                    <w:tl2br w:val="nil"/>
                    <w:tr2bl w:val="nil"/>
                  </w:tcBorders>
                  <w:vAlign w:val="center"/>
                </w:tcPr>
                <w:p>
                  <w:pPr>
                    <w:pStyle w:val="53"/>
                  </w:pPr>
                  <w:r>
                    <w:rPr>
                      <w:rFonts w:hint="eastAsia"/>
                    </w:rPr>
                    <w:t>高污染燃料禁燃区内禁止燃用高污染燃料，禁止新建、扩建燃用高污染燃料的设施。已建的燃用高污染燃料设施，限期改用电、天然气、液化石油气等清洁能源。</w:t>
                  </w:r>
                </w:p>
              </w:tc>
              <w:tc>
                <w:tcPr>
                  <w:tcW w:w="933" w:type="pct"/>
                  <w:tcBorders>
                    <w:tl2br w:val="nil"/>
                    <w:tr2bl w:val="nil"/>
                  </w:tcBorders>
                  <w:vAlign w:val="center"/>
                </w:tcPr>
                <w:p>
                  <w:pPr>
                    <w:pStyle w:val="53"/>
                  </w:pPr>
                  <w:r>
                    <w:t>项目使用电能为能源，不涉及高污染燃料使用</w:t>
                  </w:r>
                </w:p>
              </w:tc>
            </w:tr>
          </w:tbl>
          <w:p>
            <w:pPr>
              <w:pStyle w:val="4"/>
            </w:pPr>
            <w:r>
              <w:rPr>
                <w:rFonts w:hint="eastAsia"/>
              </w:rPr>
              <w:t>与挥发性有机物污染防治相关政策符合性分析</w:t>
            </w:r>
          </w:p>
          <w:p>
            <w:r>
              <w:t>项目建设与挥发性有机物污染防治政策等符合性分析详见表1</w:t>
            </w:r>
            <w:r>
              <w:rPr>
                <w:rFonts w:hint="eastAsia"/>
              </w:rPr>
              <w:t>.8-1</w:t>
            </w:r>
            <w:r>
              <w:t>。</w:t>
            </w:r>
          </w:p>
          <w:p>
            <w:pPr>
              <w:pStyle w:val="96"/>
            </w:pPr>
            <w:r>
              <w:t>表1.</w:t>
            </w:r>
            <w:r>
              <w:rPr>
                <w:rFonts w:hint="eastAsia"/>
              </w:rPr>
              <w:t>8-1</w:t>
            </w:r>
            <w:r>
              <w:t xml:space="preserve"> </w:t>
            </w:r>
            <w:r>
              <w:rPr>
                <w:rFonts w:hint="eastAsia"/>
              </w:rPr>
              <w:t xml:space="preserve"> </w:t>
            </w:r>
            <w:r>
              <w:t>项目建设与挥发性有机物污染防治政策</w:t>
            </w:r>
            <w:r>
              <w:rPr>
                <w:rFonts w:hint="eastAsia"/>
              </w:rPr>
              <w:t>的</w:t>
            </w:r>
            <w:r>
              <w:t>符合性分析</w:t>
            </w:r>
            <w:r>
              <w:rPr>
                <w:rFonts w:hint="eastAsia"/>
              </w:rPr>
              <w:t>一览表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83"/>
              <w:gridCol w:w="2023"/>
              <w:gridCol w:w="3048"/>
              <w:gridCol w:w="2254"/>
              <w:gridCol w:w="2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pPr>
                    <w:pStyle w:val="53"/>
                    <w:rPr>
                      <w:b/>
                      <w:bCs/>
                    </w:rPr>
                  </w:pPr>
                  <w:r>
                    <w:rPr>
                      <w:b/>
                      <w:bCs/>
                    </w:rPr>
                    <w:t>序号</w:t>
                  </w:r>
                </w:p>
              </w:tc>
              <w:tc>
                <w:tcPr>
                  <w:tcW w:w="2023" w:type="dxa"/>
                  <w:vAlign w:val="center"/>
                </w:tcPr>
                <w:p>
                  <w:pPr>
                    <w:pStyle w:val="53"/>
                    <w:rPr>
                      <w:b/>
                      <w:bCs/>
                    </w:rPr>
                  </w:pPr>
                  <w:r>
                    <w:rPr>
                      <w:b/>
                      <w:bCs/>
                    </w:rPr>
                    <w:t>相关文件名称</w:t>
                  </w:r>
                </w:p>
              </w:tc>
              <w:tc>
                <w:tcPr>
                  <w:tcW w:w="3048" w:type="dxa"/>
                  <w:vAlign w:val="center"/>
                </w:tcPr>
                <w:p>
                  <w:pPr>
                    <w:pStyle w:val="53"/>
                    <w:rPr>
                      <w:b/>
                      <w:bCs/>
                    </w:rPr>
                  </w:pPr>
                  <w:r>
                    <w:rPr>
                      <w:b/>
                      <w:bCs/>
                    </w:rPr>
                    <w:t>相关内容</w:t>
                  </w:r>
                </w:p>
              </w:tc>
              <w:tc>
                <w:tcPr>
                  <w:tcW w:w="2254" w:type="dxa"/>
                  <w:vAlign w:val="center"/>
                </w:tcPr>
                <w:p>
                  <w:pPr>
                    <w:pStyle w:val="53"/>
                    <w:rPr>
                      <w:b/>
                      <w:bCs/>
                    </w:rPr>
                  </w:pPr>
                  <w:r>
                    <w:rPr>
                      <w:rFonts w:hint="eastAsia"/>
                      <w:b/>
                      <w:bCs/>
                    </w:rPr>
                    <w:t>本项目内容</w:t>
                  </w:r>
                </w:p>
              </w:tc>
              <w:tc>
                <w:tcPr>
                  <w:tcW w:w="299" w:type="dxa"/>
                  <w:vAlign w:val="center"/>
                </w:tcPr>
                <w:p>
                  <w:pPr>
                    <w:pStyle w:val="53"/>
                    <w:rPr>
                      <w:b/>
                      <w:bCs/>
                    </w:rPr>
                  </w:pPr>
                  <w:r>
                    <w:rPr>
                      <w:rFonts w:hint="eastAsia"/>
                      <w:b/>
                      <w:bCs/>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pPr>
                    <w:pStyle w:val="53"/>
                  </w:pPr>
                  <w:r>
                    <w:t>1</w:t>
                  </w:r>
                </w:p>
              </w:tc>
              <w:tc>
                <w:tcPr>
                  <w:tcW w:w="2023" w:type="dxa"/>
                  <w:vAlign w:val="center"/>
                </w:tcPr>
                <w:p>
                  <w:pPr>
                    <w:pStyle w:val="53"/>
                  </w:pPr>
                  <w:r>
                    <w:rPr>
                      <w:rFonts w:hint="eastAsia"/>
                    </w:rPr>
                    <w:t>“</w:t>
                  </w:r>
                  <w:r>
                    <w:t>十三五</w:t>
                  </w:r>
                  <w:r>
                    <w:rPr>
                      <w:rFonts w:hint="eastAsia"/>
                    </w:rPr>
                    <w:t>”</w:t>
                  </w:r>
                  <w:r>
                    <w:t>挥发性有机物污染防治工作方案</w:t>
                  </w:r>
                </w:p>
              </w:tc>
              <w:tc>
                <w:tcPr>
                  <w:tcW w:w="3048" w:type="dxa"/>
                </w:tcPr>
                <w:p>
                  <w:pPr>
                    <w:pStyle w:val="53"/>
                  </w:pPr>
                  <w:r>
                    <w:t>严格建设项目环境准入。提高VOCs排放重点行业环保准入门槛，严格控制新增污染物排放量。重点地区要严格限制石化、化工、包装印刷、工业涂装等高VOCs排放建设项目。新建涉VOCs排放的工业企业要入园区。严格涉VOCs建设项目环境影响评价，实行区域内VOCs排放等量或倍量削减替代，并将替代方案落实到企业排污许可证中，纳入环境执法管理。新、改、扩建涉VOCs排放项目，应从源头加强控制，使用低</w:t>
                  </w:r>
                  <w:r>
                    <w:rPr>
                      <w:rFonts w:hint="eastAsia"/>
                    </w:rPr>
                    <w:t>（</w:t>
                  </w:r>
                  <w:r>
                    <w:t>无</w:t>
                  </w:r>
                  <w:r>
                    <w:rPr>
                      <w:rFonts w:hint="eastAsia"/>
                    </w:rPr>
                    <w:t>）</w:t>
                  </w:r>
                  <w:r>
                    <w:t>VOCs含量的原辅材料，加强废气收集，安装高效治理设施</w:t>
                  </w:r>
                  <w:r>
                    <w:rPr>
                      <w:rFonts w:hint="eastAsia"/>
                    </w:rPr>
                    <w:t>。</w:t>
                  </w:r>
                </w:p>
              </w:tc>
              <w:tc>
                <w:tcPr>
                  <w:tcW w:w="2254" w:type="dxa"/>
                </w:tcPr>
                <w:p>
                  <w:pPr>
                    <w:pStyle w:val="53"/>
                  </w:pPr>
                  <w:r>
                    <w:t>本项目位于</w:t>
                  </w:r>
                  <w:r>
                    <w:rPr>
                      <w:rFonts w:hint="eastAsia"/>
                    </w:rPr>
                    <w:t>福州市马尾区</w:t>
                  </w:r>
                  <w:r>
                    <w:t>，不属于重点地区，不属于重点行业，本项目建设过程中将严格执行环保</w:t>
                  </w:r>
                  <w:r>
                    <w:rPr>
                      <w:rFonts w:hint="eastAsia"/>
                    </w:rPr>
                    <w:t>“</w:t>
                  </w:r>
                  <w:r>
                    <w:t>三同时</w:t>
                  </w:r>
                  <w:r>
                    <w:rPr>
                      <w:rFonts w:hint="eastAsia"/>
                    </w:rPr>
                    <w:t>”</w:t>
                  </w:r>
                  <w:r>
                    <w:t>制度，严格废气收集、治理，确保满足有机废气收集、治理、管理的要求，实现达标排放，VOCS排放量严格执行允许排放量控制</w:t>
                  </w:r>
                </w:p>
              </w:tc>
              <w:tc>
                <w:tcPr>
                  <w:tcW w:w="299" w:type="dxa"/>
                  <w:vAlign w:val="center"/>
                </w:tcPr>
                <w:p>
                  <w:pPr>
                    <w:pStyle w:val="53"/>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pPr>
                    <w:pStyle w:val="53"/>
                  </w:pPr>
                  <w:r>
                    <w:t>2</w:t>
                  </w:r>
                </w:p>
              </w:tc>
              <w:tc>
                <w:tcPr>
                  <w:tcW w:w="2023" w:type="dxa"/>
                  <w:vAlign w:val="center"/>
                </w:tcPr>
                <w:p>
                  <w:pPr>
                    <w:pStyle w:val="53"/>
                  </w:pPr>
                  <w:r>
                    <w:t>福建省重点行业挥发性有机物污染防治工作方案</w:t>
                  </w:r>
                </w:p>
              </w:tc>
              <w:tc>
                <w:tcPr>
                  <w:tcW w:w="3048" w:type="dxa"/>
                </w:tcPr>
                <w:p>
                  <w:pPr>
                    <w:pStyle w:val="53"/>
                  </w:pPr>
                  <w:r>
                    <w:t>二、主要任务</w:t>
                  </w:r>
                </w:p>
                <w:p>
                  <w:pPr>
                    <w:pStyle w:val="53"/>
                  </w:pPr>
                  <w:r>
                    <w:t>（一）严格环境准入进一步提高行业准入门槛，严格控制新增污染物排放量。严格限制石化、化工、包装印刷、工业涂装等高VOCs排放建设项目。新</w:t>
                  </w:r>
                  <w:r>
                    <w:rPr>
                      <w:rFonts w:hint="eastAsia"/>
                    </w:rPr>
                    <w:t>扩建</w:t>
                  </w:r>
                  <w:r>
                    <w:t>项目要使用低VOCs含量原辅材料，采取密闭措施，加强废气收集，配套安装高效治理设施，减少污染排放。淘汰国家及地方明令禁止的落后工艺和设备。</w:t>
                  </w:r>
                </w:p>
                <w:p>
                  <w:pPr>
                    <w:pStyle w:val="53"/>
                  </w:pPr>
                  <w:r>
                    <w:t>（二）大力推进清洁生产</w:t>
                  </w:r>
                </w:p>
                <w:p>
                  <w:pPr>
                    <w:pStyle w:val="53"/>
                  </w:pPr>
                  <w:r>
                    <w:t>在重点行业大力倡导环境标志产品生产及使用，尤其是水性涂料的生产和使用，从源头控制VOCs排放。</w:t>
                  </w:r>
                </w:p>
              </w:tc>
              <w:tc>
                <w:tcPr>
                  <w:tcW w:w="2254" w:type="dxa"/>
                </w:tcPr>
                <w:p>
                  <w:pPr>
                    <w:pStyle w:val="53"/>
                  </w:pPr>
                  <w:r>
                    <w:rPr>
                      <w:rFonts w:hint="eastAsia"/>
                    </w:rPr>
                    <w:t>本项目使用</w:t>
                  </w:r>
                  <w:r>
                    <w:t>低VOCs含量原辅材料</w:t>
                  </w:r>
                  <w:r>
                    <w:rPr>
                      <w:rFonts w:hint="eastAsia"/>
                    </w:rPr>
                    <w:t>，</w:t>
                  </w:r>
                  <w:r>
                    <w:t>项目VOCs通过采取</w:t>
                  </w:r>
                  <w:r>
                    <w:rPr>
                      <w:rFonts w:hint="eastAsia"/>
                    </w:rPr>
                    <w:t>二级活性炭吸附装置处理</w:t>
                  </w:r>
                  <w:r>
                    <w:t>后</w:t>
                  </w:r>
                  <w:r>
                    <w:rPr>
                      <w:rFonts w:hint="eastAsia"/>
                    </w:rPr>
                    <w:t>达标排放。</w:t>
                  </w:r>
                </w:p>
              </w:tc>
              <w:tc>
                <w:tcPr>
                  <w:tcW w:w="299" w:type="dxa"/>
                  <w:vAlign w:val="center"/>
                </w:tcPr>
                <w:p>
                  <w:pPr>
                    <w:pStyle w:val="53"/>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pPr>
                    <w:pStyle w:val="53"/>
                  </w:pPr>
                  <w:r>
                    <w:t>3</w:t>
                  </w:r>
                </w:p>
              </w:tc>
              <w:tc>
                <w:tcPr>
                  <w:tcW w:w="2023" w:type="dxa"/>
                  <w:vAlign w:val="center"/>
                </w:tcPr>
                <w:p>
                  <w:pPr>
                    <w:pStyle w:val="53"/>
                  </w:pPr>
                  <w:r>
                    <w:t>福州市挥发性有机物污染整治工作方案</w:t>
                  </w:r>
                </w:p>
              </w:tc>
              <w:tc>
                <w:tcPr>
                  <w:tcW w:w="3048" w:type="dxa"/>
                </w:tcPr>
                <w:p>
                  <w:pPr>
                    <w:pStyle w:val="53"/>
                  </w:pPr>
                  <w:r>
                    <w:t>（二）严格VOCs项目环境准入</w:t>
                  </w:r>
                  <w:r>
                    <w:rPr>
                      <w:rFonts w:hint="eastAsia"/>
                    </w:rPr>
                    <w:t>，</w:t>
                  </w:r>
                  <w:r>
                    <w:t>提高行业准入门槛，鼓励支持企业通过技改减少挥发性有机物排放，严格控制新增污染物排放量，对挥发性有机物新增排放量实行现役源2倍削减量替代。</w:t>
                  </w:r>
                </w:p>
              </w:tc>
              <w:tc>
                <w:tcPr>
                  <w:tcW w:w="2254" w:type="dxa"/>
                </w:tcPr>
                <w:p>
                  <w:pPr>
                    <w:pStyle w:val="53"/>
                  </w:pPr>
                  <w:r>
                    <w:rPr>
                      <w:rFonts w:hint="eastAsia"/>
                    </w:rPr>
                    <w:t>本项目VOCs排放实行区域内倍量替代，新、扩建涉VOCs排放项目，</w:t>
                  </w:r>
                  <w:r>
                    <w:t>项目VOCs通过采取</w:t>
                  </w:r>
                  <w:r>
                    <w:rPr>
                      <w:rFonts w:hint="eastAsia"/>
                    </w:rPr>
                    <w:t>二级活性炭吸附装置处理，</w:t>
                  </w:r>
                  <w:r>
                    <w:t>建设单位将严格按照文件规定要求对VOCS排放实行倍量替代。</w:t>
                  </w:r>
                </w:p>
              </w:tc>
              <w:tc>
                <w:tcPr>
                  <w:tcW w:w="299" w:type="dxa"/>
                  <w:vAlign w:val="center"/>
                </w:tcPr>
                <w:p>
                  <w:pPr>
                    <w:pStyle w:val="53"/>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pPr>
                    <w:pStyle w:val="53"/>
                  </w:pPr>
                  <w:r>
                    <w:rPr>
                      <w:rFonts w:hint="eastAsia"/>
                    </w:rPr>
                    <w:t>4</w:t>
                  </w:r>
                </w:p>
              </w:tc>
              <w:tc>
                <w:tcPr>
                  <w:tcW w:w="2023" w:type="dxa"/>
                  <w:vAlign w:val="center"/>
                </w:tcPr>
                <w:p>
                  <w:pPr>
                    <w:pStyle w:val="53"/>
                  </w:pPr>
                  <w:r>
                    <w:rPr>
                      <w:rFonts w:hint="eastAsia"/>
                    </w:rPr>
                    <w:t>《2021年福州市提升空气质量行动计划》的通知</w:t>
                  </w:r>
                </w:p>
              </w:tc>
              <w:tc>
                <w:tcPr>
                  <w:tcW w:w="3048" w:type="dxa"/>
                </w:tcPr>
                <w:p>
                  <w:pPr>
                    <w:pStyle w:val="53"/>
                  </w:pPr>
                  <w:r>
                    <w:rPr>
                      <w:rFonts w:hint="eastAsia"/>
                    </w:rPr>
                    <w:t>（2）严格涉VOCs建设项目环境影响评价审批，新、改、扩建涉VOCs排放项目，应使用低（无）VOCs涂料、粘胶剂等，实施新建项目VOCs排放区域内倍量替代。VOCs年排放量大于10吨的新建项目投运前应安装VOCs在线监控设备，并接入市生态云平台。</w:t>
                  </w:r>
                </w:p>
              </w:tc>
              <w:tc>
                <w:tcPr>
                  <w:tcW w:w="2254" w:type="dxa"/>
                </w:tcPr>
                <w:p>
                  <w:pPr>
                    <w:pStyle w:val="53"/>
                  </w:pPr>
                  <w:r>
                    <w:rPr>
                      <w:rFonts w:hint="eastAsia"/>
                    </w:rPr>
                    <w:t>本项目使用低VOCs含量的原辅材料，VOCs年排放量小于10吨，无需安装VOCs在线监控设备。</w:t>
                  </w:r>
                </w:p>
              </w:tc>
              <w:tc>
                <w:tcPr>
                  <w:tcW w:w="299" w:type="dxa"/>
                  <w:vAlign w:val="center"/>
                </w:tcPr>
                <w:p>
                  <w:pPr>
                    <w:pStyle w:val="53"/>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pPr>
                    <w:pStyle w:val="53"/>
                  </w:pPr>
                  <w:r>
                    <w:rPr>
                      <w:rFonts w:hint="eastAsia"/>
                    </w:rPr>
                    <w:t>5</w:t>
                  </w:r>
                </w:p>
              </w:tc>
              <w:tc>
                <w:tcPr>
                  <w:tcW w:w="2023" w:type="dxa"/>
                  <w:vAlign w:val="center"/>
                </w:tcPr>
                <w:p>
                  <w:pPr>
                    <w:pStyle w:val="53"/>
                  </w:pPr>
                  <w:r>
                    <w:rPr>
                      <w:rFonts w:hint="eastAsia"/>
                    </w:rPr>
                    <w:t>《福州市生态环境局关于开展福州市重点行业挥发性有机物综合治理工作（VOCs2.0）的通知》（榕环保综[2021]100号）</w:t>
                  </w:r>
                </w:p>
              </w:tc>
              <w:tc>
                <w:tcPr>
                  <w:tcW w:w="3048" w:type="dxa"/>
                </w:tcPr>
                <w:p>
                  <w:pPr>
                    <w:pStyle w:val="53"/>
                  </w:pPr>
                  <w:r>
                    <w:rPr>
                      <w:rFonts w:hint="eastAsia"/>
                    </w:rPr>
                    <w:t>“严格涉挥发性有机物建设项目环境影响评价审批。新、改、扩建排放挥发性有机物的</w:t>
                  </w:r>
                </w:p>
                <w:p>
                  <w:pPr>
                    <w:pStyle w:val="53"/>
                  </w:pPr>
                  <w:r>
                    <w:rPr>
                      <w:rFonts w:hint="eastAsia"/>
                    </w:rPr>
                    <w:t>建设项目实行倍量替代。鼓励用低（无）挥发性有机物含量的原辅材料。”</w:t>
                  </w:r>
                </w:p>
              </w:tc>
              <w:tc>
                <w:tcPr>
                  <w:tcW w:w="2254" w:type="dxa"/>
                </w:tcPr>
                <w:p>
                  <w:pPr>
                    <w:pStyle w:val="53"/>
                  </w:pPr>
                  <w:r>
                    <w:rPr>
                      <w:rFonts w:hint="eastAsia"/>
                    </w:rPr>
                    <w:t>本项目使用低VOCs含量的原辅材料，且排放的VOCs实行区域内倍量替代</w:t>
                  </w:r>
                </w:p>
              </w:tc>
              <w:tc>
                <w:tcPr>
                  <w:tcW w:w="299" w:type="dxa"/>
                  <w:vAlign w:val="center"/>
                </w:tcPr>
                <w:p>
                  <w:pPr>
                    <w:pStyle w:val="53"/>
                  </w:pPr>
                  <w:r>
                    <w:rPr>
                      <w:rFonts w:hint="eastAsia"/>
                    </w:rPr>
                    <w:t>符合</w:t>
                  </w:r>
                </w:p>
              </w:tc>
            </w:tr>
          </w:tbl>
          <w:p>
            <w:r>
              <w:rPr>
                <w:rFonts w:hint="eastAsia"/>
                <w:kern w:val="0"/>
                <w:szCs w:val="21"/>
              </w:rPr>
              <w:t>综上所述，本项目</w:t>
            </w:r>
            <w:r>
              <w:rPr>
                <w:rFonts w:hint="eastAsia"/>
              </w:rPr>
              <w:t xml:space="preserve">属于C2929 </w:t>
            </w:r>
            <w:r>
              <w:rPr>
                <w:rFonts w:hint="eastAsia"/>
                <w:color w:val="000000"/>
              </w:rPr>
              <w:t>塑料零件及其他塑料制品制造</w:t>
            </w:r>
            <w:r>
              <w:rPr>
                <w:rFonts w:hint="eastAsia"/>
              </w:rPr>
              <w:t>，</w:t>
            </w:r>
            <w:r>
              <w:rPr>
                <w:rFonts w:hint="eastAsia"/>
                <w:kern w:val="0"/>
                <w:szCs w:val="21"/>
              </w:rPr>
              <w:t>位于</w:t>
            </w:r>
            <w:r>
              <w:rPr>
                <w:rFonts w:hint="eastAsia"/>
                <w:lang w:eastAsia="zh-CN"/>
              </w:rPr>
              <w:t>福建省福州市马尾区亭江镇亭江路66号福州（马尾）万洋众创（三期）B22#楼1层02厂房</w:t>
            </w:r>
            <w:r>
              <w:rPr>
                <w:rFonts w:hint="eastAsia" w:cs="宋体"/>
              </w:rPr>
              <w:t>，项目的建设符合“福</w:t>
            </w:r>
            <w:r>
              <w:rPr>
                <w:rFonts w:hint="eastAsia" w:cs="宋体"/>
                <w:color w:val="000000" w:themeColor="text1"/>
                <w14:textFill>
                  <w14:solidFill>
                    <w14:schemeClr w14:val="tx1"/>
                  </w14:solidFill>
                </w14:textFill>
              </w:rPr>
              <w:t>州市生态环境总体准入要求”，用地性质为工业用地，</w:t>
            </w:r>
            <w:r>
              <w:rPr>
                <w:rFonts w:hint="eastAsia"/>
                <w:color w:val="000000" w:themeColor="text1"/>
                <w14:textFill>
                  <w14:solidFill>
                    <w14:schemeClr w14:val="tx1"/>
                  </w14:solidFill>
                </w14:textFill>
              </w:rPr>
              <w:t>原辅材料均不涉及高VOCs含量的物料，项目建设符合《福州市人民政府办公厅关于印发〈福州市生态环境分区管控方案（2023年更新）〉的</w:t>
            </w:r>
            <w:r>
              <w:rPr>
                <w:rFonts w:hint="eastAsia"/>
              </w:rPr>
              <w:t>通知》（榕政办规〔2024〕20号）及福建省生态环境分区管控数据平台查询结果中相关要求，详见</w:t>
            </w:r>
            <w:r>
              <w:rPr>
                <w:rFonts w:hint="eastAsia"/>
              </w:rPr>
              <w:fldChar w:fldCharType="begin"/>
            </w:r>
            <w:r>
              <w:rPr>
                <w:rFonts w:hint="eastAsia"/>
              </w:rPr>
              <w:instrText xml:space="preserve"> REF _Ref24024 \h </w:instrText>
            </w:r>
            <w:r>
              <w:rPr>
                <w:rFonts w:hint="eastAsia"/>
              </w:rPr>
              <w:fldChar w:fldCharType="separate"/>
            </w:r>
            <w:r>
              <w:t>附图 5</w:t>
            </w:r>
            <w:r>
              <w:rPr>
                <w:rFonts w:hint="eastAsia"/>
              </w:rPr>
              <w:fldChar w:fldCharType="end"/>
            </w:r>
            <w:r>
              <w:rPr>
                <w:rFonts w:hint="eastAsia"/>
              </w:rPr>
              <w:t>。</w:t>
            </w:r>
          </w:p>
        </w:tc>
      </w:tr>
    </w:tbl>
    <w:p>
      <w:pPr>
        <w:ind w:firstLine="0" w:firstLineChars="0"/>
        <w:sectPr>
          <w:pgSz w:w="11906" w:h="16838"/>
          <w:pgMar w:top="1701" w:right="1531" w:bottom="1701" w:left="1531" w:header="851" w:footer="1077" w:gutter="0"/>
          <w:cols w:space="720" w:num="1"/>
          <w:docGrid w:linePitch="312" w:charSpace="0"/>
        </w:sectPr>
      </w:pPr>
      <w:bookmarkStart w:id="4" w:name="_Toc28916"/>
    </w:p>
    <w:p>
      <w:pPr>
        <w:pStyle w:val="3"/>
      </w:pPr>
      <w:bookmarkStart w:id="5" w:name="_Toc8215"/>
      <w:r>
        <w:rPr>
          <w:rFonts w:hint="eastAsia"/>
        </w:rPr>
        <w:t>建设项目工程分析</w:t>
      </w:r>
      <w:bookmarkEnd w:id="4"/>
      <w:bookmarkEnd w:id="5"/>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1" w:hRule="atLeast"/>
          <w:jc w:val="center"/>
        </w:trPr>
        <w:tc>
          <w:tcPr>
            <w:tcW w:w="416" w:type="dxa"/>
            <w:vAlign w:val="center"/>
          </w:tcPr>
          <w:p>
            <w:pPr>
              <w:pStyle w:val="33"/>
              <w:spacing w:before="0" w:beforeAutospacing="0" w:after="0" w:afterAutospacing="0" w:line="240" w:lineRule="auto"/>
              <w:ind w:firstLine="0" w:firstLineChars="0"/>
              <w:jc w:val="center"/>
              <w:rPr>
                <w:rFonts w:ascii="Times New Roman" w:hAnsi="Times New Roman"/>
                <w:color w:val="000000"/>
                <w:kern w:val="2"/>
                <w:szCs w:val="24"/>
              </w:rPr>
            </w:pPr>
            <w:bookmarkStart w:id="6" w:name="_Toc22000"/>
            <w:bookmarkStart w:id="7" w:name="_Toc26180"/>
            <w:bookmarkStart w:id="8" w:name="_Toc13077"/>
            <w:r>
              <w:rPr>
                <w:rFonts w:ascii="Times New Roman" w:hAnsi="Times New Roman"/>
                <w:color w:val="000000"/>
                <w:sz w:val="21"/>
                <w:szCs w:val="21"/>
              </w:rPr>
              <w:t>建设</w:t>
            </w:r>
            <w:bookmarkEnd w:id="6"/>
            <w:bookmarkEnd w:id="7"/>
            <w:bookmarkEnd w:id="8"/>
            <w:bookmarkStart w:id="9" w:name="_Toc23461"/>
            <w:bookmarkStart w:id="10" w:name="_Toc12018"/>
            <w:bookmarkStart w:id="11" w:name="_Toc29940"/>
            <w:r>
              <w:rPr>
                <w:rFonts w:ascii="Times New Roman" w:hAnsi="Times New Roman"/>
                <w:color w:val="000000"/>
                <w:sz w:val="21"/>
                <w:szCs w:val="21"/>
              </w:rPr>
              <w:t>内容</w:t>
            </w:r>
            <w:bookmarkEnd w:id="9"/>
            <w:bookmarkEnd w:id="10"/>
            <w:bookmarkEnd w:id="11"/>
          </w:p>
        </w:tc>
        <w:tc>
          <w:tcPr>
            <w:tcW w:w="8631" w:type="dxa"/>
          </w:tcPr>
          <w:p>
            <w:pPr>
              <w:pStyle w:val="4"/>
              <w:outlineLvl w:val="1"/>
            </w:pPr>
            <w:bookmarkStart w:id="12" w:name="_Toc7382"/>
            <w:bookmarkStart w:id="13" w:name="_Toc549"/>
            <w:bookmarkStart w:id="14" w:name="_Toc617"/>
            <w:r>
              <w:t>项目由来</w:t>
            </w:r>
            <w:bookmarkEnd w:id="12"/>
            <w:bookmarkEnd w:id="13"/>
            <w:bookmarkEnd w:id="14"/>
          </w:p>
          <w:p>
            <w:r>
              <w:rPr>
                <w:rFonts w:hint="eastAsia"/>
              </w:rPr>
              <w:t>福州鑫博创工贸有限公司成立于2016年4月1日，</w:t>
            </w:r>
            <w:r>
              <w:rPr>
                <w:rFonts w:hint="eastAsia"/>
                <w:lang w:val="en-US" w:eastAsia="zh-CN"/>
              </w:rPr>
              <w:t>公司原地址为福建省闽侯县南屿镇旗山集中工业区6号1#车间01，</w:t>
            </w:r>
            <w:r>
              <w:rPr>
                <w:rFonts w:hint="eastAsia"/>
              </w:rPr>
              <w:t>法定代表人陈登华（</w:t>
            </w:r>
            <w:r>
              <w:t>营业执照详见</w:t>
            </w:r>
            <w:r>
              <w:fldChar w:fldCharType="begin"/>
            </w:r>
            <w:r>
              <w:instrText xml:space="preserve"> REF _Ref32432 \h </w:instrText>
            </w:r>
            <w:r>
              <w:fldChar w:fldCharType="separate"/>
            </w:r>
            <w:r>
              <w:t>附件 2</w:t>
            </w:r>
            <w:r>
              <w:fldChar w:fldCharType="end"/>
            </w:r>
            <w:r>
              <w:rPr>
                <w:rFonts w:hint="eastAsia"/>
              </w:rPr>
              <w:t>）</w:t>
            </w:r>
            <w:r>
              <w:t>。</w:t>
            </w:r>
            <w:r>
              <w:rPr>
                <w:rFonts w:cs="宋体"/>
              </w:rPr>
              <w:t>公司</w:t>
            </w:r>
            <w:r>
              <w:rPr>
                <w:rFonts w:hint="eastAsia" w:cs="宋体"/>
              </w:rPr>
              <w:t>租赁福建亿泰康电子有限公司</w:t>
            </w:r>
            <w:r>
              <w:rPr>
                <w:rFonts w:cs="宋体"/>
              </w:rPr>
              <w:t>位于</w:t>
            </w:r>
            <w:r>
              <w:rPr>
                <w:rFonts w:hint="eastAsia" w:cs="宋体"/>
                <w:lang w:eastAsia="zh-CN"/>
              </w:rPr>
              <w:t>福建省福州市马尾区亭江镇亭江路66号福州（马尾）万洋众创（三期）B22#楼1层02厂房</w:t>
            </w:r>
            <w:r>
              <w:rPr>
                <w:rFonts w:hint="eastAsia" w:cs="宋体"/>
              </w:rPr>
              <w:t>（租赁合同详见</w:t>
            </w:r>
            <w:r>
              <w:rPr>
                <w:rFonts w:hint="eastAsia" w:cs="宋体"/>
              </w:rPr>
              <w:fldChar w:fldCharType="begin"/>
            </w:r>
            <w:r>
              <w:rPr>
                <w:rFonts w:hint="eastAsia" w:cs="宋体"/>
              </w:rPr>
              <w:instrText xml:space="preserve"> REF _Ref25953 \h </w:instrText>
            </w:r>
            <w:r>
              <w:rPr>
                <w:rFonts w:hint="eastAsia" w:cs="宋体"/>
              </w:rPr>
              <w:fldChar w:fldCharType="separate"/>
            </w:r>
            <w:r>
              <w:t>附件 6</w:t>
            </w:r>
            <w:r>
              <w:rPr>
                <w:rFonts w:hint="eastAsia" w:cs="宋体"/>
              </w:rPr>
              <w:fldChar w:fldCharType="end"/>
            </w:r>
            <w:r>
              <w:rPr>
                <w:rFonts w:hint="eastAsia" w:cs="宋体"/>
              </w:rPr>
              <w:t>）</w:t>
            </w:r>
            <w:r>
              <w:rPr>
                <w:rFonts w:cs="宋体"/>
              </w:rPr>
              <w:t>，</w:t>
            </w:r>
            <w:r>
              <w:rPr>
                <w:rFonts w:hint="eastAsia" w:cs="宋体"/>
              </w:rPr>
              <w:t>拟投资500万，总面积约989.02m</w:t>
            </w:r>
            <w:r>
              <w:rPr>
                <w:rFonts w:hint="eastAsia" w:cs="宋体"/>
                <w:vertAlign w:val="superscript"/>
              </w:rPr>
              <w:t>2</w:t>
            </w:r>
            <w:r>
              <w:rPr>
                <w:rFonts w:hint="eastAsia" w:cs="宋体"/>
              </w:rPr>
              <w:t>，购置注塑机，破碎机、螺杆空压机，</w:t>
            </w:r>
            <w:r>
              <w:rPr>
                <w:rFonts w:cs="宋体"/>
              </w:rPr>
              <w:t>对该厂房进行装修</w:t>
            </w:r>
            <w:r>
              <w:rPr>
                <w:rFonts w:hint="eastAsia" w:cs="宋体"/>
              </w:rPr>
              <w:t>，</w:t>
            </w:r>
            <w:r>
              <w:rPr>
                <w:rFonts w:hint="eastAsia"/>
              </w:rPr>
              <w:t>投建按摩器配件生产线，年产8万件按摩器配件。</w:t>
            </w:r>
          </w:p>
          <w:p>
            <w:r>
              <w:t>根据《中华人民共和国环境保护法》</w:t>
            </w:r>
            <w:r>
              <w:rPr>
                <w:rFonts w:hint="eastAsia"/>
              </w:rPr>
              <w:t>（</w:t>
            </w:r>
            <w:r>
              <w:t>2015年</w:t>
            </w:r>
            <w:r>
              <w:rPr>
                <w:rFonts w:hint="eastAsia"/>
              </w:rPr>
              <w:t>）</w:t>
            </w:r>
            <w:r>
              <w:t>、《中华人民共和国环境影响评价法》</w:t>
            </w:r>
            <w:r>
              <w:rPr>
                <w:rFonts w:hint="eastAsia"/>
              </w:rPr>
              <w:t>（</w:t>
            </w:r>
            <w:r>
              <w:t>2018年修正</w:t>
            </w:r>
            <w:r>
              <w:rPr>
                <w:rFonts w:hint="eastAsia"/>
              </w:rPr>
              <w:t>）</w:t>
            </w:r>
            <w:r>
              <w:t>、《建设项目环境保护管理条例》</w:t>
            </w:r>
            <w:r>
              <w:rPr>
                <w:rFonts w:hint="eastAsia"/>
              </w:rPr>
              <w:t>（</w:t>
            </w:r>
            <w:r>
              <w:t>2017年</w:t>
            </w:r>
            <w:r>
              <w:rPr>
                <w:rFonts w:hint="eastAsia"/>
              </w:rPr>
              <w:t>）</w:t>
            </w:r>
            <w:r>
              <w:t>的相关规定，项目需要办理环境影响评价手续；根据《建设项目环境影响评价分类管理名录》</w:t>
            </w:r>
            <w:r>
              <w:rPr>
                <w:rFonts w:hint="eastAsia"/>
              </w:rPr>
              <w:t>（</w:t>
            </w:r>
            <w:r>
              <w:t>2021年版</w:t>
            </w:r>
            <w:r>
              <w:rPr>
                <w:rFonts w:hint="eastAsia"/>
              </w:rPr>
              <w:t>）</w:t>
            </w:r>
            <w:r>
              <w:t>规定，本项目</w:t>
            </w:r>
            <w:r>
              <w:rPr>
                <w:rFonts w:hint="eastAsia"/>
              </w:rPr>
              <w:t>属于“</w:t>
            </w:r>
            <w:r>
              <w:rPr>
                <w:rFonts w:hint="eastAsia"/>
                <w:color w:val="000000"/>
              </w:rPr>
              <w:t>二十六、橡胶和塑料制品业 29；塑料制品业292；其他（年用非溶剂型低VOCs含量涂料10吨以下的除外）</w:t>
            </w:r>
            <w:r>
              <w:rPr>
                <w:rFonts w:hint="eastAsia"/>
              </w:rPr>
              <w:t>”，因此本项目应当编制环境影响报告表</w:t>
            </w:r>
            <w:r>
              <w:t>。</w:t>
            </w:r>
            <w:r>
              <w:rPr>
                <w:rFonts w:hint="eastAsia"/>
              </w:rPr>
              <w:t>为此福州鑫博创工贸有限公司</w:t>
            </w:r>
            <w:r>
              <w:t>委托我司对项目进行环境影响评价</w:t>
            </w:r>
            <w:r>
              <w:rPr>
                <w:rFonts w:hint="eastAsia"/>
              </w:rPr>
              <w:t>（委托书详见</w:t>
            </w:r>
            <w:r>
              <w:rPr>
                <w:rFonts w:hint="eastAsia"/>
              </w:rPr>
              <w:fldChar w:fldCharType="begin"/>
            </w:r>
            <w:r>
              <w:rPr>
                <w:rFonts w:hint="eastAsia"/>
              </w:rPr>
              <w:instrText xml:space="preserve"> REF _Ref26044 \h </w:instrText>
            </w:r>
            <w:r>
              <w:rPr>
                <w:rFonts w:hint="eastAsia"/>
              </w:rPr>
              <w:fldChar w:fldCharType="separate"/>
            </w:r>
            <w:r>
              <w:t>附件 1</w:t>
            </w:r>
            <w:r>
              <w:rPr>
                <w:rFonts w:hint="eastAsia"/>
              </w:rPr>
              <w:fldChar w:fldCharType="end"/>
            </w:r>
            <w:r>
              <w:rPr>
                <w:rFonts w:hint="eastAsia"/>
              </w:rPr>
              <w:t>），</w:t>
            </w:r>
            <w:r>
              <w:t>我司接受委托后，立即组织有关人员进行现场踏勘，在对项目开展环境现状调查、资料收集和调研的基础上，按照环境影响评价有关技术规范和要求，完成了本项目的环境影响报告表的编制工作，供建设单位上报环保主管部门审批。</w:t>
            </w:r>
          </w:p>
          <w:p>
            <w:pPr>
              <w:pStyle w:val="96"/>
            </w:pPr>
            <w:r>
              <w:t>表2.1-</w:t>
            </w:r>
            <w:r>
              <w:rPr>
                <w:rFonts w:hint="eastAsia"/>
              </w:rPr>
              <w:t>1</w:t>
            </w:r>
            <w:r>
              <w:t xml:space="preserve"> </w:t>
            </w:r>
            <w:r>
              <w:rPr>
                <w:rFonts w:hint="eastAsia"/>
              </w:rPr>
              <w:t xml:space="preserve"> </w:t>
            </w:r>
            <w:r>
              <w:t>《建设项目环境影响评价分类管理名录》</w:t>
            </w:r>
            <w:r>
              <w:rPr>
                <w:rFonts w:hint="eastAsia"/>
              </w:rPr>
              <w:t>（2021年版）（</w:t>
            </w:r>
            <w:r>
              <w:t>摘录</w:t>
            </w:r>
            <w:r>
              <w:rPr>
                <w:rFonts w:hint="eastAsia"/>
              </w:rPr>
              <w:t>）</w:t>
            </w:r>
          </w:p>
          <w:tbl>
            <w:tblPr>
              <w:tblStyle w:val="36"/>
              <w:tblW w:w="81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822"/>
              <w:gridCol w:w="3374"/>
              <w:gridCol w:w="1709"/>
              <w:gridCol w:w="7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pct"/>
                  <w:gridSpan w:val="2"/>
                  <w:tcBorders>
                    <w:tl2br w:val="single" w:color="auto" w:sz="6" w:space="0"/>
                  </w:tcBorders>
                  <w:shd w:val="clear" w:color="auto" w:fill="auto"/>
                </w:tcPr>
                <w:p>
                  <w:pPr>
                    <w:pStyle w:val="53"/>
                  </w:pPr>
                  <w:r>
                    <w:rPr>
                      <w:rFonts w:hint="eastAsia"/>
                    </w:rPr>
                    <w:t xml:space="preserve">            </w:t>
                  </w:r>
                  <w:r>
                    <w:t>环评类别</w:t>
                  </w:r>
                </w:p>
                <w:p>
                  <w:pPr>
                    <w:pStyle w:val="53"/>
                    <w:jc w:val="both"/>
                  </w:pPr>
                  <w:r>
                    <w:t>项目类别</w:t>
                  </w:r>
                </w:p>
              </w:tc>
              <w:tc>
                <w:tcPr>
                  <w:tcW w:w="2063" w:type="pct"/>
                  <w:tcBorders>
                    <w:tl2br w:val="nil"/>
                    <w:tr2bl w:val="nil"/>
                  </w:tcBorders>
                  <w:shd w:val="clear" w:color="auto" w:fill="auto"/>
                  <w:vAlign w:val="center"/>
                </w:tcPr>
                <w:p>
                  <w:pPr>
                    <w:pStyle w:val="53"/>
                  </w:pPr>
                  <w:r>
                    <w:t>报告书</w:t>
                  </w:r>
                </w:p>
              </w:tc>
              <w:tc>
                <w:tcPr>
                  <w:tcW w:w="1045" w:type="pct"/>
                  <w:tcBorders>
                    <w:tl2br w:val="nil"/>
                    <w:tr2bl w:val="nil"/>
                  </w:tcBorders>
                  <w:shd w:val="clear" w:color="auto" w:fill="BEBEBE"/>
                  <w:vAlign w:val="center"/>
                </w:tcPr>
                <w:p>
                  <w:pPr>
                    <w:pStyle w:val="53"/>
                  </w:pPr>
                  <w:r>
                    <w:t>报告表</w:t>
                  </w:r>
                </w:p>
              </w:tc>
              <w:tc>
                <w:tcPr>
                  <w:tcW w:w="467" w:type="pct"/>
                  <w:tcBorders>
                    <w:tl2br w:val="nil"/>
                    <w:tr2bl w:val="nil"/>
                  </w:tcBorders>
                  <w:vAlign w:val="center"/>
                </w:tcPr>
                <w:p>
                  <w:pPr>
                    <w:pStyle w:val="53"/>
                  </w:pPr>
                  <w: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pPr>
                    <w:pStyle w:val="53"/>
                  </w:pPr>
                  <w:r>
                    <w:t>二十六、橡胶和塑料制品业 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tcBorders>
                    <w:tl2br w:val="nil"/>
                    <w:tr2bl w:val="nil"/>
                  </w:tcBorders>
                  <w:shd w:val="clear" w:color="auto" w:fill="auto"/>
                  <w:vAlign w:val="center"/>
                </w:tcPr>
                <w:p>
                  <w:pPr>
                    <w:pStyle w:val="53"/>
                  </w:pPr>
                  <w:r>
                    <w:rPr>
                      <w:rFonts w:hint="eastAsia"/>
                    </w:rPr>
                    <w:t>77</w:t>
                  </w:r>
                </w:p>
              </w:tc>
              <w:tc>
                <w:tcPr>
                  <w:tcW w:w="1113" w:type="pct"/>
                  <w:tcBorders>
                    <w:tl2br w:val="nil"/>
                    <w:tr2bl w:val="nil"/>
                  </w:tcBorders>
                  <w:shd w:val="clear" w:color="auto" w:fill="auto"/>
                  <w:vAlign w:val="center"/>
                </w:tcPr>
                <w:p>
                  <w:pPr>
                    <w:widowControl/>
                    <w:ind w:firstLine="0" w:firstLineChars="0"/>
                    <w:jc w:val="left"/>
                  </w:pPr>
                  <w:r>
                    <w:rPr>
                      <w:rFonts w:hint="eastAsia" w:ascii="宋体" w:hAnsi="宋体" w:cs="宋体"/>
                      <w:color w:val="000000"/>
                      <w:kern w:val="0"/>
                      <w:sz w:val="20"/>
                      <w:szCs w:val="20"/>
                    </w:rPr>
                    <w:t>塑料制品业 292</w:t>
                  </w:r>
                </w:p>
              </w:tc>
              <w:tc>
                <w:tcPr>
                  <w:tcW w:w="2063" w:type="pct"/>
                  <w:tcBorders>
                    <w:tl2br w:val="nil"/>
                    <w:tr2bl w:val="nil"/>
                  </w:tcBorders>
                  <w:shd w:val="clear" w:color="auto" w:fill="auto"/>
                  <w:vAlign w:val="center"/>
                </w:tcPr>
                <w:p>
                  <w:pPr>
                    <w:pStyle w:val="53"/>
                  </w:pPr>
                  <w:r>
                    <w:t>以再生塑料为原料生产的；有电镀工艺的；年用溶剂型胶粘剂10吨及以上的；年用溶剂型涂料（含稀释剂）10吨及以上的</w:t>
                  </w:r>
                </w:p>
              </w:tc>
              <w:tc>
                <w:tcPr>
                  <w:tcW w:w="1045" w:type="pct"/>
                  <w:tcBorders>
                    <w:tl2br w:val="nil"/>
                    <w:tr2bl w:val="nil"/>
                  </w:tcBorders>
                  <w:shd w:val="clear" w:color="auto" w:fill="BEBEBE"/>
                  <w:vAlign w:val="center"/>
                </w:tcPr>
                <w:p>
                  <w:pPr>
                    <w:pStyle w:val="53"/>
                  </w:pPr>
                  <w:r>
                    <w:t>其他（年用非溶剂型低VOCs含</w:t>
                  </w:r>
                </w:p>
                <w:p>
                  <w:pPr>
                    <w:pStyle w:val="53"/>
                  </w:pPr>
                  <w:r>
                    <w:t>量涂料10吨以下的除外）</w:t>
                  </w:r>
                </w:p>
              </w:tc>
              <w:tc>
                <w:tcPr>
                  <w:tcW w:w="467" w:type="pct"/>
                  <w:tcBorders>
                    <w:tl2br w:val="nil"/>
                    <w:tr2bl w:val="nil"/>
                  </w:tcBorders>
                  <w:vAlign w:val="center"/>
                </w:tcPr>
                <w:p>
                  <w:pPr>
                    <w:pStyle w:val="53"/>
                  </w:pPr>
                  <w:r>
                    <w:t>/</w:t>
                  </w:r>
                </w:p>
              </w:tc>
            </w:tr>
          </w:tbl>
          <w:p>
            <w:pPr>
              <w:pStyle w:val="4"/>
              <w:outlineLvl w:val="1"/>
            </w:pPr>
            <w:bookmarkStart w:id="15" w:name="_Toc28876"/>
            <w:bookmarkStart w:id="16" w:name="_Toc31810"/>
            <w:bookmarkStart w:id="17" w:name="_Toc32174"/>
            <w:r>
              <w:t>工程概况</w:t>
            </w:r>
            <w:bookmarkEnd w:id="15"/>
            <w:bookmarkEnd w:id="16"/>
            <w:bookmarkEnd w:id="17"/>
          </w:p>
          <w:p>
            <w:pPr>
              <w:pStyle w:val="5"/>
              <w:spacing w:before="120"/>
              <w:outlineLvl w:val="2"/>
            </w:pPr>
            <w:bookmarkStart w:id="18" w:name="_Toc7446"/>
            <w:bookmarkStart w:id="19" w:name="_Toc7532"/>
            <w:r>
              <w:t>项目基本概况</w:t>
            </w:r>
            <w:bookmarkEnd w:id="18"/>
            <w:bookmarkEnd w:id="19"/>
          </w:p>
          <w:p>
            <w:r>
              <w:rPr>
                <w:rFonts w:hint="eastAsia"/>
              </w:rPr>
              <w:t>（1）</w:t>
            </w:r>
            <w:r>
              <w:t>项目名称：</w:t>
            </w:r>
            <w:r>
              <w:rPr>
                <w:rFonts w:hint="eastAsia"/>
              </w:rPr>
              <w:t>鑫博创按摩器配件生产项目</w:t>
            </w:r>
          </w:p>
          <w:p>
            <w:r>
              <w:rPr>
                <w:rFonts w:hint="eastAsia"/>
              </w:rPr>
              <w:t>（2）</w:t>
            </w:r>
            <w:r>
              <w:t>建设单位：</w:t>
            </w:r>
            <w:r>
              <w:rPr>
                <w:rFonts w:hint="eastAsia"/>
              </w:rPr>
              <w:t>福州鑫博创工贸有限公司</w:t>
            </w:r>
          </w:p>
          <w:p>
            <w:pPr>
              <w:rPr>
                <w:rFonts w:hint="eastAsia" w:eastAsia="宋体"/>
                <w:lang w:eastAsia="zh-CN"/>
              </w:rPr>
            </w:pPr>
            <w:r>
              <w:rPr>
                <w:rFonts w:hint="eastAsia"/>
              </w:rPr>
              <w:t>（3）</w:t>
            </w:r>
            <w:r>
              <w:t>建设地点：</w:t>
            </w:r>
            <w:r>
              <w:rPr>
                <w:rFonts w:hint="eastAsia"/>
                <w:lang w:eastAsia="zh-CN"/>
              </w:rPr>
              <w:t>福建省福州市马尾区亭江镇亭江路66号福州（马尾）万洋众创（三期）B22#楼1层02厂房</w:t>
            </w:r>
          </w:p>
          <w:p>
            <w:r>
              <w:rPr>
                <w:rFonts w:hint="eastAsia"/>
              </w:rPr>
              <w:t>（4）</w:t>
            </w:r>
            <w:r>
              <w:t>建设性质：</w:t>
            </w:r>
            <w:r>
              <w:rPr>
                <w:rFonts w:hint="eastAsia"/>
              </w:rPr>
              <w:t>新建</w:t>
            </w:r>
          </w:p>
          <w:p>
            <w:r>
              <w:rPr>
                <w:rFonts w:hint="eastAsia"/>
              </w:rPr>
              <w:t>（5）</w:t>
            </w:r>
            <w:r>
              <w:t>项目投资：</w:t>
            </w:r>
            <w:r>
              <w:rPr>
                <w:rFonts w:hint="eastAsia"/>
              </w:rPr>
              <w:t>500</w:t>
            </w:r>
            <w:r>
              <w:t>万元</w:t>
            </w:r>
          </w:p>
          <w:p>
            <w:r>
              <w:rPr>
                <w:rFonts w:hint="eastAsia"/>
              </w:rPr>
              <w:t>（6）</w:t>
            </w:r>
            <w:r>
              <w:t>建设规模：</w:t>
            </w:r>
            <w:r>
              <w:rPr>
                <w:rFonts w:hint="eastAsia"/>
              </w:rPr>
              <w:t>占地面积</w:t>
            </w:r>
            <w:r>
              <w:rPr>
                <w:rFonts w:hint="eastAsia" w:cs="宋体"/>
              </w:rPr>
              <w:t>989.02</w:t>
            </w:r>
            <w:r>
              <w:t>m</w:t>
            </w:r>
            <w:r>
              <w:rPr>
                <w:vertAlign w:val="superscript"/>
              </w:rPr>
              <w:t>2</w:t>
            </w:r>
          </w:p>
          <w:p>
            <w:r>
              <w:rPr>
                <w:rFonts w:hint="eastAsia"/>
              </w:rPr>
              <w:t>（7）</w:t>
            </w:r>
            <w:r>
              <w:t>生产规模：</w:t>
            </w:r>
            <w:r>
              <w:rPr>
                <w:rFonts w:hint="eastAsia"/>
              </w:rPr>
              <w:t>年产8万件按摩器配件</w:t>
            </w:r>
          </w:p>
          <w:p>
            <w:r>
              <w:rPr>
                <w:rFonts w:hint="eastAsia"/>
              </w:rPr>
              <w:t>（</w:t>
            </w:r>
            <w:r>
              <w:t>8</w:t>
            </w:r>
            <w:r>
              <w:rPr>
                <w:rFonts w:hint="eastAsia"/>
              </w:rPr>
              <w:t>）</w:t>
            </w:r>
            <w:r>
              <w:t>生产定员：</w:t>
            </w:r>
            <w:r>
              <w:rPr>
                <w:rFonts w:hint="eastAsia"/>
              </w:rPr>
              <w:t>职工人数15</w:t>
            </w:r>
            <w:r>
              <w:t>人</w:t>
            </w:r>
            <w:r>
              <w:rPr>
                <w:rFonts w:hint="eastAsia"/>
              </w:rPr>
              <w:t>，均不在厂区内食宿</w:t>
            </w:r>
          </w:p>
          <w:p>
            <w:pPr>
              <w:rPr>
                <w:color w:val="000000"/>
                <w:szCs w:val="32"/>
              </w:rPr>
            </w:pPr>
            <w:r>
              <w:rPr>
                <w:rFonts w:hint="eastAsia"/>
              </w:rPr>
              <w:t>（</w:t>
            </w:r>
            <w:r>
              <w:t>9</w:t>
            </w:r>
            <w:r>
              <w:rPr>
                <w:rFonts w:hint="eastAsia"/>
              </w:rPr>
              <w:t>）</w:t>
            </w:r>
            <w:r>
              <w:t>工作制度：年工作日</w:t>
            </w:r>
            <w:r>
              <w:rPr>
                <w:rFonts w:hint="eastAsia"/>
              </w:rPr>
              <w:t>300</w:t>
            </w:r>
            <w:r>
              <w:t>天，实行</w:t>
            </w:r>
            <w:r>
              <w:rPr>
                <w:rFonts w:hint="eastAsia"/>
              </w:rPr>
              <w:t>单</w:t>
            </w:r>
            <w:r>
              <w:t>班制，工作时间</w:t>
            </w:r>
            <w:r>
              <w:rPr>
                <w:rFonts w:hint="eastAsia"/>
              </w:rPr>
              <w:t>8</w:t>
            </w:r>
            <w:r>
              <w:t>小时</w:t>
            </w:r>
            <w:r>
              <w:rPr>
                <w:rFonts w:hint="eastAsia"/>
              </w:rPr>
              <w:t>/天</w:t>
            </w:r>
          </w:p>
        </w:tc>
      </w:tr>
    </w:tbl>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pPr>
              <w:pStyle w:val="33"/>
              <w:adjustRightInd w:val="0"/>
              <w:snapToGrid w:val="0"/>
              <w:spacing w:before="0" w:beforeAutospacing="0" w:after="0" w:afterAutospacing="0"/>
              <w:ind w:firstLine="420"/>
              <w:jc w:val="center"/>
              <w:rPr>
                <w:rFonts w:ascii="Times New Roman" w:hAnsi="Times New Roman"/>
                <w:color w:val="000000"/>
                <w:sz w:val="21"/>
                <w:szCs w:val="21"/>
              </w:rPr>
            </w:pPr>
          </w:p>
        </w:tc>
        <w:tc>
          <w:tcPr>
            <w:tcW w:w="8637" w:type="dxa"/>
          </w:tcPr>
          <w:p>
            <w:pPr>
              <w:pStyle w:val="5"/>
              <w:spacing w:before="120"/>
            </w:pPr>
            <w:r>
              <w:rPr>
                <w:rFonts w:hint="eastAsia"/>
              </w:rPr>
              <w:t>项目</w:t>
            </w:r>
            <w:r>
              <w:t>产品方案</w:t>
            </w:r>
          </w:p>
          <w:p>
            <w:r>
              <w:t>根据建设单位提供资料，本项目主要生产</w:t>
            </w:r>
            <w:r>
              <w:rPr>
                <w:rFonts w:hint="eastAsia" w:ascii="宋体" w:hAnsi="宋体" w:cs="宋体"/>
              </w:rPr>
              <w:t>按摩器配件</w:t>
            </w:r>
            <w:r>
              <w:t>，项目具体产品方案详见表2.2-1。</w:t>
            </w:r>
          </w:p>
          <w:p>
            <w:pPr>
              <w:pStyle w:val="96"/>
            </w:pPr>
            <w:r>
              <w:t xml:space="preserve">表2.2-1  </w:t>
            </w:r>
            <w:r>
              <w:rPr>
                <w:rFonts w:hint="eastAsia"/>
              </w:rPr>
              <w:t>项目</w:t>
            </w:r>
            <w:r>
              <w:t>产品方案情况一览表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26"/>
              <w:gridCol w:w="3499"/>
              <w:gridCol w:w="359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8" w:type="pct"/>
                  <w:tcBorders>
                    <w:top w:val="single" w:color="000000" w:sz="12" w:space="0"/>
                    <w:bottom w:val="single" w:color="auto" w:sz="4" w:space="0"/>
                    <w:right w:val="single" w:color="auto" w:sz="4" w:space="0"/>
                    <w:tl2br w:val="nil"/>
                    <w:tr2bl w:val="nil"/>
                  </w:tcBorders>
                  <w:shd w:val="clear" w:color="auto" w:fill="auto"/>
                  <w:vAlign w:val="center"/>
                </w:tcPr>
                <w:p>
                  <w:pPr>
                    <w:pStyle w:val="53"/>
                    <w:rPr>
                      <w:b/>
                    </w:rPr>
                  </w:pPr>
                  <w:r>
                    <w:rPr>
                      <w:b/>
                    </w:rPr>
                    <w:t>序号</w:t>
                  </w:r>
                </w:p>
              </w:tc>
              <w:tc>
                <w:tcPr>
                  <w:tcW w:w="2077" w:type="pct"/>
                  <w:tcBorders>
                    <w:top w:val="single" w:color="000000" w:sz="12" w:space="0"/>
                    <w:left w:val="single" w:color="auto" w:sz="4" w:space="0"/>
                    <w:bottom w:val="single" w:color="auto" w:sz="4" w:space="0"/>
                    <w:right w:val="single" w:color="auto" w:sz="4" w:space="0"/>
                    <w:tl2br w:val="nil"/>
                    <w:tr2bl w:val="nil"/>
                  </w:tcBorders>
                  <w:shd w:val="clear" w:color="auto" w:fill="auto"/>
                  <w:vAlign w:val="center"/>
                </w:tcPr>
                <w:p>
                  <w:pPr>
                    <w:pStyle w:val="53"/>
                    <w:rPr>
                      <w:b/>
                    </w:rPr>
                  </w:pPr>
                  <w:r>
                    <w:rPr>
                      <w:b/>
                    </w:rPr>
                    <w:t>产品名称</w:t>
                  </w:r>
                </w:p>
              </w:tc>
              <w:tc>
                <w:tcPr>
                  <w:tcW w:w="2133" w:type="pct"/>
                  <w:tcBorders>
                    <w:top w:val="single" w:color="000000" w:sz="12" w:space="0"/>
                    <w:left w:val="single" w:color="auto" w:sz="4" w:space="0"/>
                    <w:bottom w:val="single" w:color="auto" w:sz="4" w:space="0"/>
                    <w:tl2br w:val="nil"/>
                    <w:tr2bl w:val="nil"/>
                  </w:tcBorders>
                  <w:shd w:val="clear" w:color="auto" w:fill="auto"/>
                  <w:vAlign w:val="center"/>
                </w:tcPr>
                <w:p>
                  <w:pPr>
                    <w:pStyle w:val="53"/>
                    <w:rPr>
                      <w:b/>
                    </w:rPr>
                  </w:pPr>
                  <w:r>
                    <w:rPr>
                      <w:b/>
                    </w:rPr>
                    <w:t>产品产量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8" w:type="pct"/>
                  <w:tcBorders>
                    <w:top w:val="single" w:color="auto" w:sz="4" w:space="0"/>
                    <w:bottom w:val="single" w:color="000000" w:sz="12" w:space="0"/>
                    <w:right w:val="single" w:color="auto" w:sz="4" w:space="0"/>
                    <w:tl2br w:val="nil"/>
                    <w:tr2bl w:val="nil"/>
                  </w:tcBorders>
                  <w:shd w:val="clear" w:color="auto" w:fill="auto"/>
                  <w:vAlign w:val="center"/>
                </w:tcPr>
                <w:p>
                  <w:pPr>
                    <w:pStyle w:val="53"/>
                  </w:pPr>
                  <w:r>
                    <w:t>1</w:t>
                  </w:r>
                </w:p>
              </w:tc>
              <w:tc>
                <w:tcPr>
                  <w:tcW w:w="3394" w:type="dxa"/>
                  <w:tcBorders>
                    <w:top w:val="single" w:color="auto" w:sz="4" w:space="0"/>
                    <w:left w:val="single" w:color="auto" w:sz="4" w:space="0"/>
                    <w:bottom w:val="single" w:color="000000" w:sz="12" w:space="0"/>
                    <w:right w:val="single" w:color="auto" w:sz="4" w:space="0"/>
                    <w:tl2br w:val="nil"/>
                    <w:tr2bl w:val="nil"/>
                  </w:tcBorders>
                  <w:shd w:val="clear" w:color="auto" w:fill="auto"/>
                  <w:vAlign w:val="center"/>
                </w:tcPr>
                <w:p>
                  <w:pPr>
                    <w:pStyle w:val="53"/>
                  </w:pPr>
                  <w:r>
                    <w:rPr>
                      <w:rFonts w:hint="eastAsia"/>
                    </w:rPr>
                    <w:t>按摩器配件</w:t>
                  </w:r>
                </w:p>
              </w:tc>
              <w:tc>
                <w:tcPr>
                  <w:tcW w:w="3486" w:type="dxa"/>
                  <w:tcBorders>
                    <w:top w:val="single" w:color="auto" w:sz="4" w:space="0"/>
                    <w:left w:val="single" w:color="auto" w:sz="4" w:space="0"/>
                    <w:bottom w:val="single" w:color="000000" w:sz="12" w:space="0"/>
                    <w:tl2br w:val="nil"/>
                    <w:tr2bl w:val="nil"/>
                  </w:tcBorders>
                  <w:shd w:val="clear" w:color="auto" w:fill="auto"/>
                  <w:vAlign w:val="center"/>
                </w:tcPr>
                <w:p>
                  <w:pPr>
                    <w:pStyle w:val="53"/>
                  </w:pPr>
                  <w:r>
                    <w:rPr>
                      <w:rFonts w:hint="eastAsia"/>
                    </w:rPr>
                    <w:t>8万件/年</w:t>
                  </w:r>
                </w:p>
              </w:tc>
            </w:tr>
          </w:tbl>
          <w:p>
            <w:pPr>
              <w:pStyle w:val="5"/>
              <w:spacing w:before="120"/>
            </w:pPr>
            <w:r>
              <w:rPr>
                <w:rFonts w:hint="eastAsia"/>
              </w:rPr>
              <w:t>项目</w:t>
            </w:r>
            <w:r>
              <w:t>组成及建设内容</w:t>
            </w:r>
          </w:p>
          <w:p>
            <w:r>
              <w:rPr>
                <w:rFonts w:hint="eastAsia"/>
              </w:rPr>
              <w:t>项目</w:t>
            </w:r>
            <w:r>
              <w:t>工程组成及建设内容见表2.2-2</w:t>
            </w:r>
            <w:r>
              <w:rPr>
                <w:rFonts w:hint="eastAsia"/>
              </w:rPr>
              <w:t>。</w:t>
            </w:r>
          </w:p>
          <w:p>
            <w:pPr>
              <w:pStyle w:val="96"/>
            </w:pPr>
            <w:r>
              <w:t>表2.2-2  工程主要建设内容一览表</w:t>
            </w:r>
          </w:p>
          <w:tbl>
            <w:tblPr>
              <w:tblStyle w:val="36"/>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967"/>
              <w:gridCol w:w="63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627" w:type="pct"/>
                  <w:tcBorders>
                    <w:tl2br w:val="nil"/>
                    <w:tr2bl w:val="nil"/>
                  </w:tcBorders>
                  <w:vAlign w:val="center"/>
                </w:tcPr>
                <w:p>
                  <w:pPr>
                    <w:pStyle w:val="53"/>
                    <w:rPr>
                      <w:b/>
                      <w:bCs/>
                    </w:rPr>
                  </w:pPr>
                  <w:r>
                    <w:rPr>
                      <w:b/>
                      <w:bCs/>
                    </w:rPr>
                    <w:t>类别</w:t>
                  </w:r>
                </w:p>
              </w:tc>
              <w:tc>
                <w:tcPr>
                  <w:tcW w:w="574" w:type="pct"/>
                  <w:tcBorders>
                    <w:tl2br w:val="nil"/>
                    <w:tr2bl w:val="nil"/>
                  </w:tcBorders>
                  <w:vAlign w:val="center"/>
                </w:tcPr>
                <w:p>
                  <w:pPr>
                    <w:pStyle w:val="53"/>
                    <w:rPr>
                      <w:b/>
                      <w:bCs/>
                    </w:rPr>
                  </w:pPr>
                  <w:r>
                    <w:rPr>
                      <w:b/>
                      <w:bCs/>
                    </w:rPr>
                    <w:t>项目组成</w:t>
                  </w:r>
                </w:p>
              </w:tc>
              <w:tc>
                <w:tcPr>
                  <w:tcW w:w="3798" w:type="pct"/>
                  <w:tcBorders>
                    <w:tl2br w:val="nil"/>
                    <w:tr2bl w:val="nil"/>
                  </w:tcBorders>
                  <w:vAlign w:val="center"/>
                </w:tcPr>
                <w:p>
                  <w:pPr>
                    <w:pStyle w:val="53"/>
                    <w:rPr>
                      <w:b/>
                      <w:bCs/>
                    </w:rPr>
                  </w:pPr>
                  <w:r>
                    <w:rPr>
                      <w:b/>
                      <w:bCs/>
                    </w:rPr>
                    <w:t>具体建设内容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627" w:type="pct"/>
                  <w:tcBorders>
                    <w:tl2br w:val="nil"/>
                    <w:tr2bl w:val="nil"/>
                  </w:tcBorders>
                  <w:vAlign w:val="center"/>
                </w:tcPr>
                <w:p>
                  <w:pPr>
                    <w:pStyle w:val="53"/>
                  </w:pPr>
                  <w:r>
                    <w:rPr>
                      <w:rFonts w:hint="eastAsia"/>
                    </w:rPr>
                    <w:t>主体工程</w:t>
                  </w:r>
                </w:p>
              </w:tc>
              <w:tc>
                <w:tcPr>
                  <w:tcW w:w="574" w:type="pct"/>
                  <w:tcBorders>
                    <w:tl2br w:val="nil"/>
                    <w:tr2bl w:val="nil"/>
                  </w:tcBorders>
                  <w:vAlign w:val="center"/>
                </w:tcPr>
                <w:p>
                  <w:pPr>
                    <w:pStyle w:val="53"/>
                  </w:pPr>
                  <w:r>
                    <w:rPr>
                      <w:rFonts w:hint="eastAsia"/>
                    </w:rPr>
                    <w:t>北侧</w:t>
                  </w:r>
                </w:p>
              </w:tc>
              <w:tc>
                <w:tcPr>
                  <w:tcW w:w="3798" w:type="pct"/>
                  <w:tcBorders>
                    <w:tl2br w:val="nil"/>
                    <w:tr2bl w:val="nil"/>
                  </w:tcBorders>
                  <w:vAlign w:val="center"/>
                </w:tcPr>
                <w:p>
                  <w:pPr>
                    <w:pStyle w:val="53"/>
                  </w:pPr>
                  <w:r>
                    <w:rPr>
                      <w:rFonts w:hint="eastAsia"/>
                    </w:rPr>
                    <w:t>设置注塑车间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27" w:type="pct"/>
                  <w:tcBorders>
                    <w:tl2br w:val="nil"/>
                    <w:tr2bl w:val="nil"/>
                  </w:tcBorders>
                  <w:vAlign w:val="center"/>
                </w:tcPr>
                <w:p>
                  <w:pPr>
                    <w:pStyle w:val="53"/>
                  </w:pPr>
                  <w:r>
                    <w:rPr>
                      <w:rFonts w:hint="eastAsia"/>
                    </w:rPr>
                    <w:t>辅助工程</w:t>
                  </w:r>
                </w:p>
              </w:tc>
              <w:tc>
                <w:tcPr>
                  <w:tcW w:w="574" w:type="pct"/>
                  <w:tcBorders>
                    <w:tl2br w:val="nil"/>
                    <w:tr2bl w:val="nil"/>
                  </w:tcBorders>
                  <w:vAlign w:val="center"/>
                </w:tcPr>
                <w:p>
                  <w:pPr>
                    <w:spacing w:line="240" w:lineRule="auto"/>
                    <w:ind w:firstLine="0" w:firstLineChars="0"/>
                    <w:jc w:val="center"/>
                  </w:pPr>
                  <w:r>
                    <w:rPr>
                      <w:rFonts w:hint="eastAsia"/>
                      <w:sz w:val="21"/>
                      <w:szCs w:val="21"/>
                    </w:rPr>
                    <w:t>南侧</w:t>
                  </w:r>
                </w:p>
              </w:tc>
              <w:tc>
                <w:tcPr>
                  <w:tcW w:w="3798" w:type="pct"/>
                  <w:tcBorders>
                    <w:tl2br w:val="nil"/>
                    <w:tr2bl w:val="nil"/>
                  </w:tcBorders>
                  <w:vAlign w:val="center"/>
                </w:tcPr>
                <w:p>
                  <w:pPr>
                    <w:spacing w:line="240" w:lineRule="auto"/>
                    <w:ind w:firstLine="0" w:firstLineChars="0"/>
                    <w:jc w:val="center"/>
                  </w:pPr>
                  <w:r>
                    <w:rPr>
                      <w:rFonts w:hint="eastAsia"/>
                      <w:sz w:val="21"/>
                      <w:szCs w:val="21"/>
                    </w:rPr>
                    <w:t>设置成品仓库、包材仓库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627" w:type="pct"/>
                  <w:vMerge w:val="restart"/>
                  <w:tcBorders>
                    <w:tl2br w:val="nil"/>
                    <w:tr2bl w:val="nil"/>
                  </w:tcBorders>
                  <w:vAlign w:val="center"/>
                </w:tcPr>
                <w:p>
                  <w:pPr>
                    <w:pStyle w:val="53"/>
                  </w:pPr>
                  <w:r>
                    <w:t>公用工程</w:t>
                  </w:r>
                </w:p>
              </w:tc>
              <w:tc>
                <w:tcPr>
                  <w:tcW w:w="574" w:type="pct"/>
                  <w:tcBorders>
                    <w:tl2br w:val="nil"/>
                    <w:tr2bl w:val="nil"/>
                  </w:tcBorders>
                  <w:vAlign w:val="center"/>
                </w:tcPr>
                <w:p>
                  <w:pPr>
                    <w:pStyle w:val="53"/>
                  </w:pPr>
                  <w:r>
                    <w:t>供水</w:t>
                  </w:r>
                </w:p>
              </w:tc>
              <w:tc>
                <w:tcPr>
                  <w:tcW w:w="3798" w:type="pct"/>
                  <w:tcBorders>
                    <w:tl2br w:val="nil"/>
                    <w:tr2bl w:val="nil"/>
                  </w:tcBorders>
                  <w:vAlign w:val="center"/>
                </w:tcPr>
                <w:p>
                  <w:pPr>
                    <w:pStyle w:val="53"/>
                  </w:pPr>
                  <w:r>
                    <w:t>接市政供水管网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627" w:type="pct"/>
                  <w:vMerge w:val="continue"/>
                  <w:tcBorders>
                    <w:tl2br w:val="nil"/>
                    <w:tr2bl w:val="nil"/>
                  </w:tcBorders>
                  <w:vAlign w:val="center"/>
                </w:tcPr>
                <w:p>
                  <w:pPr>
                    <w:pStyle w:val="53"/>
                  </w:pPr>
                </w:p>
              </w:tc>
              <w:tc>
                <w:tcPr>
                  <w:tcW w:w="574" w:type="pct"/>
                  <w:tcBorders>
                    <w:tl2br w:val="nil"/>
                    <w:tr2bl w:val="nil"/>
                  </w:tcBorders>
                  <w:vAlign w:val="center"/>
                </w:tcPr>
                <w:p>
                  <w:pPr>
                    <w:pStyle w:val="53"/>
                  </w:pPr>
                  <w:r>
                    <w:t>供电</w:t>
                  </w:r>
                </w:p>
              </w:tc>
              <w:tc>
                <w:tcPr>
                  <w:tcW w:w="3798" w:type="pct"/>
                  <w:tcBorders>
                    <w:tl2br w:val="nil"/>
                    <w:tr2bl w:val="nil"/>
                  </w:tcBorders>
                  <w:vAlign w:val="center"/>
                </w:tcPr>
                <w:p>
                  <w:pPr>
                    <w:pStyle w:val="53"/>
                  </w:pPr>
                  <w:r>
                    <w:rPr>
                      <w:rFonts w:hint="eastAsia"/>
                    </w:rPr>
                    <w:t>由市政电力系统提供</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627" w:type="pct"/>
                  <w:vMerge w:val="restart"/>
                  <w:tcBorders>
                    <w:tl2br w:val="nil"/>
                    <w:tr2bl w:val="nil"/>
                  </w:tcBorders>
                  <w:vAlign w:val="center"/>
                </w:tcPr>
                <w:p>
                  <w:pPr>
                    <w:pStyle w:val="53"/>
                  </w:pPr>
                  <w:r>
                    <w:t>环保工程</w:t>
                  </w:r>
                </w:p>
              </w:tc>
              <w:tc>
                <w:tcPr>
                  <w:tcW w:w="574" w:type="pct"/>
                  <w:tcBorders>
                    <w:tl2br w:val="nil"/>
                    <w:tr2bl w:val="nil"/>
                  </w:tcBorders>
                  <w:vAlign w:val="center"/>
                </w:tcPr>
                <w:p>
                  <w:pPr>
                    <w:pStyle w:val="53"/>
                  </w:pPr>
                  <w:r>
                    <w:rPr>
                      <w:rFonts w:hint="eastAsia"/>
                    </w:rPr>
                    <w:t>废水治理</w:t>
                  </w:r>
                </w:p>
              </w:tc>
              <w:tc>
                <w:tcPr>
                  <w:tcW w:w="3798" w:type="pct"/>
                  <w:tcBorders>
                    <w:tl2br w:val="nil"/>
                    <w:tr2bl w:val="nil"/>
                  </w:tcBorders>
                  <w:vAlign w:val="center"/>
                </w:tcPr>
                <w:p>
                  <w:pPr>
                    <w:pStyle w:val="53"/>
                  </w:pPr>
                  <w:r>
                    <w:rPr>
                      <w:rFonts w:hint="eastAsia"/>
                      <w:lang w:val="en-US" w:eastAsia="zh-CN"/>
                    </w:rPr>
                    <w:t>冷却水</w:t>
                  </w:r>
                  <w:r>
                    <w:rPr>
                      <w:rFonts w:hint="eastAsia"/>
                    </w:rPr>
                    <w:t>循环</w:t>
                  </w:r>
                  <w:r>
                    <w:rPr>
                      <w:rFonts w:hint="eastAsia"/>
                      <w:lang w:val="en-US" w:eastAsia="zh-CN"/>
                    </w:rPr>
                    <w:t>使用</w:t>
                  </w:r>
                  <w:r>
                    <w:rPr>
                      <w:rFonts w:hint="eastAsia"/>
                    </w:rPr>
                    <w:t>，不外排，生活污水依托万洋众创城已建化粪池处理达标后，经市政污水管网进入长安污水处理厂处理达标后排放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627" w:type="pct"/>
                  <w:vMerge w:val="continue"/>
                  <w:tcBorders>
                    <w:tl2br w:val="nil"/>
                    <w:tr2bl w:val="nil"/>
                  </w:tcBorders>
                  <w:vAlign w:val="center"/>
                </w:tcPr>
                <w:p>
                  <w:pPr>
                    <w:pStyle w:val="53"/>
                  </w:pPr>
                </w:p>
              </w:tc>
              <w:tc>
                <w:tcPr>
                  <w:tcW w:w="574" w:type="pct"/>
                  <w:tcBorders>
                    <w:tl2br w:val="nil"/>
                    <w:tr2bl w:val="nil"/>
                  </w:tcBorders>
                  <w:vAlign w:val="center"/>
                </w:tcPr>
                <w:p>
                  <w:pPr>
                    <w:pStyle w:val="53"/>
                  </w:pPr>
                  <w:r>
                    <w:rPr>
                      <w:rFonts w:hint="eastAsia"/>
                    </w:rPr>
                    <w:t>废气治理</w:t>
                  </w:r>
                </w:p>
              </w:tc>
              <w:tc>
                <w:tcPr>
                  <w:tcW w:w="3798" w:type="pct"/>
                  <w:tcBorders>
                    <w:tl2br w:val="nil"/>
                    <w:tr2bl w:val="nil"/>
                  </w:tcBorders>
                  <w:vAlign w:val="center"/>
                </w:tcPr>
                <w:p>
                  <w:pPr>
                    <w:pStyle w:val="53"/>
                  </w:pPr>
                  <w:r>
                    <w:rPr>
                      <w:rFonts w:hint="eastAsia"/>
                    </w:rPr>
                    <w:t>注塑有机废气经集气罩收集后通过“二级活性炭处理吸附装置”处理后由2</w:t>
                  </w:r>
                  <w:r>
                    <w:t>5m</w:t>
                  </w:r>
                  <w:r>
                    <w:rPr>
                      <w:rFonts w:hint="eastAsia"/>
                    </w:rPr>
                    <w:t>高</w:t>
                  </w:r>
                  <w:r>
                    <w:t>排气筒</w:t>
                  </w:r>
                  <w:r>
                    <w:rPr>
                      <w:rFonts w:hint="eastAsia"/>
                    </w:rPr>
                    <w:t>（DA001）排放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627" w:type="pct"/>
                  <w:vMerge w:val="continue"/>
                  <w:tcBorders>
                    <w:tl2br w:val="nil"/>
                    <w:tr2bl w:val="nil"/>
                  </w:tcBorders>
                  <w:vAlign w:val="center"/>
                </w:tcPr>
                <w:p>
                  <w:pPr>
                    <w:pStyle w:val="53"/>
                  </w:pPr>
                </w:p>
              </w:tc>
              <w:tc>
                <w:tcPr>
                  <w:tcW w:w="574" w:type="pct"/>
                  <w:tcBorders>
                    <w:tl2br w:val="nil"/>
                    <w:tr2bl w:val="nil"/>
                  </w:tcBorders>
                  <w:vAlign w:val="center"/>
                </w:tcPr>
                <w:p>
                  <w:pPr>
                    <w:pStyle w:val="53"/>
                  </w:pPr>
                  <w:r>
                    <w:t>固废处置</w:t>
                  </w:r>
                </w:p>
              </w:tc>
              <w:tc>
                <w:tcPr>
                  <w:tcW w:w="3798" w:type="pct"/>
                  <w:tcBorders>
                    <w:tl2br w:val="nil"/>
                    <w:tr2bl w:val="nil"/>
                  </w:tcBorders>
                  <w:vAlign w:val="center"/>
                </w:tcPr>
                <w:p>
                  <w:pPr>
                    <w:pStyle w:val="53"/>
                    <w:jc w:val="both"/>
                  </w:pPr>
                  <w:r>
                    <w:rPr>
                      <w:rFonts w:hint="eastAsia"/>
                    </w:rPr>
                    <w:t>1.</w:t>
                  </w:r>
                  <w:r>
                    <w:t>一般工业固废</w:t>
                  </w:r>
                  <w:r>
                    <w:rPr>
                      <w:rFonts w:hint="eastAsia"/>
                    </w:rPr>
                    <w:t>：</w:t>
                  </w:r>
                  <w:r>
                    <w:t>分类收集、暂存后外售综合利用</w:t>
                  </w:r>
                  <w:r>
                    <w:rPr>
                      <w:rFonts w:hint="eastAsia"/>
                    </w:rPr>
                    <w:t>；</w:t>
                  </w:r>
                </w:p>
                <w:p>
                  <w:pPr>
                    <w:pStyle w:val="53"/>
                    <w:jc w:val="both"/>
                  </w:pPr>
                  <w:r>
                    <w:rPr>
                      <w:rFonts w:hint="eastAsia"/>
                    </w:rPr>
                    <w:t>2.</w:t>
                  </w:r>
                  <w:r>
                    <w:t>危废废物</w:t>
                  </w:r>
                  <w:r>
                    <w:rPr>
                      <w:rFonts w:hint="eastAsia"/>
                    </w:rPr>
                    <w:t>：</w:t>
                  </w:r>
                  <w:r>
                    <w:t>危废</w:t>
                  </w:r>
                  <w:r>
                    <w:rPr>
                      <w:rFonts w:hint="eastAsia"/>
                    </w:rPr>
                    <w:t>贮存库</w:t>
                  </w:r>
                  <w:r>
                    <w:t>暂存，并由有资质的单位统一收集处置</w:t>
                  </w:r>
                  <w:r>
                    <w:rPr>
                      <w:rFonts w:hint="eastAsia"/>
                    </w:rPr>
                    <w:t>；</w:t>
                  </w:r>
                </w:p>
                <w:p>
                  <w:pPr>
                    <w:pStyle w:val="53"/>
                    <w:jc w:val="both"/>
                  </w:pPr>
                  <w:r>
                    <w:rPr>
                      <w:rFonts w:hint="eastAsia"/>
                    </w:rPr>
                    <w:t>3、</w:t>
                  </w:r>
                  <w:r>
                    <w:t>生活垃圾</w:t>
                  </w:r>
                  <w:r>
                    <w:rPr>
                      <w:rFonts w:hint="eastAsia"/>
                    </w:rPr>
                    <w:t>：</w:t>
                  </w:r>
                  <w:r>
                    <w:t>垃圾收集桶，由环卫部门每日清运处置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627" w:type="pct"/>
                  <w:vMerge w:val="continue"/>
                  <w:tcBorders>
                    <w:tl2br w:val="nil"/>
                    <w:tr2bl w:val="nil"/>
                  </w:tcBorders>
                  <w:vAlign w:val="center"/>
                </w:tcPr>
                <w:p>
                  <w:pPr>
                    <w:pStyle w:val="53"/>
                  </w:pPr>
                </w:p>
              </w:tc>
              <w:tc>
                <w:tcPr>
                  <w:tcW w:w="574" w:type="pct"/>
                  <w:tcBorders>
                    <w:tl2br w:val="nil"/>
                    <w:tr2bl w:val="nil"/>
                  </w:tcBorders>
                  <w:vAlign w:val="center"/>
                </w:tcPr>
                <w:p>
                  <w:pPr>
                    <w:pStyle w:val="53"/>
                  </w:pPr>
                  <w:r>
                    <w:t>噪声控制</w:t>
                  </w:r>
                </w:p>
              </w:tc>
              <w:tc>
                <w:tcPr>
                  <w:tcW w:w="3798" w:type="pct"/>
                  <w:tcBorders>
                    <w:tl2br w:val="nil"/>
                    <w:tr2bl w:val="nil"/>
                  </w:tcBorders>
                  <w:vAlign w:val="center"/>
                </w:tcPr>
                <w:p>
                  <w:pPr>
                    <w:pStyle w:val="53"/>
                  </w:pPr>
                  <w:r>
                    <w:rPr>
                      <w:rFonts w:hint="eastAsia"/>
                    </w:rPr>
                    <w:t>选用低噪音设备，基础减振，合理布局、建筑隔声</w:t>
                  </w:r>
                </w:p>
              </w:tc>
            </w:tr>
          </w:tbl>
          <w:p>
            <w:pPr>
              <w:pStyle w:val="5"/>
              <w:spacing w:before="120"/>
            </w:pPr>
            <w:r>
              <w:t>项目主要原辅材料及能源消耗</w:t>
            </w:r>
          </w:p>
          <w:p>
            <w:r>
              <w:rPr>
                <w:rFonts w:hint="eastAsia"/>
              </w:rPr>
              <w:t>（1）本</w:t>
            </w:r>
            <w:r>
              <w:t>项目主要原辅材料及能源消耗详见表2.2-</w:t>
            </w:r>
            <w:r>
              <w:rPr>
                <w:rFonts w:hint="eastAsia"/>
              </w:rPr>
              <w:t>3</w:t>
            </w:r>
            <w:r>
              <w:t>。</w:t>
            </w:r>
          </w:p>
          <w:p>
            <w:pPr>
              <w:pStyle w:val="96"/>
            </w:pPr>
            <w:r>
              <w:t>表2.2-</w:t>
            </w:r>
            <w:r>
              <w:rPr>
                <w:rFonts w:hint="eastAsia"/>
              </w:rPr>
              <w:t>3</w:t>
            </w:r>
            <w:r>
              <w:t xml:space="preserve">  主要原辅材料一览表</w:t>
            </w:r>
            <w:r>
              <w:rPr>
                <w:rFonts w:hint="eastAsia"/>
              </w:rPr>
              <w:t xml:space="preserve">   单位：t/a</w:t>
            </w:r>
          </w:p>
          <w:tbl>
            <w:tblPr>
              <w:tblStyle w:val="1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2"/>
              <w:gridCol w:w="3556"/>
              <w:gridCol w:w="1603"/>
              <w:gridCol w:w="1251"/>
              <w:gridCol w:w="1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top w:val="single" w:color="000000" w:sz="12" w:space="0"/>
                    <w:tl2br w:val="nil"/>
                  </w:tcBorders>
                  <w:shd w:val="clear" w:color="auto" w:fill="auto"/>
                  <w:vAlign w:val="center"/>
                </w:tcPr>
                <w:p>
                  <w:pPr>
                    <w:pStyle w:val="53"/>
                    <w:rPr>
                      <w:b/>
                      <w:bCs/>
                    </w:rPr>
                  </w:pPr>
                  <w:r>
                    <w:rPr>
                      <w:rFonts w:hint="eastAsia"/>
                      <w:b/>
                      <w:bCs/>
                    </w:rPr>
                    <w:t>序号</w:t>
                  </w:r>
                </w:p>
              </w:tc>
              <w:tc>
                <w:tcPr>
                  <w:tcW w:w="2112" w:type="pct"/>
                  <w:tcBorders>
                    <w:top w:val="single" w:color="000000" w:sz="12" w:space="0"/>
                  </w:tcBorders>
                  <w:shd w:val="clear" w:color="auto" w:fill="auto"/>
                  <w:vAlign w:val="center"/>
                </w:tcPr>
                <w:p>
                  <w:pPr>
                    <w:pStyle w:val="53"/>
                    <w:rPr>
                      <w:b/>
                      <w:bCs/>
                    </w:rPr>
                  </w:pPr>
                  <w:r>
                    <w:rPr>
                      <w:b/>
                      <w:bCs/>
                    </w:rPr>
                    <w:t>原辅材料名称</w:t>
                  </w:r>
                </w:p>
              </w:tc>
              <w:tc>
                <w:tcPr>
                  <w:tcW w:w="952" w:type="pct"/>
                  <w:tcBorders>
                    <w:top w:val="single" w:color="000000" w:sz="12" w:space="0"/>
                  </w:tcBorders>
                  <w:shd w:val="clear" w:color="auto" w:fill="auto"/>
                  <w:vAlign w:val="center"/>
                </w:tcPr>
                <w:p>
                  <w:pPr>
                    <w:pStyle w:val="53"/>
                    <w:rPr>
                      <w:b/>
                      <w:bCs/>
                    </w:rPr>
                  </w:pPr>
                  <w:r>
                    <w:rPr>
                      <w:rFonts w:hint="eastAsia"/>
                      <w:b/>
                      <w:bCs/>
                    </w:rPr>
                    <w:t>年用量</w:t>
                  </w:r>
                </w:p>
              </w:tc>
              <w:tc>
                <w:tcPr>
                  <w:tcW w:w="743" w:type="pct"/>
                  <w:tcBorders>
                    <w:top w:val="single" w:color="000000" w:sz="12" w:space="0"/>
                  </w:tcBorders>
                  <w:shd w:val="clear" w:color="auto" w:fill="auto"/>
                  <w:vAlign w:val="center"/>
                </w:tcPr>
                <w:p>
                  <w:pPr>
                    <w:pStyle w:val="53"/>
                    <w:rPr>
                      <w:b/>
                      <w:bCs/>
                    </w:rPr>
                  </w:pPr>
                  <w:r>
                    <w:rPr>
                      <w:b/>
                      <w:bCs/>
                    </w:rPr>
                    <w:t>用料环节</w:t>
                  </w:r>
                </w:p>
              </w:tc>
              <w:tc>
                <w:tcPr>
                  <w:tcW w:w="746" w:type="pct"/>
                  <w:tcBorders>
                    <w:top w:val="single" w:color="000000" w:sz="12" w:space="0"/>
                  </w:tcBorders>
                  <w:shd w:val="clear" w:color="auto" w:fill="auto"/>
                  <w:vAlign w:val="center"/>
                </w:tcPr>
                <w:p>
                  <w:pPr>
                    <w:pStyle w:val="53"/>
                    <w:rPr>
                      <w:b/>
                      <w:bCs/>
                    </w:rPr>
                  </w:pPr>
                  <w:r>
                    <w:rPr>
                      <w:b/>
                      <w:bCs/>
                    </w:rPr>
                    <w:t>物理形态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446" w:type="pct"/>
                  <w:shd w:val="clear" w:color="auto" w:fill="auto"/>
                  <w:vAlign w:val="center"/>
                </w:tcPr>
                <w:p>
                  <w:pPr>
                    <w:pStyle w:val="53"/>
                  </w:pPr>
                  <w:r>
                    <w:rPr>
                      <w:rFonts w:hint="eastAsia"/>
                    </w:rPr>
                    <w:t>1</w:t>
                  </w:r>
                </w:p>
              </w:tc>
              <w:tc>
                <w:tcPr>
                  <w:tcW w:w="2112" w:type="pct"/>
                  <w:shd w:val="clear" w:color="auto" w:fill="auto"/>
                  <w:vAlign w:val="center"/>
                </w:tcPr>
                <w:p>
                  <w:pPr>
                    <w:pStyle w:val="53"/>
                  </w:pPr>
                  <w:r>
                    <w:t>塑料原米（ABS）</w:t>
                  </w:r>
                </w:p>
              </w:tc>
              <w:tc>
                <w:tcPr>
                  <w:tcW w:w="952" w:type="pct"/>
                  <w:shd w:val="clear" w:color="auto" w:fill="auto"/>
                  <w:vAlign w:val="center"/>
                </w:tcPr>
                <w:p>
                  <w:pPr>
                    <w:pStyle w:val="53"/>
                  </w:pPr>
                  <w:r>
                    <w:rPr>
                      <w:rFonts w:hint="eastAsia"/>
                      <w:lang w:val="en-US" w:eastAsia="zh-CN"/>
                    </w:rPr>
                    <w:t>200</w:t>
                  </w:r>
                  <w:r>
                    <w:rPr>
                      <w:rFonts w:hint="eastAsia"/>
                    </w:rPr>
                    <w:t xml:space="preserve"> t/a</w:t>
                  </w:r>
                </w:p>
              </w:tc>
              <w:tc>
                <w:tcPr>
                  <w:tcW w:w="743" w:type="pct"/>
                  <w:shd w:val="clear" w:color="auto" w:fill="auto"/>
                  <w:vAlign w:val="center"/>
                </w:tcPr>
                <w:p>
                  <w:pPr>
                    <w:pStyle w:val="53"/>
                  </w:pPr>
                  <w:r>
                    <w:rPr>
                      <w:rFonts w:hint="eastAsia"/>
                    </w:rPr>
                    <w:t>注塑</w:t>
                  </w:r>
                </w:p>
              </w:tc>
              <w:tc>
                <w:tcPr>
                  <w:tcW w:w="746" w:type="pct"/>
                  <w:shd w:val="clear" w:color="auto" w:fill="auto"/>
                  <w:vAlign w:val="center"/>
                </w:tcPr>
                <w:p>
                  <w:pPr>
                    <w:pStyle w:val="53"/>
                  </w:pPr>
                  <w:r>
                    <w:rPr>
                      <w:rFonts w:hint="eastAsia"/>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5" w:hRule="atLeast"/>
              </w:trPr>
              <w:tc>
                <w:tcPr>
                  <w:tcW w:w="446" w:type="pct"/>
                  <w:shd w:val="clear" w:color="auto" w:fill="auto"/>
                  <w:vAlign w:val="center"/>
                </w:tcPr>
                <w:p>
                  <w:pPr>
                    <w:pStyle w:val="53"/>
                    <w:rPr>
                      <w:rFonts w:hint="eastAsia"/>
                    </w:rPr>
                  </w:pPr>
                </w:p>
              </w:tc>
              <w:tc>
                <w:tcPr>
                  <w:tcW w:w="2112" w:type="pct"/>
                  <w:shd w:val="clear" w:color="auto" w:fill="auto"/>
                  <w:vAlign w:val="center"/>
                </w:tcPr>
                <w:p>
                  <w:pPr>
                    <w:pStyle w:val="53"/>
                    <w:rPr>
                      <w:rFonts w:hint="eastAsia"/>
                    </w:rPr>
                  </w:pPr>
                  <w:r>
                    <w:t>塑料原米（PA）</w:t>
                  </w:r>
                </w:p>
              </w:tc>
              <w:tc>
                <w:tcPr>
                  <w:tcW w:w="952" w:type="pct"/>
                  <w:shd w:val="clear" w:color="auto" w:fill="auto"/>
                  <w:vAlign w:val="center"/>
                </w:tcPr>
                <w:p>
                  <w:pPr>
                    <w:pStyle w:val="53"/>
                    <w:rPr>
                      <w:rFonts w:hint="default" w:eastAsia="宋体"/>
                      <w:lang w:val="en-US" w:eastAsia="zh-CN"/>
                    </w:rPr>
                  </w:pPr>
                  <w:r>
                    <w:rPr>
                      <w:rFonts w:hint="eastAsia"/>
                      <w:lang w:val="en-US" w:eastAsia="zh-CN"/>
                    </w:rPr>
                    <w:t>100</w:t>
                  </w:r>
                  <w:r>
                    <w:rPr>
                      <w:rFonts w:hint="eastAsia"/>
                    </w:rPr>
                    <w:t>t/a</w:t>
                  </w:r>
                </w:p>
              </w:tc>
              <w:tc>
                <w:tcPr>
                  <w:tcW w:w="1251" w:type="dxa"/>
                  <w:shd w:val="clear" w:color="auto" w:fill="auto"/>
                  <w:vAlign w:val="center"/>
                </w:tcPr>
                <w:p>
                  <w:pPr>
                    <w:pStyle w:val="53"/>
                    <w:ind w:firstLine="0" w:firstLineChars="0"/>
                    <w:rPr>
                      <w:rFonts w:hint="eastAsia"/>
                    </w:rPr>
                  </w:pPr>
                  <w:r>
                    <w:rPr>
                      <w:rFonts w:hint="eastAsia"/>
                    </w:rPr>
                    <w:t>注塑</w:t>
                  </w:r>
                </w:p>
              </w:tc>
              <w:tc>
                <w:tcPr>
                  <w:tcW w:w="1256" w:type="dxa"/>
                  <w:shd w:val="clear" w:color="auto" w:fill="auto"/>
                  <w:vAlign w:val="center"/>
                </w:tcPr>
                <w:p>
                  <w:pPr>
                    <w:pStyle w:val="53"/>
                    <w:ind w:firstLine="0" w:firstLineChars="0"/>
                    <w:rPr>
                      <w:rFonts w:hint="eastAsia"/>
                    </w:rPr>
                  </w:pPr>
                  <w:r>
                    <w:rPr>
                      <w:rFonts w:hint="eastAsia"/>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446" w:type="pct"/>
                  <w:shd w:val="clear" w:color="auto" w:fill="auto"/>
                  <w:vAlign w:val="center"/>
                </w:tcPr>
                <w:p>
                  <w:pPr>
                    <w:pStyle w:val="53"/>
                    <w:rPr>
                      <w:rFonts w:hint="eastAsia"/>
                    </w:rPr>
                  </w:pPr>
                </w:p>
              </w:tc>
              <w:tc>
                <w:tcPr>
                  <w:tcW w:w="2112" w:type="pct"/>
                  <w:shd w:val="clear" w:color="auto" w:fill="auto"/>
                  <w:vAlign w:val="center"/>
                </w:tcPr>
                <w:p>
                  <w:pPr>
                    <w:pStyle w:val="53"/>
                    <w:rPr>
                      <w:rFonts w:hint="eastAsia"/>
                    </w:rPr>
                  </w:pPr>
                  <w:r>
                    <w:t>塑料原米（POM）</w:t>
                  </w:r>
                </w:p>
              </w:tc>
              <w:tc>
                <w:tcPr>
                  <w:tcW w:w="952" w:type="pct"/>
                  <w:shd w:val="clear" w:color="auto" w:fill="auto"/>
                  <w:vAlign w:val="center"/>
                </w:tcPr>
                <w:p>
                  <w:pPr>
                    <w:pStyle w:val="53"/>
                    <w:rPr>
                      <w:rFonts w:hint="default" w:eastAsia="宋体"/>
                      <w:lang w:val="en-US" w:eastAsia="zh-CN"/>
                    </w:rPr>
                  </w:pPr>
                  <w:r>
                    <w:rPr>
                      <w:rFonts w:hint="eastAsia"/>
                      <w:lang w:val="en-US" w:eastAsia="zh-CN"/>
                    </w:rPr>
                    <w:t>100</w:t>
                  </w:r>
                  <w:r>
                    <w:rPr>
                      <w:rFonts w:hint="eastAsia"/>
                    </w:rPr>
                    <w:t>t/a</w:t>
                  </w:r>
                </w:p>
              </w:tc>
              <w:tc>
                <w:tcPr>
                  <w:tcW w:w="1251" w:type="dxa"/>
                  <w:shd w:val="clear" w:color="auto" w:fill="auto"/>
                  <w:vAlign w:val="center"/>
                </w:tcPr>
                <w:p>
                  <w:pPr>
                    <w:pStyle w:val="53"/>
                    <w:ind w:firstLine="0" w:firstLineChars="0"/>
                    <w:rPr>
                      <w:rFonts w:hint="eastAsia"/>
                    </w:rPr>
                  </w:pPr>
                  <w:r>
                    <w:rPr>
                      <w:rFonts w:hint="eastAsia"/>
                    </w:rPr>
                    <w:t>注塑</w:t>
                  </w:r>
                </w:p>
              </w:tc>
              <w:tc>
                <w:tcPr>
                  <w:tcW w:w="1256" w:type="dxa"/>
                  <w:shd w:val="clear" w:color="auto" w:fill="auto"/>
                  <w:vAlign w:val="center"/>
                </w:tcPr>
                <w:p>
                  <w:pPr>
                    <w:pStyle w:val="53"/>
                    <w:ind w:firstLine="0" w:firstLineChars="0"/>
                    <w:rPr>
                      <w:rFonts w:hint="eastAsia"/>
                    </w:rPr>
                  </w:pPr>
                  <w:r>
                    <w:rPr>
                      <w:rFonts w:hint="eastAsia"/>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000" w:type="pct"/>
                  <w:gridSpan w:val="5"/>
                  <w:shd w:val="clear" w:color="auto" w:fill="auto"/>
                  <w:vAlign w:val="center"/>
                </w:tcPr>
                <w:p>
                  <w:pPr>
                    <w:pStyle w:val="53"/>
                  </w:pPr>
                  <w:r>
                    <w:rPr>
                      <w:rFonts w:hint="eastAsia"/>
                    </w:rPr>
                    <w:t>主要能源及水资料消耗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46" w:type="pct"/>
                  <w:shd w:val="clear" w:color="auto" w:fill="auto"/>
                  <w:vAlign w:val="center"/>
                </w:tcPr>
                <w:p>
                  <w:pPr>
                    <w:pStyle w:val="53"/>
                  </w:pPr>
                  <w:r>
                    <w:rPr>
                      <w:rFonts w:hint="eastAsia"/>
                    </w:rPr>
                    <w:t>1</w:t>
                  </w:r>
                </w:p>
              </w:tc>
              <w:tc>
                <w:tcPr>
                  <w:tcW w:w="2112" w:type="pct"/>
                  <w:shd w:val="clear" w:color="auto" w:fill="auto"/>
                  <w:vAlign w:val="center"/>
                </w:tcPr>
                <w:p>
                  <w:pPr>
                    <w:pStyle w:val="53"/>
                  </w:pPr>
                  <w:r>
                    <w:rPr>
                      <w:rFonts w:hint="eastAsia"/>
                    </w:rPr>
                    <w:t>水</w:t>
                  </w:r>
                </w:p>
              </w:tc>
              <w:tc>
                <w:tcPr>
                  <w:tcW w:w="952" w:type="pct"/>
                  <w:shd w:val="clear" w:color="auto" w:fill="auto"/>
                  <w:vAlign w:val="center"/>
                </w:tcPr>
                <w:p>
                  <w:pPr>
                    <w:pStyle w:val="53"/>
                  </w:pPr>
                  <w:r>
                    <w:rPr>
                      <w:rFonts w:hint="eastAsia"/>
                    </w:rPr>
                    <w:t>305.64t/a</w:t>
                  </w:r>
                </w:p>
              </w:tc>
              <w:tc>
                <w:tcPr>
                  <w:tcW w:w="743" w:type="pct"/>
                  <w:shd w:val="clear" w:color="auto" w:fill="auto"/>
                  <w:vAlign w:val="center"/>
                </w:tcPr>
                <w:p>
                  <w:pPr>
                    <w:pStyle w:val="53"/>
                  </w:pPr>
                  <w:r>
                    <w:rPr>
                      <w:rFonts w:hint="eastAsia"/>
                    </w:rPr>
                    <w:t>/</w:t>
                  </w:r>
                </w:p>
              </w:tc>
              <w:tc>
                <w:tcPr>
                  <w:tcW w:w="746" w:type="pct"/>
                  <w:shd w:val="clear" w:color="auto" w:fill="auto"/>
                  <w:vAlign w:val="center"/>
                </w:tcPr>
                <w:p>
                  <w:pPr>
                    <w:pStyle w:val="53"/>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bottom w:val="single" w:color="000000" w:sz="12" w:space="0"/>
                  </w:tcBorders>
                  <w:shd w:val="clear" w:color="auto" w:fill="auto"/>
                  <w:vAlign w:val="center"/>
                </w:tcPr>
                <w:p>
                  <w:pPr>
                    <w:pStyle w:val="53"/>
                  </w:pPr>
                  <w:r>
                    <w:rPr>
                      <w:rFonts w:hint="eastAsia"/>
                    </w:rPr>
                    <w:t>2</w:t>
                  </w:r>
                </w:p>
              </w:tc>
              <w:tc>
                <w:tcPr>
                  <w:tcW w:w="2112" w:type="pct"/>
                  <w:tcBorders>
                    <w:bottom w:val="single" w:color="000000" w:sz="12" w:space="0"/>
                  </w:tcBorders>
                  <w:shd w:val="clear" w:color="auto" w:fill="auto"/>
                  <w:vAlign w:val="center"/>
                </w:tcPr>
                <w:p>
                  <w:pPr>
                    <w:pStyle w:val="53"/>
                  </w:pPr>
                  <w:r>
                    <w:rPr>
                      <w:rFonts w:hint="eastAsia"/>
                    </w:rPr>
                    <w:t>电</w:t>
                  </w:r>
                </w:p>
              </w:tc>
              <w:tc>
                <w:tcPr>
                  <w:tcW w:w="952" w:type="pct"/>
                  <w:tcBorders>
                    <w:bottom w:val="single" w:color="000000" w:sz="12" w:space="0"/>
                  </w:tcBorders>
                  <w:shd w:val="clear" w:color="auto" w:fill="auto"/>
                  <w:vAlign w:val="center"/>
                </w:tcPr>
                <w:p>
                  <w:pPr>
                    <w:pStyle w:val="53"/>
                  </w:pPr>
                  <w:r>
                    <w:rPr>
                      <w:rFonts w:hint="eastAsia"/>
                    </w:rPr>
                    <w:t>14万kW</w:t>
                  </w:r>
                  <w:r>
                    <w:t>·h</w:t>
                  </w:r>
                </w:p>
              </w:tc>
              <w:tc>
                <w:tcPr>
                  <w:tcW w:w="743" w:type="pct"/>
                  <w:tcBorders>
                    <w:bottom w:val="single" w:color="000000" w:sz="12" w:space="0"/>
                  </w:tcBorders>
                  <w:shd w:val="clear" w:color="auto" w:fill="auto"/>
                  <w:vAlign w:val="center"/>
                </w:tcPr>
                <w:p>
                  <w:pPr>
                    <w:pStyle w:val="53"/>
                  </w:pPr>
                  <w:r>
                    <w:rPr>
                      <w:rFonts w:hint="eastAsia"/>
                    </w:rPr>
                    <w:t>/</w:t>
                  </w:r>
                </w:p>
              </w:tc>
              <w:tc>
                <w:tcPr>
                  <w:tcW w:w="746" w:type="pct"/>
                  <w:tcBorders>
                    <w:bottom w:val="single" w:color="000000" w:sz="12" w:space="0"/>
                  </w:tcBorders>
                  <w:shd w:val="clear" w:color="auto" w:fill="auto"/>
                  <w:vAlign w:val="center"/>
                </w:tcPr>
                <w:p>
                  <w:pPr>
                    <w:pStyle w:val="53"/>
                  </w:pPr>
                  <w:r>
                    <w:rPr>
                      <w:rFonts w:hint="eastAsia"/>
                    </w:rPr>
                    <w:t>/</w:t>
                  </w:r>
                </w:p>
              </w:tc>
            </w:tr>
          </w:tbl>
          <w:p>
            <w:pPr>
              <w:pStyle w:val="96"/>
            </w:pPr>
            <w:r>
              <w:t>表2.</w:t>
            </w:r>
            <w:r>
              <w:rPr>
                <w:rFonts w:hint="eastAsia"/>
              </w:rPr>
              <w:t>2</w:t>
            </w:r>
            <w:r>
              <w:t>-4 主要原辅材料性质介绍</w:t>
            </w:r>
          </w:p>
          <w:tbl>
            <w:tblPr>
              <w:tblStyle w:val="3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64"/>
              <w:gridCol w:w="6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23" w:type="pct"/>
                  <w:vAlign w:val="center"/>
                </w:tcPr>
                <w:p>
                  <w:pPr>
                    <w:pStyle w:val="53"/>
                    <w:rPr>
                      <w:b/>
                      <w:bCs/>
                    </w:rPr>
                  </w:pPr>
                  <w:r>
                    <w:rPr>
                      <w:b/>
                      <w:bCs/>
                    </w:rPr>
                    <w:t>序号</w:t>
                  </w:r>
                </w:p>
              </w:tc>
              <w:tc>
                <w:tcPr>
                  <w:tcW w:w="691" w:type="pct"/>
                  <w:vAlign w:val="center"/>
                </w:tcPr>
                <w:p>
                  <w:pPr>
                    <w:pStyle w:val="53"/>
                    <w:rPr>
                      <w:b/>
                      <w:bCs/>
                    </w:rPr>
                  </w:pPr>
                  <w:r>
                    <w:rPr>
                      <w:b/>
                      <w:bCs/>
                    </w:rPr>
                    <w:t>原料名称</w:t>
                  </w:r>
                </w:p>
              </w:tc>
              <w:tc>
                <w:tcPr>
                  <w:tcW w:w="3885" w:type="pct"/>
                  <w:vAlign w:val="center"/>
                </w:tcPr>
                <w:p>
                  <w:pPr>
                    <w:pStyle w:val="53"/>
                    <w:rPr>
                      <w:b/>
                      <w:bCs/>
                    </w:rPr>
                  </w:pPr>
                  <w:r>
                    <w:rPr>
                      <w:b/>
                      <w:bCs/>
                    </w:rPr>
                    <w:t>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pStyle w:val="53"/>
                  </w:pPr>
                  <w:r>
                    <w:t>1</w:t>
                  </w:r>
                </w:p>
              </w:tc>
              <w:tc>
                <w:tcPr>
                  <w:tcW w:w="691" w:type="pct"/>
                  <w:vAlign w:val="center"/>
                </w:tcPr>
                <w:p>
                  <w:pPr>
                    <w:pStyle w:val="53"/>
                  </w:pPr>
                  <w:r>
                    <w:t>ABS</w:t>
                  </w:r>
                </w:p>
              </w:tc>
              <w:tc>
                <w:tcPr>
                  <w:tcW w:w="3885" w:type="pct"/>
                  <w:vAlign w:val="center"/>
                </w:tcPr>
                <w:p>
                  <w:pPr>
                    <w:pStyle w:val="53"/>
                    <w:jc w:val="both"/>
                  </w:pPr>
                  <w:r>
                    <w:t>ABS塑料是丙烯腈</w:t>
                  </w:r>
                  <w:r>
                    <w:rPr>
                      <w:rFonts w:hint="eastAsia"/>
                    </w:rPr>
                    <w:t>（</w:t>
                  </w:r>
                  <w:r>
                    <w:t>A</w:t>
                  </w:r>
                  <w:r>
                    <w:rPr>
                      <w:rFonts w:hint="eastAsia"/>
                    </w:rPr>
                    <w:t>）</w:t>
                  </w:r>
                  <w:r>
                    <w:t>-丁二烯</w:t>
                  </w:r>
                  <w:r>
                    <w:rPr>
                      <w:rFonts w:hint="eastAsia"/>
                    </w:rPr>
                    <w:t>（</w:t>
                  </w:r>
                  <w:r>
                    <w:t>B</w:t>
                  </w:r>
                  <w:r>
                    <w:rPr>
                      <w:rFonts w:hint="eastAsia"/>
                    </w:rPr>
                    <w:t>）</w:t>
                  </w:r>
                  <w:r>
                    <w:t>-苯乙烯</w:t>
                  </w:r>
                  <w:r>
                    <w:rPr>
                      <w:rFonts w:hint="eastAsia"/>
                    </w:rPr>
                    <w:t>（</w:t>
                  </w:r>
                  <w:r>
                    <w:t>S</w:t>
                  </w:r>
                  <w:r>
                    <w:rPr>
                      <w:rFonts w:hint="eastAsia"/>
                    </w:rPr>
                    <w:t>）</w:t>
                  </w:r>
                  <w:r>
                    <w:t>的</w:t>
                  </w:r>
                  <w:r>
                    <w:fldChar w:fldCharType="begin"/>
                  </w:r>
                  <w:r>
                    <w:instrText xml:space="preserve"> HYPERLINK "https://baike.baidu.com/item/%E4%B8%89%E5%85%83%E5%85%B1%E8%81%9A%E7%89%A9/3558329" \t "https://baike.baidu.com/item/ABS%E5%A1%91%E6%96%99/_blank" </w:instrText>
                  </w:r>
                  <w:r>
                    <w:fldChar w:fldCharType="separate"/>
                  </w:r>
                  <w:r>
                    <w:t>三元共聚物</w:t>
                  </w:r>
                  <w:r>
                    <w:fldChar w:fldCharType="end"/>
                  </w:r>
                  <w:r>
                    <w:t>。它综合了三种组分的性能，其中丙烯腈具有高的硬度和强度、耐热性和耐腐蚀性；丁二烯具有抗冲击性和韧性；苯乙烯具有表面高光泽性、易着色性和易加工性。上述三组分的特性使ABS塑料成为一种</w:t>
                  </w:r>
                  <w:r>
                    <w:rPr>
                      <w:rFonts w:hint="eastAsia"/>
                    </w:rPr>
                    <w:t>“</w:t>
                  </w:r>
                  <w:r>
                    <w:t>质坚、性韧、刚性大</w:t>
                  </w:r>
                  <w:r>
                    <w:rPr>
                      <w:rFonts w:hint="eastAsia"/>
                    </w:rPr>
                    <w:t>”</w:t>
                  </w:r>
                  <w:r>
                    <w:t>的综合性能良好的</w:t>
                  </w:r>
                  <w:r>
                    <w:fldChar w:fldCharType="begin"/>
                  </w:r>
                  <w:r>
                    <w:instrText xml:space="preserve"> HYPERLINK "https://baike.baidu.com/item/%E7%83%AD%E5%A1%91%E6%80%A7%E5%A1%91%E6%96%99/1656083" \t "https://baike.baidu.com/item/ABS%E5%A1%91%E6%96%99/_blank" </w:instrText>
                  </w:r>
                  <w:r>
                    <w:fldChar w:fldCharType="separate"/>
                  </w:r>
                  <w:r>
                    <w:t>热塑性塑料</w:t>
                  </w:r>
                  <w:r>
                    <w:fldChar w:fldCharType="end"/>
                  </w:r>
                  <w:r>
                    <w:t>。</w:t>
                  </w:r>
                </w:p>
                <w:p>
                  <w:pPr>
                    <w:pStyle w:val="53"/>
                    <w:jc w:val="both"/>
                  </w:pPr>
                  <w:r>
                    <w:t>ABS塑料的成型加工性好，可采用注射、挤出、热成型等方法成型，可进行锯、钻、锉、磨等机械加工，可用</w:t>
                  </w:r>
                  <w:r>
                    <w:fldChar w:fldCharType="begin"/>
                  </w:r>
                  <w:r>
                    <w:instrText xml:space="preserve"> HYPERLINK "https://baike.baidu.com/item/%E4%B8%89%E6%B0%AF%E7%94%B2%E7%83%B7/5871021" \t "https://baike.baidu.com/item/ABS%E5%A1%91%E6%96%99/_blank" </w:instrText>
                  </w:r>
                  <w:r>
                    <w:fldChar w:fldCharType="separate"/>
                  </w:r>
                  <w:r>
                    <w:t>三氯甲烷</w:t>
                  </w:r>
                  <w:r>
                    <w:fldChar w:fldCharType="end"/>
                  </w:r>
                  <w:r>
                    <w:t>等有机溶剂粘接，还可进行涂饰、电镀等表面处理。ABS塑料还是理想的木材代用品和建筑材料等。ABS塑料强度高，轻便，表面硬度大，非常光滑，易清洁处理，尺寸稳定，抗蠕变性好，宜作电镀处理材料。其应用领域仍在不断扩大。ABS塑料在工业中应用极为广泛。ABS注射制品常用来制作壳体、箱体、零部件、玩具等。挤出制品多为板材、棒材、管材等，可进行热压、复合加工及制作模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pStyle w:val="53"/>
                  </w:pPr>
                  <w:r>
                    <w:rPr>
                      <w:rFonts w:hint="eastAsia"/>
                    </w:rPr>
                    <w:t>2</w:t>
                  </w:r>
                </w:p>
              </w:tc>
              <w:tc>
                <w:tcPr>
                  <w:tcW w:w="691" w:type="pct"/>
                  <w:vAlign w:val="center"/>
                </w:tcPr>
                <w:p>
                  <w:pPr>
                    <w:pStyle w:val="53"/>
                  </w:pPr>
                  <w:r>
                    <w:t>PA</w:t>
                  </w:r>
                </w:p>
              </w:tc>
              <w:tc>
                <w:tcPr>
                  <w:tcW w:w="3885" w:type="pct"/>
                  <w:vAlign w:val="center"/>
                </w:tcPr>
                <w:p>
                  <w:pPr>
                    <w:pStyle w:val="53"/>
                    <w:jc w:val="both"/>
                  </w:pPr>
                  <w:r>
                    <w:t>PA塑料即（聚酰胺树脂）英文名称：polyamide</w:t>
                  </w:r>
                  <w:r>
                    <w:rPr>
                      <w:rFonts w:hint="eastAsia"/>
                    </w:rPr>
                    <w:t>，</w:t>
                  </w:r>
                  <w:r>
                    <w:t>简称</w:t>
                  </w:r>
                  <w:r>
                    <w:rPr>
                      <w:rFonts w:hint="eastAsia"/>
                    </w:rPr>
                    <w:t>：</w:t>
                  </w:r>
                  <w:r>
                    <w:t>PA，俗称：尼龙（Nylom），它是大分子主链重复单元中含有酰胺基团的高聚物的总称。为五大工程塑料中产量最大、品种最多、用途最广的品种。尼龙中的主要品种比尼龙6和尼龙66，占绝对主导地位，尼龙6为聚己内酰胺，而尼龙66为聚己二酸己二胺，尼龙66比尼龙6要硬12%；其次是尼龙11，尼龙12，尼龙610</w:t>
                  </w:r>
                  <w:r>
                    <w:rPr>
                      <w:rFonts w:hint="eastAsia"/>
                    </w:rPr>
                    <w:t>，</w:t>
                  </w:r>
                  <w:r>
                    <w:t>尼龙612</w:t>
                  </w:r>
                  <w:r>
                    <w:rPr>
                      <w:rFonts w:hint="eastAsia"/>
                    </w:rPr>
                    <w:t>，</w:t>
                  </w:r>
                  <w:r>
                    <w:t>另外还有尼龙1010、尼龙46、尼龙7、尼龙9、尼龙13</w:t>
                  </w:r>
                  <w:r>
                    <w:rPr>
                      <w:rFonts w:hint="eastAsia"/>
                    </w:rPr>
                    <w:t>，</w:t>
                  </w:r>
                  <w:r>
                    <w:t>新品种有尼龙6I、尼龙9T和特殊尼龙MXD6（阻隔性树脂）等，尼龙的改性品种数量繁多，如增强尼龙、单体浇铸尼龙（MC尼龙）、反应注射成型（RIM）尼龙、芳香族尼龙、透明尼龙、高抗冲（超韧）尼龙、电镀尼龙、导电尼龙、助燃尼龙，尼龙与其他聚合物共混物和合金等，满足不同特殊要求，广泛用作金属，木材等传统材料代用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pStyle w:val="53"/>
                  </w:pPr>
                  <w:r>
                    <w:rPr>
                      <w:rFonts w:hint="eastAsia"/>
                    </w:rPr>
                    <w:t>3</w:t>
                  </w:r>
                </w:p>
              </w:tc>
              <w:tc>
                <w:tcPr>
                  <w:tcW w:w="691" w:type="pct"/>
                  <w:vAlign w:val="center"/>
                </w:tcPr>
                <w:p>
                  <w:pPr>
                    <w:pStyle w:val="53"/>
                  </w:pPr>
                  <w:r>
                    <w:t>POM</w:t>
                  </w:r>
                </w:p>
              </w:tc>
              <w:tc>
                <w:tcPr>
                  <w:tcW w:w="3885" w:type="pct"/>
                  <w:vAlign w:val="center"/>
                </w:tcPr>
                <w:p>
                  <w:pPr>
                    <w:pStyle w:val="53"/>
                    <w:jc w:val="both"/>
                  </w:pPr>
                  <w:r>
                    <w:t>POM原料，英文名polyoxymethylene（简称POM）中文叫</w:t>
                  </w:r>
                  <w:r>
                    <w:rPr>
                      <w:rFonts w:hint="eastAsia"/>
                    </w:rPr>
                    <w:t>聚甲醛</w:t>
                  </w:r>
                  <w:r>
                    <w:t>原料，又名聚氧化次甲基原料。分子结构规整和结晶性使其物理机械性能十分优异，有金属塑料之称。POM原料强度高，质轻，常用来代替铜、锌、锡、铅等有色金属，广泛用于工业机械、汽车、电子电器、日用品、管道及配件、精密仪器和建材等部门。</w:t>
                  </w:r>
                </w:p>
              </w:tc>
            </w:tr>
          </w:tbl>
          <w:p>
            <w:pPr>
              <w:pStyle w:val="5"/>
              <w:spacing w:before="120"/>
            </w:pPr>
            <w:r>
              <w:t>主要生产设备</w:t>
            </w:r>
          </w:p>
          <w:p>
            <w:pPr>
              <w:rPr>
                <w:b/>
                <w:bCs/>
                <w:color w:val="000000"/>
              </w:rPr>
            </w:pPr>
            <w:r>
              <w:t>本项目的主要生产设备详见表2.2-</w:t>
            </w:r>
            <w:r>
              <w:rPr>
                <w:rFonts w:hint="eastAsia"/>
              </w:rPr>
              <w:t>5</w:t>
            </w:r>
            <w:r>
              <w:t>。</w:t>
            </w:r>
          </w:p>
          <w:p>
            <w:pPr>
              <w:pStyle w:val="96"/>
            </w:pPr>
            <w:r>
              <w:t>表2.2-</w:t>
            </w:r>
            <w:r>
              <w:rPr>
                <w:rFonts w:hint="eastAsia"/>
              </w:rPr>
              <w:t>5</w:t>
            </w:r>
            <w:r>
              <w:t xml:space="preserve">  项目主要设备一览表</w:t>
            </w:r>
          </w:p>
          <w:tbl>
            <w:tblPr>
              <w:tblStyle w:val="36"/>
              <w:tblW w:w="4899"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2"/>
              <w:gridCol w:w="1891"/>
              <w:gridCol w:w="1375"/>
              <w:gridCol w:w="1289"/>
              <w:gridCol w:w="3154"/>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328" w:type="pct"/>
                  <w:tcBorders>
                    <w:tl2br w:val="nil"/>
                    <w:tr2bl w:val="nil"/>
                  </w:tcBorders>
                  <w:shd w:val="clear" w:color="auto" w:fill="auto"/>
                  <w:vAlign w:val="center"/>
                </w:tcPr>
                <w:p>
                  <w:pPr>
                    <w:pStyle w:val="53"/>
                    <w:rPr>
                      <w:b/>
                      <w:bCs/>
                    </w:rPr>
                  </w:pPr>
                  <w:r>
                    <w:rPr>
                      <w:b/>
                      <w:bCs/>
                    </w:rPr>
                    <w:t>序号</w:t>
                  </w:r>
                </w:p>
              </w:tc>
              <w:tc>
                <w:tcPr>
                  <w:tcW w:w="1146" w:type="pct"/>
                  <w:tcBorders>
                    <w:tl2br w:val="nil"/>
                    <w:tr2bl w:val="nil"/>
                  </w:tcBorders>
                  <w:shd w:val="clear" w:color="auto" w:fill="auto"/>
                  <w:vAlign w:val="center"/>
                </w:tcPr>
                <w:p>
                  <w:pPr>
                    <w:pStyle w:val="53"/>
                    <w:rPr>
                      <w:b/>
                      <w:bCs/>
                    </w:rPr>
                  </w:pPr>
                  <w:r>
                    <w:rPr>
                      <w:b/>
                      <w:bCs/>
                    </w:rPr>
                    <w:t>设备名称</w:t>
                  </w:r>
                </w:p>
              </w:tc>
              <w:tc>
                <w:tcPr>
                  <w:tcW w:w="833" w:type="pct"/>
                  <w:tcBorders>
                    <w:tl2br w:val="nil"/>
                    <w:tr2bl w:val="nil"/>
                  </w:tcBorders>
                  <w:shd w:val="clear" w:color="auto" w:fill="auto"/>
                  <w:vAlign w:val="center"/>
                </w:tcPr>
                <w:p>
                  <w:pPr>
                    <w:pStyle w:val="53"/>
                    <w:rPr>
                      <w:b/>
                      <w:bCs/>
                    </w:rPr>
                  </w:pPr>
                  <w:r>
                    <w:rPr>
                      <w:b/>
                      <w:bCs/>
                    </w:rPr>
                    <w:t>单位</w:t>
                  </w:r>
                </w:p>
              </w:tc>
              <w:tc>
                <w:tcPr>
                  <w:tcW w:w="781" w:type="pct"/>
                  <w:tcBorders>
                    <w:tl2br w:val="nil"/>
                    <w:tr2bl w:val="nil"/>
                  </w:tcBorders>
                  <w:shd w:val="clear" w:color="auto" w:fill="auto"/>
                  <w:vAlign w:val="center"/>
                </w:tcPr>
                <w:p>
                  <w:pPr>
                    <w:pStyle w:val="53"/>
                    <w:rPr>
                      <w:b/>
                      <w:bCs/>
                    </w:rPr>
                  </w:pPr>
                  <w:r>
                    <w:rPr>
                      <w:b/>
                      <w:bCs/>
                    </w:rPr>
                    <w:t>数量</w:t>
                  </w:r>
                </w:p>
              </w:tc>
              <w:tc>
                <w:tcPr>
                  <w:tcW w:w="1910" w:type="pct"/>
                  <w:tcBorders>
                    <w:tl2br w:val="nil"/>
                    <w:tr2bl w:val="nil"/>
                  </w:tcBorders>
                  <w:shd w:val="clear" w:color="auto" w:fill="auto"/>
                  <w:vAlign w:val="center"/>
                </w:tcPr>
                <w:p>
                  <w:pPr>
                    <w:pStyle w:val="53"/>
                    <w:rPr>
                      <w:b/>
                      <w:bCs/>
                    </w:rPr>
                  </w:pPr>
                  <w:r>
                    <w:rPr>
                      <w:b/>
                      <w:bCs/>
                    </w:rPr>
                    <w:t>对应工序</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328" w:type="pct"/>
                  <w:tcBorders>
                    <w:tl2br w:val="nil"/>
                    <w:tr2bl w:val="nil"/>
                  </w:tcBorders>
                  <w:shd w:val="clear" w:color="auto" w:fill="auto"/>
                  <w:vAlign w:val="center"/>
                </w:tcPr>
                <w:p>
                  <w:pPr>
                    <w:pStyle w:val="53"/>
                  </w:pPr>
                  <w:r>
                    <w:t>1</w:t>
                  </w:r>
                </w:p>
              </w:tc>
              <w:tc>
                <w:tcPr>
                  <w:tcW w:w="1146" w:type="pct"/>
                  <w:tcBorders>
                    <w:tl2br w:val="nil"/>
                    <w:tr2bl w:val="nil"/>
                  </w:tcBorders>
                  <w:shd w:val="clear" w:color="auto" w:fill="auto"/>
                  <w:vAlign w:val="center"/>
                </w:tcPr>
                <w:p>
                  <w:pPr>
                    <w:pStyle w:val="53"/>
                  </w:pPr>
                  <w:r>
                    <w:rPr>
                      <w:rFonts w:hint="eastAsia"/>
                    </w:rPr>
                    <w:t>注塑机</w:t>
                  </w:r>
                </w:p>
              </w:tc>
              <w:tc>
                <w:tcPr>
                  <w:tcW w:w="833" w:type="pct"/>
                  <w:tcBorders>
                    <w:tl2br w:val="nil"/>
                    <w:tr2bl w:val="nil"/>
                  </w:tcBorders>
                  <w:shd w:val="clear" w:color="auto" w:fill="auto"/>
                  <w:vAlign w:val="center"/>
                </w:tcPr>
                <w:p>
                  <w:pPr>
                    <w:pStyle w:val="53"/>
                  </w:pPr>
                  <w:r>
                    <w:t>台</w:t>
                  </w:r>
                </w:p>
              </w:tc>
              <w:tc>
                <w:tcPr>
                  <w:tcW w:w="781" w:type="pct"/>
                  <w:tcBorders>
                    <w:tl2br w:val="nil"/>
                    <w:tr2bl w:val="nil"/>
                  </w:tcBorders>
                  <w:shd w:val="clear" w:color="auto" w:fill="auto"/>
                  <w:vAlign w:val="center"/>
                </w:tcPr>
                <w:p>
                  <w:pPr>
                    <w:spacing w:line="240" w:lineRule="auto"/>
                    <w:ind w:firstLine="0" w:firstLineChars="0"/>
                    <w:jc w:val="center"/>
                  </w:pPr>
                  <w:r>
                    <w:rPr>
                      <w:rFonts w:hint="eastAsia"/>
                      <w:bCs/>
                      <w:sz w:val="21"/>
                      <w:szCs w:val="21"/>
                    </w:rPr>
                    <w:t>10</w:t>
                  </w:r>
                </w:p>
              </w:tc>
              <w:tc>
                <w:tcPr>
                  <w:tcW w:w="1910" w:type="pct"/>
                  <w:tcBorders>
                    <w:tl2br w:val="nil"/>
                    <w:tr2bl w:val="nil"/>
                  </w:tcBorders>
                  <w:shd w:val="clear" w:color="auto" w:fill="auto"/>
                  <w:vAlign w:val="center"/>
                </w:tcPr>
                <w:p>
                  <w:pPr>
                    <w:pStyle w:val="53"/>
                  </w:pPr>
                  <w:r>
                    <w:rPr>
                      <w:rFonts w:hint="eastAsia"/>
                    </w:rPr>
                    <w:t>注塑</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8" w:type="pct"/>
                  <w:tcBorders>
                    <w:tl2br w:val="nil"/>
                    <w:tr2bl w:val="nil"/>
                  </w:tcBorders>
                  <w:shd w:val="clear" w:color="auto" w:fill="auto"/>
                  <w:vAlign w:val="center"/>
                </w:tcPr>
                <w:p>
                  <w:pPr>
                    <w:pStyle w:val="53"/>
                  </w:pPr>
                  <w:r>
                    <w:rPr>
                      <w:rFonts w:hint="eastAsia"/>
                    </w:rPr>
                    <w:t>2</w:t>
                  </w:r>
                </w:p>
              </w:tc>
              <w:tc>
                <w:tcPr>
                  <w:tcW w:w="1146" w:type="pct"/>
                  <w:tcBorders>
                    <w:tl2br w:val="nil"/>
                    <w:tr2bl w:val="nil"/>
                  </w:tcBorders>
                  <w:shd w:val="clear" w:color="auto" w:fill="auto"/>
                  <w:vAlign w:val="center"/>
                </w:tcPr>
                <w:p>
                  <w:pPr>
                    <w:pStyle w:val="53"/>
                  </w:pPr>
                  <w:r>
                    <w:rPr>
                      <w:rFonts w:hint="eastAsia"/>
                    </w:rPr>
                    <w:t>螺杆空压机</w:t>
                  </w:r>
                </w:p>
              </w:tc>
              <w:tc>
                <w:tcPr>
                  <w:tcW w:w="833" w:type="pct"/>
                  <w:tcBorders>
                    <w:tl2br w:val="nil"/>
                    <w:tr2bl w:val="nil"/>
                  </w:tcBorders>
                  <w:shd w:val="clear" w:color="auto" w:fill="auto"/>
                  <w:vAlign w:val="center"/>
                </w:tcPr>
                <w:p>
                  <w:pPr>
                    <w:pStyle w:val="53"/>
                  </w:pPr>
                  <w:r>
                    <w:t>台</w:t>
                  </w:r>
                </w:p>
              </w:tc>
              <w:tc>
                <w:tcPr>
                  <w:tcW w:w="781" w:type="pct"/>
                  <w:tcBorders>
                    <w:tl2br w:val="nil"/>
                    <w:tr2bl w:val="nil"/>
                  </w:tcBorders>
                  <w:shd w:val="clear" w:color="auto" w:fill="auto"/>
                  <w:vAlign w:val="center"/>
                </w:tcPr>
                <w:p>
                  <w:pPr>
                    <w:spacing w:line="240" w:lineRule="auto"/>
                    <w:ind w:firstLine="0" w:firstLineChars="0"/>
                    <w:jc w:val="center"/>
                    <w:rPr>
                      <w:bCs/>
                      <w:sz w:val="21"/>
                      <w:szCs w:val="21"/>
                    </w:rPr>
                  </w:pPr>
                  <w:r>
                    <w:rPr>
                      <w:rFonts w:hint="eastAsia"/>
                      <w:bCs/>
                      <w:sz w:val="21"/>
                      <w:szCs w:val="21"/>
                    </w:rPr>
                    <w:t>1</w:t>
                  </w:r>
                </w:p>
              </w:tc>
              <w:tc>
                <w:tcPr>
                  <w:tcW w:w="1910" w:type="pct"/>
                  <w:tcBorders>
                    <w:tl2br w:val="nil"/>
                    <w:tr2bl w:val="nil"/>
                  </w:tcBorders>
                  <w:shd w:val="clear" w:color="auto" w:fill="auto"/>
                  <w:vAlign w:val="center"/>
                </w:tcPr>
                <w:p>
                  <w:pPr>
                    <w:pStyle w:val="53"/>
                  </w:pPr>
                  <w:r>
                    <w:rPr>
                      <w:rFonts w:hint="eastAsia"/>
                    </w:rPr>
                    <w:t>公用</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328" w:type="pct"/>
                  <w:tcBorders>
                    <w:tl2br w:val="nil"/>
                    <w:tr2bl w:val="nil"/>
                  </w:tcBorders>
                  <w:shd w:val="clear" w:color="auto" w:fill="auto"/>
                  <w:vAlign w:val="center"/>
                </w:tcPr>
                <w:p>
                  <w:pPr>
                    <w:pStyle w:val="53"/>
                  </w:pPr>
                  <w:r>
                    <w:rPr>
                      <w:rFonts w:hint="eastAsia"/>
                    </w:rPr>
                    <w:t>3</w:t>
                  </w:r>
                </w:p>
              </w:tc>
              <w:tc>
                <w:tcPr>
                  <w:tcW w:w="1146" w:type="pct"/>
                  <w:tcBorders>
                    <w:tl2br w:val="nil"/>
                    <w:tr2bl w:val="nil"/>
                  </w:tcBorders>
                  <w:shd w:val="clear" w:color="auto" w:fill="auto"/>
                  <w:vAlign w:val="center"/>
                </w:tcPr>
                <w:p>
                  <w:pPr>
                    <w:pStyle w:val="53"/>
                  </w:pPr>
                  <w:r>
                    <w:rPr>
                      <w:rFonts w:hint="eastAsia"/>
                    </w:rPr>
                    <w:t>破碎机</w:t>
                  </w:r>
                </w:p>
              </w:tc>
              <w:tc>
                <w:tcPr>
                  <w:tcW w:w="833" w:type="pct"/>
                  <w:tcBorders>
                    <w:tl2br w:val="nil"/>
                    <w:tr2bl w:val="nil"/>
                  </w:tcBorders>
                  <w:shd w:val="clear" w:color="auto" w:fill="auto"/>
                  <w:vAlign w:val="center"/>
                </w:tcPr>
                <w:p>
                  <w:pPr>
                    <w:pStyle w:val="53"/>
                  </w:pPr>
                  <w:r>
                    <w:rPr>
                      <w:rFonts w:hint="eastAsia"/>
                    </w:rPr>
                    <w:t>台</w:t>
                  </w:r>
                </w:p>
              </w:tc>
              <w:tc>
                <w:tcPr>
                  <w:tcW w:w="781" w:type="pct"/>
                  <w:tcBorders>
                    <w:tl2br w:val="nil"/>
                    <w:tr2bl w:val="nil"/>
                  </w:tcBorders>
                  <w:shd w:val="clear" w:color="auto" w:fill="auto"/>
                  <w:vAlign w:val="center"/>
                </w:tcPr>
                <w:p>
                  <w:pPr>
                    <w:spacing w:line="240" w:lineRule="auto"/>
                    <w:ind w:firstLine="0" w:firstLineChars="0"/>
                    <w:jc w:val="center"/>
                    <w:rPr>
                      <w:bCs/>
                      <w:sz w:val="21"/>
                      <w:szCs w:val="21"/>
                    </w:rPr>
                  </w:pPr>
                  <w:r>
                    <w:rPr>
                      <w:rFonts w:hint="eastAsia"/>
                      <w:bCs/>
                      <w:sz w:val="21"/>
                      <w:szCs w:val="21"/>
                    </w:rPr>
                    <w:t>1</w:t>
                  </w:r>
                </w:p>
              </w:tc>
              <w:tc>
                <w:tcPr>
                  <w:tcW w:w="1910" w:type="pct"/>
                  <w:tcBorders>
                    <w:tl2br w:val="nil"/>
                    <w:tr2bl w:val="nil"/>
                  </w:tcBorders>
                  <w:shd w:val="clear" w:color="auto" w:fill="auto"/>
                  <w:vAlign w:val="center"/>
                </w:tcPr>
                <w:p>
                  <w:pPr>
                    <w:pStyle w:val="53"/>
                  </w:pPr>
                  <w:r>
                    <w:rPr>
                      <w:rFonts w:hint="eastAsia"/>
                    </w:rPr>
                    <w:t>边角料破碎</w:t>
                  </w:r>
                </w:p>
              </w:tc>
            </w:tr>
          </w:tbl>
          <w:p>
            <w:pPr>
              <w:pStyle w:val="5"/>
              <w:spacing w:before="120"/>
            </w:pPr>
            <w:r>
              <w:t>水平衡</w:t>
            </w:r>
          </w:p>
          <w:p>
            <w:pPr>
              <w:rPr>
                <w:color w:val="000000"/>
                <w:lang w:bidi="zh-CN"/>
              </w:rPr>
            </w:pPr>
            <w:r>
              <w:rPr>
                <w:rFonts w:hint="eastAsia"/>
              </w:rPr>
              <w:t>1）生产用水（</w:t>
            </w:r>
            <w:r>
              <w:rPr>
                <w:rFonts w:hint="eastAsia"/>
                <w:color w:val="000000"/>
                <w:lang w:bidi="zh-CN"/>
              </w:rPr>
              <w:t>冷却</w:t>
            </w:r>
            <w:r>
              <w:rPr>
                <w:color w:val="000000"/>
                <w:lang w:bidi="zh-CN"/>
              </w:rPr>
              <w:t>用水</w:t>
            </w:r>
            <w:r>
              <w:rPr>
                <w:rFonts w:hint="eastAsia"/>
              </w:rPr>
              <w:t>）</w:t>
            </w:r>
          </w:p>
          <w:p>
            <w:pPr>
              <w:pStyle w:val="33"/>
              <w:widowControl w:val="0"/>
              <w:autoSpaceDE w:val="0"/>
              <w:autoSpaceDN w:val="0"/>
              <w:adjustRightInd w:val="0"/>
              <w:snapToGrid w:val="0"/>
              <w:spacing w:before="0" w:beforeAutospacing="0" w:after="0" w:afterAutospacing="0"/>
              <w:jc w:val="both"/>
              <w:textAlignment w:val="baseline"/>
              <w:rPr>
                <w:rFonts w:ascii="Times New Roman" w:hAnsi="Times New Roman"/>
                <w:color w:val="000000"/>
                <w:szCs w:val="24"/>
              </w:rPr>
            </w:pPr>
            <w:r>
              <w:rPr>
                <w:rFonts w:hint="eastAsia" w:ascii="Times New Roman" w:hAnsi="Times New Roman"/>
                <w:color w:val="000000"/>
                <w:szCs w:val="24"/>
              </w:rPr>
              <w:t>项目配套3m</w:t>
            </w:r>
            <w:r>
              <w:rPr>
                <w:rFonts w:hint="eastAsia" w:ascii="Times New Roman" w:hAnsi="Times New Roman"/>
                <w:color w:val="000000"/>
                <w:szCs w:val="24"/>
                <w:vertAlign w:val="superscript"/>
              </w:rPr>
              <w:t>3</w:t>
            </w:r>
            <w:r>
              <w:rPr>
                <w:rFonts w:hint="eastAsia" w:ascii="Times New Roman" w:hAnsi="Times New Roman"/>
                <w:color w:val="000000"/>
                <w:szCs w:val="24"/>
              </w:rPr>
              <w:t>冷却塔1座，用水量为塔容的80%，则冷却塔内的固定冷却水量约2.4t，冷却塔内的水每4个月更换一次，冷却水循环使用，不外排，只需每天补充挥发量，约占冷却水量的10%，即0.24t/d（72t/a），故冷却水量为2.64t/d（</w:t>
            </w:r>
            <w:r>
              <w:rPr>
                <w:rFonts w:hint="eastAsia" w:ascii="Times New Roman" w:hAnsi="Times New Roman"/>
                <w:color w:val="000000"/>
                <w:szCs w:val="24"/>
                <w:lang w:val="en-US" w:eastAsia="zh-CN"/>
              </w:rPr>
              <w:t>81.6</w:t>
            </w:r>
            <w:r>
              <w:rPr>
                <w:rFonts w:hint="eastAsia" w:ascii="Times New Roman" w:hAnsi="Times New Roman"/>
                <w:color w:val="000000"/>
                <w:szCs w:val="24"/>
              </w:rPr>
              <w:t>t/a）。</w:t>
            </w:r>
          </w:p>
          <w:p>
            <w:r>
              <w:rPr>
                <w:rFonts w:hint="eastAsia" w:ascii="宋体" w:hAnsi="宋体" w:cs="宋体"/>
              </w:rPr>
              <w:t>2）生活用水（</w:t>
            </w:r>
            <w:r>
              <w:t>职工生活用水</w:t>
            </w:r>
            <w:r>
              <w:rPr>
                <w:rFonts w:hint="eastAsia" w:ascii="宋体" w:hAnsi="宋体" w:cs="宋体"/>
              </w:rPr>
              <w:t>）</w:t>
            </w:r>
          </w:p>
          <w:p>
            <w:r>
              <w:t>本项目职工人数</w:t>
            </w:r>
            <w:r>
              <w:rPr>
                <w:rFonts w:hint="eastAsia"/>
              </w:rPr>
              <w:t>15</w:t>
            </w:r>
            <w:r>
              <w:t>人</w:t>
            </w:r>
            <w:r>
              <w:rPr>
                <w:rFonts w:hint="eastAsia"/>
              </w:rPr>
              <w:t>（</w:t>
            </w:r>
            <w:r>
              <w:t>包括生产人员、管理人员等</w:t>
            </w:r>
            <w:r>
              <w:rPr>
                <w:rFonts w:hint="eastAsia"/>
              </w:rPr>
              <w:t>）</w:t>
            </w:r>
            <w:r>
              <w:t>，均不住厂，根据《</w:t>
            </w:r>
            <w:r>
              <w:rPr>
                <w:rFonts w:hint="eastAsia"/>
              </w:rPr>
              <w:t>建筑给水排水设计标准</w:t>
            </w:r>
            <w:r>
              <w:t>》</w:t>
            </w:r>
            <w:r>
              <w:rPr>
                <w:rFonts w:hint="eastAsia"/>
              </w:rPr>
              <w:t>（GB 50015-2019）</w:t>
            </w:r>
            <w:r>
              <w:t>车间工人的生活用水定额应根据车间性质确定，本项目不住厂职工生活用水定额按50L/人·d计，年工作日按全年营业</w:t>
            </w:r>
            <w:r>
              <w:rPr>
                <w:rFonts w:hint="eastAsia"/>
              </w:rPr>
              <w:t>300</w:t>
            </w:r>
            <w:r>
              <w:t>天计，则本项目职工生活用水量约为</w:t>
            </w:r>
            <w:r>
              <w:rPr>
                <w:rFonts w:hint="eastAsia"/>
              </w:rPr>
              <w:t>0.75</w:t>
            </w:r>
            <w:r>
              <w:t>t/d</w:t>
            </w:r>
            <w:r>
              <w:rPr>
                <w:rFonts w:hint="eastAsia"/>
              </w:rPr>
              <w:t>（225</w:t>
            </w:r>
            <w:r>
              <w:t>t/a</w:t>
            </w:r>
            <w:r>
              <w:rPr>
                <w:rFonts w:hint="eastAsia"/>
              </w:rPr>
              <w:t>）</w:t>
            </w:r>
            <w:r>
              <w:t>，排放系数取0.8，则项目生活污水排放量</w:t>
            </w:r>
            <w:r>
              <w:rPr>
                <w:rFonts w:hint="eastAsia"/>
              </w:rPr>
              <w:t>0.6</w:t>
            </w:r>
            <w:r>
              <w:t>t/d</w:t>
            </w:r>
            <w:r>
              <w:rPr>
                <w:rFonts w:hint="eastAsia"/>
              </w:rPr>
              <w:t>（180</w:t>
            </w:r>
            <w:r>
              <w:t>t/a</w:t>
            </w:r>
            <w:r>
              <w:rPr>
                <w:rFonts w:hint="eastAsia"/>
              </w:rPr>
              <w:t>）</w:t>
            </w:r>
            <w:r>
              <w:t>。根据给水排水设计手册</w:t>
            </w:r>
            <w:r>
              <w:rPr>
                <w:rFonts w:hint="eastAsia"/>
              </w:rPr>
              <w:t>（</w:t>
            </w:r>
            <w:r>
              <w:t>第5册</w:t>
            </w:r>
            <w:r>
              <w:rPr>
                <w:rFonts w:hint="eastAsia"/>
              </w:rPr>
              <w:t>）</w:t>
            </w:r>
            <w:r>
              <w:t>中城镇污水水质，生活污水中各主要污染物浓度COD：400mg/L，BOD</w:t>
            </w:r>
            <w:r>
              <w:rPr>
                <w:vertAlign w:val="subscript"/>
              </w:rPr>
              <w:t>5</w:t>
            </w:r>
            <w:r>
              <w:rPr>
                <w:rFonts w:hint="eastAsia"/>
                <w:vertAlign w:val="subscript"/>
              </w:rPr>
              <w:t>:</w:t>
            </w:r>
            <w:r>
              <w:t>220mg/L，SS：200mg/L，NH</w:t>
            </w:r>
            <w:r>
              <w:rPr>
                <w:vertAlign w:val="subscript"/>
              </w:rPr>
              <w:t>3</w:t>
            </w:r>
            <w:r>
              <w:t>-N：35mg/L。</w:t>
            </w:r>
          </w:p>
          <w:p>
            <w:r>
              <w:t>项目水平衡图详见图2.2-</w:t>
            </w:r>
            <w:r>
              <w:rPr>
                <w:rFonts w:hint="eastAsia"/>
              </w:rPr>
              <w:t>1</w:t>
            </w:r>
            <w:r>
              <w:t>。</w:t>
            </w:r>
          </w:p>
          <w:p>
            <w:pPr>
              <w:widowControl/>
              <w:adjustRightInd w:val="0"/>
              <w:snapToGrid w:val="0"/>
              <w:ind w:firstLine="0" w:firstLineChars="0"/>
              <w:jc w:val="center"/>
              <w:rPr>
                <w:b/>
                <w:bCs/>
                <w:color w:val="000000"/>
                <w:lang w:bidi="zh-CN"/>
              </w:rPr>
            </w:pPr>
            <w:r>
              <w:rPr>
                <w:b/>
                <w:bCs/>
                <w:color w:val="000000"/>
              </w:rPr>
              <w:drawing>
                <wp:inline distT="0" distB="0" distL="114300" distR="114300">
                  <wp:extent cx="5181600" cy="1774825"/>
                  <wp:effectExtent l="0" t="0" r="0" b="15875"/>
                  <wp:docPr id="227" name="F360BE8B-6686-4F3D-AEAF-501FE73E4058-1" descr="C:/Users/Administrator/AppData/Local/Temp/绘图3.png绘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360BE8B-6686-4F3D-AEAF-501FE73E4058-1" descr="C:/Users/Administrator/AppData/Local/Temp/绘图3.png绘图3"/>
                          <pic:cNvPicPr>
                            <a:picLocks noChangeAspect="1"/>
                          </pic:cNvPicPr>
                        </pic:nvPicPr>
                        <pic:blipFill>
                          <a:blip r:embed="rId17"/>
                          <a:srcRect t="1573"/>
                          <a:stretch>
                            <a:fillRect/>
                          </a:stretch>
                        </pic:blipFill>
                        <pic:spPr>
                          <a:xfrm>
                            <a:off x="0" y="0"/>
                            <a:ext cx="5181600" cy="1774825"/>
                          </a:xfrm>
                          <a:prstGeom prst="rect">
                            <a:avLst/>
                          </a:prstGeom>
                        </pic:spPr>
                      </pic:pic>
                    </a:graphicData>
                  </a:graphic>
                </wp:inline>
              </w:drawing>
            </w:r>
          </w:p>
          <w:p>
            <w:pPr>
              <w:pStyle w:val="96"/>
              <w:rPr>
                <w:rFonts w:hint="eastAsia" w:eastAsia="宋体"/>
                <w:lang w:val="en-US" w:eastAsia="zh-CN"/>
              </w:rPr>
            </w:pPr>
            <w:r>
              <w:t>图2.</w:t>
            </w:r>
            <w:r>
              <w:rPr>
                <w:rFonts w:hint="eastAsia"/>
              </w:rPr>
              <w:t>2</w:t>
            </w:r>
            <w:r>
              <w:t>-</w:t>
            </w:r>
            <w:r>
              <w:rPr>
                <w:rFonts w:hint="eastAsia"/>
              </w:rPr>
              <w:t>1</w:t>
            </w:r>
            <w:r>
              <w:t xml:space="preserve"> 项目工程水平衡图  单位：</w:t>
            </w:r>
            <w:r>
              <w:rPr>
                <w:rFonts w:hint="eastAsia"/>
              </w:rPr>
              <w:t>t</w:t>
            </w:r>
            <w:r>
              <w:t>/</w:t>
            </w:r>
            <w:r>
              <w:rPr>
                <w:rFonts w:hint="eastAsia"/>
                <w:lang w:val="en-US" w:eastAsia="zh-CN"/>
              </w:rPr>
              <w:t>d</w:t>
            </w:r>
          </w:p>
          <w:p>
            <w:pPr>
              <w:pStyle w:val="5"/>
              <w:spacing w:before="120"/>
            </w:pPr>
            <w:r>
              <w:rPr>
                <w:rFonts w:hint="eastAsia"/>
              </w:rPr>
              <w:t>物料平衡</w:t>
            </w:r>
          </w:p>
          <w:p>
            <w:pPr>
              <w:pStyle w:val="96"/>
            </w:pPr>
            <w:r>
              <w:rPr>
                <w:rFonts w:hint="eastAsia"/>
              </w:rPr>
              <w:t>表2.2-6  物料平衡表</w:t>
            </w:r>
          </w:p>
          <w:tbl>
            <w:tblPr>
              <w:tblStyle w:val="37"/>
              <w:tblW w:w="817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873"/>
              <w:gridCol w:w="3287"/>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3709" w:type="dxa"/>
                  <w:gridSpan w:val="2"/>
                  <w:tcBorders>
                    <w:top w:val="single" w:color="000000" w:sz="12" w:space="0"/>
                    <w:tl2br w:val="nil"/>
                    <w:tr2bl w:val="nil"/>
                  </w:tcBorders>
                  <w:shd w:val="clear" w:color="auto" w:fill="auto"/>
                  <w:vAlign w:val="center"/>
                </w:tcPr>
                <w:p>
                  <w:pPr>
                    <w:pStyle w:val="53"/>
                    <w:rPr>
                      <w:b/>
                      <w:bCs/>
                    </w:rPr>
                  </w:pPr>
                  <w:r>
                    <w:rPr>
                      <w:rFonts w:hint="eastAsia"/>
                      <w:b/>
                      <w:bCs/>
                    </w:rPr>
                    <w:t>投入</w:t>
                  </w:r>
                </w:p>
              </w:tc>
              <w:tc>
                <w:tcPr>
                  <w:tcW w:w="4470" w:type="dxa"/>
                  <w:gridSpan w:val="2"/>
                  <w:tcBorders>
                    <w:top w:val="single" w:color="000000" w:sz="12" w:space="0"/>
                    <w:tl2br w:val="nil"/>
                    <w:tr2bl w:val="nil"/>
                  </w:tcBorders>
                  <w:shd w:val="clear" w:color="auto" w:fill="auto"/>
                  <w:vAlign w:val="center"/>
                </w:tcPr>
                <w:p>
                  <w:pPr>
                    <w:pStyle w:val="53"/>
                    <w:rPr>
                      <w:b/>
                      <w:bCs/>
                    </w:rPr>
                  </w:pPr>
                  <w:r>
                    <w:rPr>
                      <w:rFonts w:hint="eastAsia"/>
                      <w:b/>
                      <w:bCs/>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179" w:type="dxa"/>
                  <w:gridSpan w:val="4"/>
                  <w:tcBorders>
                    <w:tl2br w:val="nil"/>
                    <w:tr2bl w:val="nil"/>
                  </w:tcBorders>
                  <w:shd w:val="clear" w:color="auto" w:fill="auto"/>
                  <w:vAlign w:val="center"/>
                </w:tcPr>
                <w:p>
                  <w:pPr>
                    <w:pStyle w:val="53"/>
                  </w:pPr>
                  <w:r>
                    <w:rPr>
                      <w:rFonts w:hint="eastAsia"/>
                    </w:rPr>
                    <w:t>按摩器配件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36" w:type="dxa"/>
                  <w:tcBorders>
                    <w:tl2br w:val="nil"/>
                    <w:tr2bl w:val="nil"/>
                  </w:tcBorders>
                  <w:shd w:val="clear" w:color="auto" w:fill="auto"/>
                  <w:vAlign w:val="center"/>
                </w:tcPr>
                <w:p>
                  <w:pPr>
                    <w:pStyle w:val="53"/>
                  </w:pPr>
                  <w:r>
                    <w:rPr>
                      <w:rFonts w:hint="eastAsia"/>
                    </w:rPr>
                    <w:t>物料名称</w:t>
                  </w:r>
                </w:p>
              </w:tc>
              <w:tc>
                <w:tcPr>
                  <w:tcW w:w="1873" w:type="dxa"/>
                  <w:tcBorders>
                    <w:tl2br w:val="nil"/>
                    <w:tr2bl w:val="nil"/>
                  </w:tcBorders>
                  <w:shd w:val="clear" w:color="auto" w:fill="auto"/>
                  <w:vAlign w:val="center"/>
                </w:tcPr>
                <w:p>
                  <w:pPr>
                    <w:pStyle w:val="53"/>
                  </w:pPr>
                  <w:r>
                    <w:rPr>
                      <w:rFonts w:hint="eastAsia"/>
                    </w:rPr>
                    <w:t>投入量（</w:t>
                  </w:r>
                  <w:r>
                    <w:t>t/a</w:t>
                  </w:r>
                  <w:r>
                    <w:rPr>
                      <w:rFonts w:hint="eastAsia"/>
                    </w:rPr>
                    <w:t>）</w:t>
                  </w:r>
                </w:p>
              </w:tc>
              <w:tc>
                <w:tcPr>
                  <w:tcW w:w="3287" w:type="dxa"/>
                  <w:tcBorders>
                    <w:tl2br w:val="nil"/>
                    <w:tr2bl w:val="nil"/>
                  </w:tcBorders>
                  <w:shd w:val="clear" w:color="auto" w:fill="auto"/>
                  <w:vAlign w:val="center"/>
                </w:tcPr>
                <w:p>
                  <w:pPr>
                    <w:pStyle w:val="53"/>
                  </w:pPr>
                  <w:r>
                    <w:rPr>
                      <w:rFonts w:hint="eastAsia"/>
                    </w:rPr>
                    <w:t>产出</w:t>
                  </w:r>
                </w:p>
              </w:tc>
              <w:tc>
                <w:tcPr>
                  <w:tcW w:w="1183" w:type="dxa"/>
                  <w:tcBorders>
                    <w:tl2br w:val="nil"/>
                    <w:tr2bl w:val="nil"/>
                  </w:tcBorders>
                  <w:shd w:val="clear" w:color="auto" w:fill="auto"/>
                  <w:vAlign w:val="center"/>
                </w:tcPr>
                <w:p>
                  <w:pPr>
                    <w:pStyle w:val="53"/>
                  </w:pPr>
                  <w:r>
                    <w:rPr>
                      <w:rFonts w:hint="eastAsia"/>
                    </w:rPr>
                    <w:t>产出量（</w:t>
                  </w:r>
                  <w:r>
                    <w:t>t/a</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836" w:type="dxa"/>
                  <w:tcBorders>
                    <w:tl2br w:val="nil"/>
                    <w:tr2bl w:val="nil"/>
                  </w:tcBorders>
                  <w:shd w:val="clear" w:color="auto" w:fill="auto"/>
                  <w:vAlign w:val="center"/>
                </w:tcPr>
                <w:p>
                  <w:pPr>
                    <w:pStyle w:val="53"/>
                    <w:ind w:firstLine="0" w:firstLineChars="0"/>
                  </w:pPr>
                  <w:r>
                    <w:t>塑料原米（ABS）</w:t>
                  </w:r>
                </w:p>
              </w:tc>
              <w:tc>
                <w:tcPr>
                  <w:tcW w:w="1873" w:type="dxa"/>
                  <w:tcBorders>
                    <w:tl2br w:val="nil"/>
                    <w:tr2bl w:val="nil"/>
                  </w:tcBorders>
                  <w:shd w:val="clear" w:color="auto" w:fill="auto"/>
                  <w:vAlign w:val="center"/>
                </w:tcPr>
                <w:p>
                  <w:pPr>
                    <w:pStyle w:val="53"/>
                    <w:rPr>
                      <w:rFonts w:hint="default" w:eastAsia="宋体"/>
                      <w:lang w:val="en-US" w:eastAsia="zh-CN"/>
                    </w:rPr>
                  </w:pPr>
                  <w:r>
                    <w:rPr>
                      <w:rFonts w:hint="eastAsia"/>
                      <w:lang w:val="en-US" w:eastAsia="zh-CN"/>
                    </w:rPr>
                    <w:t>200</w:t>
                  </w:r>
                </w:p>
              </w:tc>
              <w:tc>
                <w:tcPr>
                  <w:tcW w:w="3287" w:type="dxa"/>
                  <w:tcBorders>
                    <w:tl2br w:val="nil"/>
                    <w:tr2bl w:val="nil"/>
                  </w:tcBorders>
                  <w:shd w:val="clear" w:color="auto" w:fill="auto"/>
                  <w:vAlign w:val="center"/>
                </w:tcPr>
                <w:p>
                  <w:pPr>
                    <w:pStyle w:val="53"/>
                  </w:pPr>
                  <w:r>
                    <w:rPr>
                      <w:rFonts w:hint="eastAsia"/>
                    </w:rPr>
                    <w:t>有机废气</w:t>
                  </w:r>
                </w:p>
              </w:tc>
              <w:tc>
                <w:tcPr>
                  <w:tcW w:w="1183" w:type="dxa"/>
                  <w:tcBorders>
                    <w:tl2br w:val="nil"/>
                    <w:tr2bl w:val="nil"/>
                  </w:tcBorders>
                  <w:shd w:val="clear" w:color="auto" w:fill="auto"/>
                  <w:vAlign w:val="center"/>
                </w:tcPr>
                <w:p>
                  <w:pPr>
                    <w:pStyle w:val="53"/>
                  </w:pPr>
                  <w: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0" w:hRule="atLeast"/>
              </w:trPr>
              <w:tc>
                <w:tcPr>
                  <w:tcW w:w="1836" w:type="dxa"/>
                  <w:tcBorders>
                    <w:tl2br w:val="nil"/>
                    <w:tr2bl w:val="nil"/>
                  </w:tcBorders>
                  <w:shd w:val="clear" w:color="auto" w:fill="auto"/>
                  <w:vAlign w:val="center"/>
                </w:tcPr>
                <w:p>
                  <w:pPr>
                    <w:pStyle w:val="53"/>
                    <w:ind w:firstLine="0" w:firstLineChars="0"/>
                  </w:pPr>
                  <w:r>
                    <w:t>塑料原米（PA）</w:t>
                  </w:r>
                </w:p>
              </w:tc>
              <w:tc>
                <w:tcPr>
                  <w:tcW w:w="1873" w:type="dxa"/>
                  <w:tcBorders>
                    <w:tl2br w:val="nil"/>
                    <w:tr2bl w:val="nil"/>
                  </w:tcBorders>
                  <w:shd w:val="clear" w:color="auto" w:fill="auto"/>
                  <w:vAlign w:val="center"/>
                </w:tcPr>
                <w:p>
                  <w:pPr>
                    <w:pStyle w:val="53"/>
                    <w:rPr>
                      <w:rFonts w:hint="default" w:eastAsia="宋体"/>
                      <w:lang w:val="en-US" w:eastAsia="zh-CN"/>
                    </w:rPr>
                  </w:pPr>
                  <w:r>
                    <w:rPr>
                      <w:rFonts w:hint="eastAsia"/>
                      <w:lang w:val="en-US" w:eastAsia="zh-CN"/>
                    </w:rPr>
                    <w:t>100</w:t>
                  </w:r>
                </w:p>
              </w:tc>
              <w:tc>
                <w:tcPr>
                  <w:tcW w:w="3287" w:type="dxa"/>
                  <w:tcBorders>
                    <w:tl2br w:val="nil"/>
                    <w:tr2bl w:val="nil"/>
                  </w:tcBorders>
                  <w:shd w:val="clear" w:color="auto" w:fill="auto"/>
                  <w:vAlign w:val="center"/>
                </w:tcPr>
                <w:p>
                  <w:pPr>
                    <w:pStyle w:val="53"/>
                  </w:pPr>
                  <w:r>
                    <w:rPr>
                      <w:rFonts w:hint="eastAsia"/>
                    </w:rPr>
                    <w:t>边角料</w:t>
                  </w:r>
                </w:p>
              </w:tc>
              <w:tc>
                <w:tcPr>
                  <w:tcW w:w="1183" w:type="dxa"/>
                  <w:tcBorders>
                    <w:tl2br w:val="nil"/>
                    <w:tr2bl w:val="nil"/>
                  </w:tcBorders>
                  <w:shd w:val="clear" w:color="auto" w:fill="auto"/>
                  <w:vAlign w:val="center"/>
                </w:tcPr>
                <w:p>
                  <w:pPr>
                    <w:pStyle w:val="53"/>
                  </w:pPr>
                  <w: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36" w:type="dxa"/>
                  <w:tcBorders>
                    <w:tl2br w:val="nil"/>
                    <w:tr2bl w:val="nil"/>
                  </w:tcBorders>
                  <w:shd w:val="clear" w:color="auto" w:fill="auto"/>
                  <w:vAlign w:val="center"/>
                </w:tcPr>
                <w:p>
                  <w:pPr>
                    <w:pStyle w:val="53"/>
                    <w:ind w:firstLine="0" w:firstLineChars="0"/>
                  </w:pPr>
                  <w:r>
                    <w:t>塑料原米（POM）</w:t>
                  </w:r>
                </w:p>
              </w:tc>
              <w:tc>
                <w:tcPr>
                  <w:tcW w:w="1873" w:type="dxa"/>
                  <w:tcBorders>
                    <w:tl2br w:val="nil"/>
                    <w:tr2bl w:val="nil"/>
                  </w:tcBorders>
                  <w:shd w:val="clear" w:color="auto" w:fill="auto"/>
                  <w:vAlign w:val="center"/>
                </w:tcPr>
                <w:p>
                  <w:pPr>
                    <w:pStyle w:val="53"/>
                    <w:rPr>
                      <w:rFonts w:hint="default" w:eastAsia="宋体"/>
                      <w:lang w:val="en-US" w:eastAsia="zh-CN"/>
                    </w:rPr>
                  </w:pPr>
                  <w:r>
                    <w:rPr>
                      <w:rFonts w:hint="eastAsia"/>
                      <w:lang w:val="en-US" w:eastAsia="zh-CN"/>
                    </w:rPr>
                    <w:t>100</w:t>
                  </w:r>
                </w:p>
              </w:tc>
              <w:tc>
                <w:tcPr>
                  <w:tcW w:w="3287" w:type="dxa"/>
                  <w:tcBorders>
                    <w:tl2br w:val="nil"/>
                    <w:tr2bl w:val="nil"/>
                  </w:tcBorders>
                  <w:shd w:val="clear" w:color="auto" w:fill="auto"/>
                  <w:vAlign w:val="center"/>
                </w:tcPr>
                <w:p>
                  <w:pPr>
                    <w:pStyle w:val="53"/>
                  </w:pPr>
                  <w:r>
                    <w:rPr>
                      <w:rFonts w:hint="eastAsia"/>
                    </w:rPr>
                    <w:t>按摩器配件</w:t>
                  </w:r>
                </w:p>
              </w:tc>
              <w:tc>
                <w:tcPr>
                  <w:tcW w:w="1183" w:type="dxa"/>
                  <w:tcBorders>
                    <w:tl2br w:val="nil"/>
                    <w:tr2bl w:val="nil"/>
                  </w:tcBorders>
                  <w:shd w:val="clear" w:color="auto" w:fill="auto"/>
                  <w:vAlign w:val="center"/>
                </w:tcPr>
                <w:p>
                  <w:pPr>
                    <w:pStyle w:val="53"/>
                  </w:pPr>
                  <w:r>
                    <w:t>398.52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36" w:type="dxa"/>
                  <w:tcBorders>
                    <w:tl2br w:val="nil"/>
                    <w:tr2bl w:val="nil"/>
                  </w:tcBorders>
                  <w:shd w:val="clear" w:color="auto" w:fill="auto"/>
                  <w:vAlign w:val="center"/>
                </w:tcPr>
                <w:p>
                  <w:pPr>
                    <w:pStyle w:val="53"/>
                  </w:pPr>
                  <w:r>
                    <w:rPr>
                      <w:rFonts w:hint="eastAsia"/>
                    </w:rPr>
                    <w:t>合计</w:t>
                  </w:r>
                </w:p>
              </w:tc>
              <w:tc>
                <w:tcPr>
                  <w:tcW w:w="1873" w:type="dxa"/>
                  <w:tcBorders>
                    <w:tl2br w:val="nil"/>
                    <w:tr2bl w:val="nil"/>
                  </w:tcBorders>
                  <w:shd w:val="clear" w:color="auto" w:fill="auto"/>
                  <w:vAlign w:val="center"/>
                </w:tcPr>
                <w:p>
                  <w:pPr>
                    <w:pStyle w:val="53"/>
                  </w:pPr>
                  <w:r>
                    <w:t>400</w:t>
                  </w:r>
                </w:p>
              </w:tc>
              <w:tc>
                <w:tcPr>
                  <w:tcW w:w="3287" w:type="dxa"/>
                  <w:tcBorders>
                    <w:tl2br w:val="nil"/>
                    <w:tr2bl w:val="nil"/>
                  </w:tcBorders>
                  <w:shd w:val="clear" w:color="auto" w:fill="auto"/>
                  <w:vAlign w:val="center"/>
                </w:tcPr>
                <w:p>
                  <w:pPr>
                    <w:pStyle w:val="53"/>
                  </w:pPr>
                  <w:r>
                    <w:rPr>
                      <w:rFonts w:hint="eastAsia"/>
                    </w:rPr>
                    <w:t>合计</w:t>
                  </w:r>
                </w:p>
              </w:tc>
              <w:tc>
                <w:tcPr>
                  <w:tcW w:w="1183" w:type="dxa"/>
                  <w:tcBorders>
                    <w:tl2br w:val="nil"/>
                    <w:tr2bl w:val="nil"/>
                  </w:tcBorders>
                  <w:shd w:val="clear" w:color="auto" w:fill="auto"/>
                  <w:vAlign w:val="center"/>
                </w:tcPr>
                <w:p>
                  <w:pPr>
                    <w:pStyle w:val="53"/>
                  </w:pPr>
                  <w:r>
                    <w:t>400</w:t>
                  </w:r>
                </w:p>
              </w:tc>
            </w:tr>
          </w:tbl>
          <w:p>
            <w:pPr>
              <w:pStyle w:val="5"/>
              <w:spacing w:before="120"/>
            </w:pPr>
            <w:r>
              <w:t>项目平面布置合理性分析</w:t>
            </w:r>
          </w:p>
          <w:p>
            <w:r>
              <w:rPr>
                <w:rFonts w:hint="eastAsia"/>
              </w:rPr>
              <w:t>项目根据</w:t>
            </w:r>
            <w:r>
              <w:t>工艺生产流程、交通运输的要求，结合场地自然条件进行合理布局</w:t>
            </w:r>
            <w:r>
              <w:rPr>
                <w:rFonts w:hint="eastAsia"/>
              </w:rPr>
              <w:t>，车间设有表面处理区、修边区、包装区及检验区等</w:t>
            </w:r>
            <w:r>
              <w:t>。生产设备布局紧凑合理，满足生产流畅性和生产管理方便的需求；使流程顺畅、物料的输送距离达到最短</w:t>
            </w:r>
            <w:r>
              <w:rPr>
                <w:rFonts w:hint="eastAsia"/>
              </w:rPr>
              <w:t>，</w:t>
            </w:r>
            <w:r>
              <w:t>按照生产性质合理分区布置，使生产区集中。</w:t>
            </w:r>
          </w:p>
          <w:p>
            <w:r>
              <w:t>本项目用地为工业用地，生产车间和办公楼，进行合理分区。项目平面布局基本根据生产工艺需求和生产加工优化布局原则，将项目生产区和配套辅助区相对分开，能够满足厂区管理、生产加工的需要。项目生产车间布置根据工艺流程展开，生产区功能分区明确，平面布置合理可行。</w:t>
            </w:r>
          </w:p>
          <w:p>
            <w:r>
              <w:rPr>
                <w:rFonts w:hint="eastAsia"/>
              </w:rPr>
              <w:t>车间平面布局图详见</w:t>
            </w:r>
            <w:r>
              <w:rPr>
                <w:rFonts w:hint="eastAsia"/>
              </w:rPr>
              <w:fldChar w:fldCharType="begin"/>
            </w:r>
            <w:r>
              <w:rPr>
                <w:rFonts w:hint="eastAsia"/>
              </w:rPr>
              <w:instrText xml:space="preserve"> REF _Ref26191 \h </w:instrText>
            </w:r>
            <w:r>
              <w:rPr>
                <w:rFonts w:hint="eastAsia"/>
              </w:rPr>
              <w:fldChar w:fldCharType="separate"/>
            </w:r>
            <w:r>
              <w:t>附图 4</w:t>
            </w:r>
            <w:r>
              <w:rPr>
                <w:rFonts w:hint="eastAsia"/>
              </w:rPr>
              <w:fldChar w:fldCharType="end"/>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23" w:type="dxa"/>
            <w:vAlign w:val="center"/>
          </w:tcPr>
          <w:p>
            <w:pPr>
              <w:pStyle w:val="33"/>
              <w:adjustRightInd w:val="0"/>
              <w:snapToGrid w:val="0"/>
              <w:spacing w:before="0" w:beforeAutospacing="0" w:after="0" w:afterAutospacing="0"/>
              <w:ind w:firstLine="0" w:firstLineChars="0"/>
              <w:jc w:val="center"/>
              <w:rPr>
                <w:rFonts w:ascii="Times New Roman" w:hAnsi="Times New Roman"/>
                <w:color w:val="000000"/>
                <w:sz w:val="21"/>
                <w:szCs w:val="21"/>
              </w:rPr>
            </w:pPr>
            <w:r>
              <w:rPr>
                <w:rFonts w:ascii="Times New Roman" w:hAnsi="Times New Roman"/>
                <w:color w:val="000000"/>
                <w:sz w:val="21"/>
                <w:szCs w:val="21"/>
              </w:rPr>
              <w:t>工艺流程和产排污环节</w:t>
            </w:r>
          </w:p>
        </w:tc>
        <w:tc>
          <w:tcPr>
            <w:tcW w:w="8637" w:type="dxa"/>
          </w:tcPr>
          <w:p>
            <w:pPr>
              <w:pStyle w:val="4"/>
            </w:pPr>
            <w:bookmarkStart w:id="20" w:name="_Toc23240"/>
            <w:bookmarkStart w:id="21" w:name="_Toc30414"/>
            <w:bookmarkStart w:id="22" w:name="_Toc19"/>
            <w:r>
              <w:t>生产工艺流程及产污环节</w:t>
            </w:r>
            <w:bookmarkEnd w:id="20"/>
            <w:bookmarkEnd w:id="21"/>
            <w:bookmarkEnd w:id="22"/>
          </w:p>
          <w:p>
            <w:pPr>
              <w:pStyle w:val="5"/>
              <w:spacing w:before="120"/>
            </w:pPr>
            <w:r>
              <w:t xml:space="preserve">工艺流程及工艺介绍 </w:t>
            </w:r>
          </w:p>
          <w:p>
            <w:pPr>
              <w:rPr>
                <w:color w:val="000000"/>
              </w:rPr>
            </w:pPr>
            <w:r>
              <w:rPr>
                <w:color w:val="000000"/>
              </w:rPr>
              <w:t>工艺流程详见下图2.3-1。</w:t>
            </w:r>
          </w:p>
          <w:p>
            <w:pPr>
              <w:ind w:firstLine="0" w:firstLineChars="0"/>
              <w:jc w:val="center"/>
              <w:rPr>
                <w:rFonts w:eastAsia="黑体"/>
                <w:color w:val="000000"/>
              </w:rPr>
            </w:pPr>
            <w:r>
              <w:drawing>
                <wp:inline distT="0" distB="0" distL="0" distR="0">
                  <wp:extent cx="4674870" cy="4238625"/>
                  <wp:effectExtent l="0" t="0" r="11430" b="9525"/>
                  <wp:docPr id="39851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1952"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b="11749"/>
                          <a:stretch>
                            <a:fillRect/>
                          </a:stretch>
                        </pic:blipFill>
                        <pic:spPr>
                          <a:xfrm>
                            <a:off x="0" y="0"/>
                            <a:ext cx="4674870" cy="4238625"/>
                          </a:xfrm>
                          <a:prstGeom prst="rect">
                            <a:avLst/>
                          </a:prstGeom>
                          <a:noFill/>
                          <a:ln>
                            <a:noFill/>
                          </a:ln>
                        </pic:spPr>
                      </pic:pic>
                    </a:graphicData>
                  </a:graphic>
                </wp:inline>
              </w:drawing>
            </w:r>
          </w:p>
          <w:p>
            <w:pPr>
              <w:pStyle w:val="96"/>
            </w:pPr>
            <w:r>
              <w:t>图2.3-1 工艺流程及产污环节示意图</w:t>
            </w:r>
          </w:p>
          <w:p>
            <w:pPr>
              <w:spacing w:beforeLines="50"/>
              <w:ind w:firstLine="482"/>
              <w:rPr>
                <w:b/>
                <w:bCs/>
                <w:color w:val="000000"/>
              </w:rPr>
            </w:pPr>
            <w:r>
              <w:rPr>
                <w:rFonts w:hint="eastAsia"/>
                <w:b/>
                <w:bCs/>
                <w:color w:val="000000"/>
              </w:rPr>
              <w:t>1、</w:t>
            </w:r>
            <w:r>
              <w:rPr>
                <w:b/>
                <w:bCs/>
                <w:color w:val="000000"/>
              </w:rPr>
              <w:t>主要工艺流程简述：</w:t>
            </w:r>
          </w:p>
          <w:p>
            <w:pPr>
              <w:rPr>
                <w:szCs w:val="21"/>
              </w:rPr>
            </w:pPr>
            <w:r>
              <w:rPr>
                <w:rFonts w:hint="eastAsia"/>
                <w:szCs w:val="21"/>
              </w:rPr>
              <w:t>采购</w:t>
            </w:r>
            <w:r>
              <w:rPr>
                <w:szCs w:val="21"/>
              </w:rPr>
              <w:t>塑料原米（ABS</w:t>
            </w:r>
            <w:r>
              <w:rPr>
                <w:rFonts w:hint="eastAsia"/>
                <w:szCs w:val="21"/>
              </w:rPr>
              <w:t>、</w:t>
            </w:r>
            <w:r>
              <w:rPr>
                <w:szCs w:val="21"/>
              </w:rPr>
              <w:t>PA</w:t>
            </w:r>
            <w:r>
              <w:rPr>
                <w:rFonts w:hint="eastAsia"/>
                <w:szCs w:val="21"/>
              </w:rPr>
              <w:t>、</w:t>
            </w:r>
            <w:r>
              <w:rPr>
                <w:szCs w:val="21"/>
              </w:rPr>
              <w:t>POM）</w:t>
            </w:r>
            <w:r>
              <w:rPr>
                <w:rFonts w:hint="eastAsia"/>
                <w:szCs w:val="21"/>
              </w:rPr>
              <w:t>作为原料，将塑料原米（ABS、PA、POM）通过注塑机挤出成型，在较好的熔体流动状态下利用模具制成要求的形状后冷却，经质检后由人工组装其他零件后包装入库。</w:t>
            </w:r>
          </w:p>
          <w:p>
            <w:pPr>
              <w:pStyle w:val="5"/>
              <w:spacing w:before="120"/>
            </w:pPr>
            <w:r>
              <w:t>产污环节分析</w:t>
            </w:r>
          </w:p>
          <w:p>
            <w:r>
              <w:t>项目产污环节说明一览表详见下表2.3-1。</w:t>
            </w:r>
          </w:p>
          <w:p>
            <w:pPr>
              <w:pStyle w:val="33"/>
              <w:widowControl w:val="0"/>
              <w:autoSpaceDE w:val="0"/>
              <w:autoSpaceDN w:val="0"/>
              <w:adjustRightInd w:val="0"/>
              <w:snapToGrid w:val="0"/>
              <w:spacing w:before="0" w:beforeAutospacing="0" w:after="0" w:afterAutospacing="0" w:line="240" w:lineRule="auto"/>
              <w:ind w:firstLine="482"/>
              <w:jc w:val="center"/>
              <w:textAlignment w:val="baseline"/>
              <w:rPr>
                <w:rFonts w:ascii="Times New Roman" w:hAnsi="Times New Roman"/>
                <w:b/>
                <w:bCs/>
                <w:color w:val="000000"/>
                <w:spacing w:val="6"/>
              </w:rPr>
            </w:pPr>
            <w:r>
              <w:rPr>
                <w:rStyle w:val="97"/>
              </w:rPr>
              <w:t xml:space="preserve">表2.3-1 </w:t>
            </w:r>
            <w:r>
              <w:rPr>
                <w:rStyle w:val="97"/>
                <w:rFonts w:hint="eastAsia"/>
              </w:rPr>
              <w:t xml:space="preserve"> </w:t>
            </w:r>
            <w:r>
              <w:rPr>
                <w:rStyle w:val="97"/>
              </w:rPr>
              <w:t>项目产污环节说明一览表</w:t>
            </w:r>
          </w:p>
          <w:tbl>
            <w:tblPr>
              <w:tblStyle w:val="1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022"/>
              <w:gridCol w:w="1325"/>
              <w:gridCol w:w="1539"/>
              <w:gridCol w:w="2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tcBorders>
                    <w:top w:val="single" w:color="000000" w:sz="12" w:space="0"/>
                    <w:tl2br w:val="nil"/>
                  </w:tcBorders>
                  <w:shd w:val="clear" w:color="auto" w:fill="auto"/>
                  <w:vAlign w:val="center"/>
                </w:tcPr>
                <w:p>
                  <w:pPr>
                    <w:pStyle w:val="53"/>
                    <w:rPr>
                      <w:b/>
                      <w:bCs/>
                    </w:rPr>
                  </w:pPr>
                  <w:bookmarkStart w:id="23" w:name="_Hlk513125280"/>
                  <w:r>
                    <w:rPr>
                      <w:b/>
                      <w:bCs/>
                    </w:rPr>
                    <w:t>类别</w:t>
                  </w:r>
                </w:p>
              </w:tc>
              <w:tc>
                <w:tcPr>
                  <w:tcW w:w="1200" w:type="pct"/>
                  <w:tcBorders>
                    <w:top w:val="single" w:color="000000" w:sz="12" w:space="0"/>
                  </w:tcBorders>
                  <w:shd w:val="clear" w:color="auto" w:fill="auto"/>
                  <w:vAlign w:val="center"/>
                </w:tcPr>
                <w:p>
                  <w:pPr>
                    <w:pStyle w:val="53"/>
                    <w:rPr>
                      <w:b/>
                      <w:bCs/>
                    </w:rPr>
                  </w:pPr>
                  <w:r>
                    <w:rPr>
                      <w:b/>
                      <w:bCs/>
                    </w:rPr>
                    <w:t>污染源</w:t>
                  </w:r>
                </w:p>
              </w:tc>
              <w:tc>
                <w:tcPr>
                  <w:tcW w:w="787" w:type="pct"/>
                  <w:tcBorders>
                    <w:top w:val="single" w:color="000000" w:sz="12" w:space="0"/>
                  </w:tcBorders>
                  <w:shd w:val="clear" w:color="auto" w:fill="auto"/>
                  <w:vAlign w:val="center"/>
                </w:tcPr>
                <w:p>
                  <w:pPr>
                    <w:pStyle w:val="53"/>
                    <w:rPr>
                      <w:b/>
                      <w:bCs/>
                    </w:rPr>
                  </w:pPr>
                  <w:r>
                    <w:rPr>
                      <w:b/>
                      <w:bCs/>
                    </w:rPr>
                    <w:t>污染因子</w:t>
                  </w:r>
                </w:p>
              </w:tc>
              <w:tc>
                <w:tcPr>
                  <w:tcW w:w="913" w:type="pct"/>
                  <w:tcBorders>
                    <w:top w:val="single" w:color="000000" w:sz="12" w:space="0"/>
                  </w:tcBorders>
                  <w:shd w:val="clear" w:color="auto" w:fill="auto"/>
                  <w:vAlign w:val="center"/>
                </w:tcPr>
                <w:p>
                  <w:pPr>
                    <w:pStyle w:val="53"/>
                    <w:rPr>
                      <w:b/>
                      <w:bCs/>
                    </w:rPr>
                  </w:pPr>
                  <w:r>
                    <w:rPr>
                      <w:b/>
                      <w:bCs/>
                    </w:rPr>
                    <w:t>产污环节</w:t>
                  </w:r>
                </w:p>
              </w:tc>
              <w:tc>
                <w:tcPr>
                  <w:tcW w:w="1692" w:type="pct"/>
                  <w:tcBorders>
                    <w:top w:val="single" w:color="000000" w:sz="12" w:space="0"/>
                  </w:tcBorders>
                  <w:shd w:val="clear" w:color="auto" w:fill="auto"/>
                  <w:vAlign w:val="center"/>
                </w:tcPr>
                <w:p>
                  <w:pPr>
                    <w:pStyle w:val="53"/>
                    <w:rPr>
                      <w:b/>
                      <w:bCs/>
                    </w:rPr>
                  </w:pPr>
                  <w:r>
                    <w:rPr>
                      <w:b/>
                      <w:bCs/>
                    </w:rPr>
                    <w:t>治理措施及排放去向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405" w:type="pct"/>
                  <w:shd w:val="clear" w:color="auto" w:fill="auto"/>
                  <w:vAlign w:val="center"/>
                </w:tcPr>
                <w:p>
                  <w:pPr>
                    <w:pStyle w:val="53"/>
                  </w:pPr>
                  <w:r>
                    <w:t>废气</w:t>
                  </w:r>
                </w:p>
              </w:tc>
              <w:tc>
                <w:tcPr>
                  <w:tcW w:w="1200" w:type="pct"/>
                  <w:shd w:val="clear" w:color="auto" w:fill="auto"/>
                  <w:vAlign w:val="center"/>
                </w:tcPr>
                <w:p>
                  <w:pPr>
                    <w:pStyle w:val="53"/>
                  </w:pPr>
                  <w:r>
                    <w:rPr>
                      <w:rFonts w:hint="eastAsia"/>
                    </w:rPr>
                    <w:t>G1</w:t>
                  </w:r>
                  <w:r>
                    <w:t>注塑废气</w:t>
                  </w:r>
                </w:p>
              </w:tc>
              <w:tc>
                <w:tcPr>
                  <w:tcW w:w="787" w:type="pct"/>
                  <w:shd w:val="clear" w:color="auto" w:fill="auto"/>
                  <w:vAlign w:val="center"/>
                </w:tcPr>
                <w:p>
                  <w:pPr>
                    <w:pStyle w:val="53"/>
                    <w:rPr>
                      <w:rFonts w:hint="default" w:eastAsia="宋体"/>
                      <w:lang w:val="en-US" w:eastAsia="zh-CN"/>
                    </w:rPr>
                  </w:pPr>
                  <w:r>
                    <w:t>非甲烷总烃</w:t>
                  </w:r>
                  <w:r>
                    <w:rPr>
                      <w:rFonts w:hint="eastAsia"/>
                    </w:rPr>
                    <w:t>、颗粒物</w:t>
                  </w:r>
                  <w:r>
                    <w:rPr>
                      <w:rFonts w:hint="eastAsia"/>
                      <w:lang w:eastAsia="zh-CN"/>
                    </w:rPr>
                    <w:t>、</w:t>
                  </w:r>
                  <w:r>
                    <w:rPr>
                      <w:rFonts w:hint="eastAsia"/>
                      <w:lang w:val="en-US" w:eastAsia="zh-CN"/>
                    </w:rPr>
                    <w:t>苯乙烯</w:t>
                  </w:r>
                </w:p>
              </w:tc>
              <w:tc>
                <w:tcPr>
                  <w:tcW w:w="913" w:type="pct"/>
                  <w:shd w:val="clear" w:color="auto" w:fill="auto"/>
                  <w:vAlign w:val="center"/>
                </w:tcPr>
                <w:p>
                  <w:pPr>
                    <w:pStyle w:val="53"/>
                  </w:pPr>
                  <w:r>
                    <w:t>注塑</w:t>
                  </w:r>
                </w:p>
              </w:tc>
              <w:tc>
                <w:tcPr>
                  <w:tcW w:w="1692" w:type="pct"/>
                  <w:shd w:val="clear" w:color="auto" w:fill="auto"/>
                  <w:vAlign w:val="center"/>
                </w:tcPr>
                <w:p>
                  <w:pPr>
                    <w:pStyle w:val="53"/>
                  </w:pPr>
                  <w:r>
                    <w:t>车间产生的废气通过集气</w:t>
                  </w:r>
                  <w:r>
                    <w:rPr>
                      <w:rFonts w:hint="eastAsia"/>
                    </w:rPr>
                    <w:t>罩</w:t>
                  </w:r>
                  <w:r>
                    <w:t>+</w:t>
                  </w:r>
                  <w:r>
                    <w:rPr>
                      <w:rFonts w:hint="eastAsia"/>
                    </w:rPr>
                    <w:t>二级活性炭吸附装置</w:t>
                  </w:r>
                  <w:r>
                    <w:t>处理后</w:t>
                  </w:r>
                  <w:r>
                    <w:rPr>
                      <w:rFonts w:hint="eastAsia"/>
                    </w:rPr>
                    <w:t>经1根25m高排气筒排放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05" w:type="pct"/>
                  <w:vMerge w:val="restart"/>
                  <w:shd w:val="clear" w:color="auto" w:fill="auto"/>
                  <w:vAlign w:val="center"/>
                </w:tcPr>
                <w:p>
                  <w:pPr>
                    <w:pStyle w:val="53"/>
                  </w:pPr>
                  <w:r>
                    <w:rPr>
                      <w:rFonts w:hint="eastAsia"/>
                    </w:rPr>
                    <w:t>废水</w:t>
                  </w:r>
                </w:p>
              </w:tc>
              <w:tc>
                <w:tcPr>
                  <w:tcW w:w="1200" w:type="pct"/>
                  <w:shd w:val="clear" w:color="auto" w:fill="auto"/>
                  <w:vAlign w:val="center"/>
                </w:tcPr>
                <w:p>
                  <w:pPr>
                    <w:pStyle w:val="53"/>
                  </w:pPr>
                  <w:r>
                    <w:t>W</w:t>
                  </w:r>
                  <w:r>
                    <w:rPr>
                      <w:rFonts w:hint="eastAsia"/>
                    </w:rPr>
                    <w:t>1冷却水</w:t>
                  </w:r>
                </w:p>
              </w:tc>
              <w:tc>
                <w:tcPr>
                  <w:tcW w:w="787" w:type="pct"/>
                  <w:shd w:val="clear" w:color="auto" w:fill="auto"/>
                  <w:vAlign w:val="center"/>
                </w:tcPr>
                <w:p>
                  <w:pPr>
                    <w:pStyle w:val="53"/>
                  </w:pPr>
                  <w:r>
                    <w:rPr>
                      <w:rFonts w:hint="eastAsia"/>
                    </w:rPr>
                    <w:t>/</w:t>
                  </w:r>
                </w:p>
              </w:tc>
              <w:tc>
                <w:tcPr>
                  <w:tcW w:w="913" w:type="pct"/>
                  <w:shd w:val="clear" w:color="auto" w:fill="auto"/>
                  <w:vAlign w:val="center"/>
                </w:tcPr>
                <w:p>
                  <w:pPr>
                    <w:pStyle w:val="53"/>
                  </w:pPr>
                  <w:r>
                    <w:rPr>
                      <w:rFonts w:hint="eastAsia"/>
                    </w:rPr>
                    <w:t>冷却塔</w:t>
                  </w:r>
                </w:p>
              </w:tc>
              <w:tc>
                <w:tcPr>
                  <w:tcW w:w="1692" w:type="pct"/>
                  <w:shd w:val="clear" w:color="auto" w:fill="auto"/>
                  <w:vAlign w:val="center"/>
                </w:tcPr>
                <w:p>
                  <w:pPr>
                    <w:pStyle w:val="53"/>
                  </w:pPr>
                  <w:r>
                    <w:rPr>
                      <w:rFonts w:hint="eastAsia"/>
                    </w:rPr>
                    <w:t>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shd w:val="clear" w:color="auto" w:fill="auto"/>
                  <w:vAlign w:val="center"/>
                </w:tcPr>
                <w:p>
                  <w:pPr>
                    <w:pStyle w:val="53"/>
                  </w:pPr>
                </w:p>
              </w:tc>
              <w:tc>
                <w:tcPr>
                  <w:tcW w:w="1200" w:type="pct"/>
                  <w:shd w:val="clear" w:color="auto" w:fill="auto"/>
                  <w:vAlign w:val="center"/>
                </w:tcPr>
                <w:p>
                  <w:pPr>
                    <w:pStyle w:val="53"/>
                  </w:pPr>
                  <w:r>
                    <w:t>W</w:t>
                  </w:r>
                  <w:r>
                    <w:rPr>
                      <w:rFonts w:hint="eastAsia"/>
                    </w:rPr>
                    <w:t>2</w:t>
                  </w:r>
                  <w:r>
                    <w:t>生活污水</w:t>
                  </w:r>
                </w:p>
              </w:tc>
              <w:tc>
                <w:tcPr>
                  <w:tcW w:w="787" w:type="pct"/>
                  <w:shd w:val="clear" w:color="auto" w:fill="auto"/>
                  <w:vAlign w:val="center"/>
                </w:tcPr>
                <w:p>
                  <w:pPr>
                    <w:pStyle w:val="53"/>
                  </w:pPr>
                  <w:r>
                    <w:t>pH、COD、BOD</w:t>
                  </w:r>
                  <w:r>
                    <w:rPr>
                      <w:vertAlign w:val="subscript"/>
                    </w:rPr>
                    <w:t>5</w:t>
                  </w:r>
                  <w:r>
                    <w:t>、SS、氨氮</w:t>
                  </w:r>
                </w:p>
              </w:tc>
              <w:tc>
                <w:tcPr>
                  <w:tcW w:w="913" w:type="pct"/>
                  <w:shd w:val="clear" w:color="auto" w:fill="auto"/>
                  <w:vAlign w:val="center"/>
                </w:tcPr>
                <w:p>
                  <w:pPr>
                    <w:pStyle w:val="53"/>
                  </w:pPr>
                  <w:r>
                    <w:t>职工日常生活</w:t>
                  </w:r>
                </w:p>
              </w:tc>
              <w:tc>
                <w:tcPr>
                  <w:tcW w:w="1692" w:type="pct"/>
                  <w:shd w:val="clear" w:color="auto" w:fill="auto"/>
                  <w:vAlign w:val="center"/>
                </w:tcPr>
                <w:p>
                  <w:pPr>
                    <w:pStyle w:val="53"/>
                  </w:pPr>
                  <w:r>
                    <w:t>依托万洋众创城已建化粪池处理</w:t>
                  </w:r>
                  <w:r>
                    <w:rPr>
                      <w:rFonts w:hint="eastAsia"/>
                    </w:rPr>
                    <w:t>后</w:t>
                  </w:r>
                  <w:r>
                    <w:t>，经市政管网进入</w:t>
                  </w:r>
                  <w:r>
                    <w:rPr>
                      <w:rFonts w:hint="eastAsia"/>
                    </w:rPr>
                    <w:t>长安</w:t>
                  </w:r>
                  <w:r>
                    <w:t>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restart"/>
                  <w:shd w:val="clear" w:color="auto" w:fill="auto"/>
                  <w:vAlign w:val="center"/>
                </w:tcPr>
                <w:p>
                  <w:pPr>
                    <w:pStyle w:val="53"/>
                  </w:pPr>
                  <w:r>
                    <w:t>固体废物</w:t>
                  </w:r>
                </w:p>
              </w:tc>
              <w:tc>
                <w:tcPr>
                  <w:tcW w:w="1200" w:type="pct"/>
                  <w:shd w:val="clear" w:color="auto" w:fill="auto"/>
                  <w:vAlign w:val="center"/>
                </w:tcPr>
                <w:p>
                  <w:pPr>
                    <w:pStyle w:val="53"/>
                  </w:pPr>
                  <w:r>
                    <w:t>S1</w:t>
                  </w:r>
                  <w:r>
                    <w:rPr>
                      <w:rFonts w:hint="eastAsia"/>
                      <w:kern w:val="0"/>
                    </w:rPr>
                    <w:t>边角料</w:t>
                  </w:r>
                </w:p>
              </w:tc>
              <w:tc>
                <w:tcPr>
                  <w:tcW w:w="787" w:type="pct"/>
                  <w:shd w:val="clear" w:color="auto" w:fill="auto"/>
                  <w:vAlign w:val="center"/>
                </w:tcPr>
                <w:p>
                  <w:pPr>
                    <w:pStyle w:val="53"/>
                  </w:pPr>
                  <w:r>
                    <w:rPr>
                      <w:rFonts w:hint="eastAsia"/>
                    </w:rPr>
                    <w:t>/</w:t>
                  </w:r>
                </w:p>
              </w:tc>
              <w:tc>
                <w:tcPr>
                  <w:tcW w:w="913" w:type="pct"/>
                  <w:shd w:val="clear" w:color="auto" w:fill="auto"/>
                  <w:vAlign w:val="center"/>
                </w:tcPr>
                <w:p>
                  <w:pPr>
                    <w:pStyle w:val="53"/>
                  </w:pPr>
                  <w:r>
                    <w:rPr>
                      <w:rFonts w:hint="eastAsia"/>
                    </w:rPr>
                    <w:t>检验</w:t>
                  </w:r>
                  <w:r>
                    <w:t>工序</w:t>
                  </w:r>
                </w:p>
              </w:tc>
              <w:tc>
                <w:tcPr>
                  <w:tcW w:w="1692" w:type="pct"/>
                  <w:vMerge w:val="restart"/>
                  <w:shd w:val="clear" w:color="auto" w:fill="auto"/>
                  <w:vAlign w:val="center"/>
                </w:tcPr>
                <w:p>
                  <w:pPr>
                    <w:pStyle w:val="53"/>
                  </w:pPr>
                  <w: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shd w:val="clear" w:color="auto" w:fill="auto"/>
                  <w:vAlign w:val="center"/>
                </w:tcPr>
                <w:p>
                  <w:pPr>
                    <w:pStyle w:val="53"/>
                  </w:pPr>
                </w:p>
              </w:tc>
              <w:tc>
                <w:tcPr>
                  <w:tcW w:w="1200" w:type="pct"/>
                  <w:shd w:val="clear" w:color="auto" w:fill="auto"/>
                  <w:vAlign w:val="center"/>
                </w:tcPr>
                <w:p>
                  <w:pPr>
                    <w:pStyle w:val="53"/>
                  </w:pPr>
                  <w:r>
                    <w:t>S</w:t>
                  </w:r>
                  <w:r>
                    <w:rPr>
                      <w:rFonts w:hint="eastAsia"/>
                    </w:rPr>
                    <w:t>2废包装物（包装纸箱、包装袋等）</w:t>
                  </w:r>
                </w:p>
              </w:tc>
              <w:tc>
                <w:tcPr>
                  <w:tcW w:w="787" w:type="pct"/>
                  <w:shd w:val="clear" w:color="auto" w:fill="auto"/>
                  <w:vAlign w:val="center"/>
                </w:tcPr>
                <w:p>
                  <w:pPr>
                    <w:pStyle w:val="53"/>
                  </w:pPr>
                  <w:r>
                    <w:rPr>
                      <w:rFonts w:hint="eastAsia"/>
                    </w:rPr>
                    <w:t>/</w:t>
                  </w:r>
                </w:p>
              </w:tc>
              <w:tc>
                <w:tcPr>
                  <w:tcW w:w="913" w:type="pct"/>
                  <w:shd w:val="clear" w:color="auto" w:fill="auto"/>
                  <w:vAlign w:val="center"/>
                </w:tcPr>
                <w:p>
                  <w:pPr>
                    <w:pStyle w:val="53"/>
                  </w:pPr>
                  <w:r>
                    <w:rPr>
                      <w:rFonts w:hint="eastAsia"/>
                    </w:rPr>
                    <w:t>计量配料</w:t>
                  </w:r>
                  <w:r>
                    <w:t>工序</w:t>
                  </w:r>
                </w:p>
              </w:tc>
              <w:tc>
                <w:tcPr>
                  <w:tcW w:w="1692" w:type="pct"/>
                  <w:vMerge w:val="continue"/>
                  <w:shd w:val="clear" w:color="auto" w:fill="auto"/>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shd w:val="clear" w:color="auto" w:fill="auto"/>
                  <w:vAlign w:val="center"/>
                </w:tcPr>
                <w:p>
                  <w:pPr>
                    <w:pStyle w:val="53"/>
                  </w:pPr>
                </w:p>
              </w:tc>
              <w:tc>
                <w:tcPr>
                  <w:tcW w:w="1200" w:type="pct"/>
                  <w:shd w:val="clear" w:color="auto" w:fill="auto"/>
                  <w:vAlign w:val="center"/>
                </w:tcPr>
                <w:p>
                  <w:pPr>
                    <w:pStyle w:val="53"/>
                  </w:pPr>
                  <w:r>
                    <w:t>S</w:t>
                  </w:r>
                  <w:r>
                    <w:rPr>
                      <w:rFonts w:hint="eastAsia"/>
                    </w:rPr>
                    <w:t>3</w:t>
                  </w:r>
                  <w:r>
                    <w:t>废活性炭</w:t>
                  </w:r>
                </w:p>
              </w:tc>
              <w:tc>
                <w:tcPr>
                  <w:tcW w:w="787" w:type="pct"/>
                  <w:shd w:val="clear" w:color="auto" w:fill="auto"/>
                  <w:vAlign w:val="center"/>
                </w:tcPr>
                <w:p>
                  <w:pPr>
                    <w:pStyle w:val="53"/>
                  </w:pPr>
                  <w:r>
                    <w:rPr>
                      <w:rFonts w:hint="eastAsia"/>
                    </w:rPr>
                    <w:t>/</w:t>
                  </w:r>
                </w:p>
              </w:tc>
              <w:tc>
                <w:tcPr>
                  <w:tcW w:w="913" w:type="pct"/>
                  <w:shd w:val="clear" w:color="auto" w:fill="auto"/>
                  <w:vAlign w:val="center"/>
                </w:tcPr>
                <w:p>
                  <w:pPr>
                    <w:pStyle w:val="53"/>
                  </w:pPr>
                  <w:r>
                    <w:rPr>
                      <w:rFonts w:hint="eastAsia"/>
                    </w:rPr>
                    <w:t>活性炭吸附装置</w:t>
                  </w:r>
                </w:p>
              </w:tc>
              <w:tc>
                <w:tcPr>
                  <w:tcW w:w="1692" w:type="pct"/>
                  <w:shd w:val="clear" w:color="auto" w:fill="auto"/>
                  <w:vAlign w:val="center"/>
                </w:tcPr>
                <w:p>
                  <w:pPr>
                    <w:pStyle w:val="53"/>
                  </w:pPr>
                  <w: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shd w:val="clear" w:color="auto" w:fill="auto"/>
                  <w:vAlign w:val="center"/>
                </w:tcPr>
                <w:p>
                  <w:pPr>
                    <w:pStyle w:val="53"/>
                  </w:pPr>
                </w:p>
              </w:tc>
              <w:tc>
                <w:tcPr>
                  <w:tcW w:w="1200" w:type="pct"/>
                  <w:shd w:val="clear" w:color="auto" w:fill="auto"/>
                  <w:vAlign w:val="center"/>
                </w:tcPr>
                <w:p>
                  <w:pPr>
                    <w:pStyle w:val="53"/>
                  </w:pPr>
                  <w:r>
                    <w:t>S</w:t>
                  </w:r>
                  <w:r>
                    <w:rPr>
                      <w:rFonts w:hint="eastAsia"/>
                    </w:rPr>
                    <w:t>4</w:t>
                  </w:r>
                  <w:r>
                    <w:t>生活垃圾</w:t>
                  </w:r>
                </w:p>
              </w:tc>
              <w:tc>
                <w:tcPr>
                  <w:tcW w:w="787" w:type="pct"/>
                  <w:shd w:val="clear" w:color="auto" w:fill="auto"/>
                  <w:vAlign w:val="center"/>
                </w:tcPr>
                <w:p>
                  <w:pPr>
                    <w:pStyle w:val="53"/>
                  </w:pPr>
                  <w:r>
                    <w:rPr>
                      <w:rFonts w:hint="eastAsia"/>
                    </w:rPr>
                    <w:t>/</w:t>
                  </w:r>
                </w:p>
              </w:tc>
              <w:tc>
                <w:tcPr>
                  <w:tcW w:w="913" w:type="pct"/>
                  <w:shd w:val="clear" w:color="auto" w:fill="auto"/>
                  <w:vAlign w:val="center"/>
                </w:tcPr>
                <w:p>
                  <w:pPr>
                    <w:pStyle w:val="53"/>
                  </w:pPr>
                  <w:r>
                    <w:t>员工日常生活</w:t>
                  </w:r>
                </w:p>
              </w:tc>
              <w:tc>
                <w:tcPr>
                  <w:tcW w:w="1692" w:type="pct"/>
                  <w:shd w:val="clear" w:color="auto" w:fill="auto"/>
                  <w:vAlign w:val="center"/>
                </w:tcPr>
                <w:p>
                  <w:pPr>
                    <w:pStyle w:val="53"/>
                  </w:pPr>
                  <w:r>
                    <w:t>委托环卫部门处理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shd w:val="clear" w:color="auto" w:fill="auto"/>
                  <w:vAlign w:val="center"/>
                </w:tcPr>
                <w:p>
                  <w:pPr>
                    <w:pStyle w:val="53"/>
                  </w:pPr>
                  <w:r>
                    <w:rPr>
                      <w:rFonts w:hint="eastAsia"/>
                    </w:rPr>
                    <w:t>噪声</w:t>
                  </w:r>
                </w:p>
              </w:tc>
              <w:tc>
                <w:tcPr>
                  <w:tcW w:w="1200" w:type="pct"/>
                  <w:shd w:val="clear" w:color="auto" w:fill="auto"/>
                  <w:vAlign w:val="center"/>
                </w:tcPr>
                <w:p>
                  <w:pPr>
                    <w:pStyle w:val="53"/>
                  </w:pPr>
                  <w:r>
                    <w:t>生产设备</w:t>
                  </w:r>
                </w:p>
              </w:tc>
              <w:tc>
                <w:tcPr>
                  <w:tcW w:w="787" w:type="pct"/>
                  <w:shd w:val="clear" w:color="auto" w:fill="auto"/>
                  <w:vAlign w:val="center"/>
                </w:tcPr>
                <w:p>
                  <w:pPr>
                    <w:pStyle w:val="53"/>
                  </w:pPr>
                  <w:r>
                    <w:t>Leq</w:t>
                  </w:r>
                </w:p>
              </w:tc>
              <w:tc>
                <w:tcPr>
                  <w:tcW w:w="913" w:type="pct"/>
                  <w:shd w:val="clear" w:color="auto" w:fill="auto"/>
                  <w:vAlign w:val="center"/>
                </w:tcPr>
                <w:p>
                  <w:pPr>
                    <w:pStyle w:val="53"/>
                  </w:pPr>
                  <w:r>
                    <w:rPr>
                      <w:rFonts w:hint="eastAsia"/>
                    </w:rPr>
                    <w:t>车间生产</w:t>
                  </w:r>
                </w:p>
              </w:tc>
              <w:tc>
                <w:tcPr>
                  <w:tcW w:w="1692" w:type="pct"/>
                  <w:shd w:val="clear" w:color="auto" w:fill="auto"/>
                  <w:vAlign w:val="center"/>
                </w:tcPr>
                <w:p>
                  <w:pPr>
                    <w:pStyle w:val="53"/>
                  </w:pPr>
                  <w:r>
                    <w:t>厂房隔声、设备基础减振等综合降噪措施</w:t>
                  </w:r>
                </w:p>
              </w:tc>
            </w:tr>
            <w:bookmarkEnd w:id="23"/>
          </w:tb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23" w:type="dxa"/>
            <w:vAlign w:val="center"/>
          </w:tcPr>
          <w:p>
            <w:pPr>
              <w:pStyle w:val="33"/>
              <w:adjustRightInd w:val="0"/>
              <w:snapToGrid w:val="0"/>
              <w:spacing w:before="0" w:beforeAutospacing="0" w:after="0" w:afterAutospacing="0"/>
              <w:ind w:firstLine="0" w:firstLineChars="0"/>
              <w:rPr>
                <w:rFonts w:ascii="Times New Roman" w:hAnsi="Times New Roman"/>
                <w:color w:val="000000"/>
                <w:sz w:val="21"/>
                <w:szCs w:val="21"/>
              </w:rPr>
            </w:pPr>
            <w:r>
              <w:rPr>
                <w:rFonts w:ascii="Times New Roman" w:hAnsi="Times New Roman"/>
                <w:bCs/>
                <w:color w:val="000000"/>
                <w:kern w:val="2"/>
                <w:sz w:val="21"/>
                <w:szCs w:val="21"/>
              </w:rPr>
              <w:t>与项目有关的原有环境污染问题</w:t>
            </w:r>
          </w:p>
        </w:tc>
        <w:tc>
          <w:tcPr>
            <w:tcW w:w="8637" w:type="dxa"/>
            <w:vAlign w:val="center"/>
          </w:tcPr>
          <w:p>
            <w:pPr>
              <w:jc w:val="left"/>
            </w:pPr>
            <w:r>
              <w:t>本项目为新建项目，不存在与本项目有关的环境污染问题。</w:t>
            </w:r>
          </w:p>
        </w:tc>
      </w:tr>
    </w:tbl>
    <w:p>
      <w:pPr>
        <w:ind w:firstLine="0" w:firstLineChars="0"/>
        <w:rPr>
          <w:color w:val="000000"/>
        </w:rPr>
        <w:sectPr>
          <w:pgSz w:w="11906" w:h="16838"/>
          <w:pgMar w:top="1701" w:right="1531" w:bottom="1701" w:left="1531" w:header="851" w:footer="1077" w:gutter="0"/>
          <w:cols w:space="720" w:num="1"/>
          <w:docGrid w:linePitch="312" w:charSpace="0"/>
        </w:sectPr>
      </w:pPr>
    </w:p>
    <w:p>
      <w:pPr>
        <w:pStyle w:val="3"/>
      </w:pPr>
      <w:bookmarkStart w:id="24" w:name="_Toc31088"/>
      <w:bookmarkStart w:id="25" w:name="_Toc20196"/>
      <w:r>
        <w:rPr>
          <w:rFonts w:hint="eastAsia"/>
        </w:rPr>
        <w:t>区域环境质量现状、环境保护目标及评价标准</w:t>
      </w:r>
      <w:bookmarkEnd w:id="24"/>
      <w:bookmarkEnd w:id="25"/>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0" w:hRule="atLeast"/>
          <w:jc w:val="center"/>
        </w:trPr>
        <w:tc>
          <w:tcPr>
            <w:tcW w:w="425" w:type="dxa"/>
            <w:vAlign w:val="center"/>
          </w:tcPr>
          <w:p>
            <w:pPr>
              <w:pStyle w:val="53"/>
            </w:pPr>
            <w:r>
              <w:rPr>
                <w:rFonts w:hint="eastAsia"/>
              </w:rPr>
              <w:t>区</w:t>
            </w:r>
            <w:r>
              <w:t>域环境质量现状</w:t>
            </w:r>
          </w:p>
        </w:tc>
        <w:tc>
          <w:tcPr>
            <w:tcW w:w="8620" w:type="dxa"/>
            <w:vAlign w:val="center"/>
          </w:tcPr>
          <w:p>
            <w:pPr>
              <w:pStyle w:val="4"/>
            </w:pPr>
            <w:bookmarkStart w:id="26" w:name="_Toc3380"/>
            <w:bookmarkStart w:id="27" w:name="_Toc29713"/>
            <w:bookmarkStart w:id="28" w:name="_Toc24731"/>
            <w:r>
              <w:t>大气环境质量现状</w:t>
            </w:r>
            <w:bookmarkEnd w:id="26"/>
            <w:bookmarkEnd w:id="27"/>
            <w:bookmarkEnd w:id="28"/>
          </w:p>
          <w:p>
            <w:pPr>
              <w:pStyle w:val="5"/>
              <w:spacing w:before="120"/>
            </w:pPr>
            <w:r>
              <w:t>环境空气质量功能区划</w:t>
            </w:r>
          </w:p>
          <w:p>
            <w:bookmarkStart w:id="29" w:name="_Toc338850492"/>
            <w:bookmarkStart w:id="30" w:name="_Toc339964236"/>
            <w:r>
              <w:t>根据福州市人民政府榕政综[2014]30号文件正式批准实施《福州市环境空气质量功能区划</w:t>
            </w:r>
            <w:r>
              <w:rPr>
                <w:rFonts w:hint="eastAsia"/>
              </w:rPr>
              <w:t>（</w:t>
            </w:r>
            <w:r>
              <w:t>报批稿</w:t>
            </w:r>
            <w:r>
              <w:rPr>
                <w:rFonts w:hint="eastAsia"/>
              </w:rPr>
              <w:t>）</w:t>
            </w:r>
            <w:r>
              <w:t>》的规定，项目所在地的大气环境功能区划为二类功能区，环境</w:t>
            </w:r>
            <w:r>
              <w:rPr>
                <w:rFonts w:hint="eastAsia"/>
              </w:rPr>
              <w:t>空气</w:t>
            </w:r>
            <w:r>
              <w:t>质量执行《环境空气质量标准》</w:t>
            </w:r>
            <w:r>
              <w:rPr>
                <w:rFonts w:hint="eastAsia"/>
              </w:rPr>
              <w:t>（</w:t>
            </w:r>
            <w:r>
              <w:t>GB3095-2012</w:t>
            </w:r>
            <w:r>
              <w:rPr>
                <w:rFonts w:hint="eastAsia"/>
              </w:rPr>
              <w:t>）</w:t>
            </w:r>
            <w:r>
              <w:t>及其修改单中的二级标准</w:t>
            </w:r>
            <w:r>
              <w:rPr>
                <w:rFonts w:hint="eastAsia"/>
              </w:rPr>
              <w:t>，其中</w:t>
            </w:r>
            <w:r>
              <w:t>非甲烷总烃参照执行</w:t>
            </w:r>
            <w:r>
              <w:rPr>
                <w:rFonts w:hint="eastAsia"/>
              </w:rPr>
              <w:t>《大气污染物综合排放标准详解》（国家环境保护局科技标准司）中规定的标准限值</w:t>
            </w:r>
            <w:r>
              <w:t>。具体见表3.1-1。</w:t>
            </w:r>
          </w:p>
          <w:p>
            <w:pPr>
              <w:pStyle w:val="96"/>
            </w:pPr>
            <w:r>
              <w:t>表3.1-1 环境空气质量标准</w:t>
            </w:r>
            <w:r>
              <w:rPr>
                <w:rFonts w:hint="eastAsia"/>
              </w:rPr>
              <w:t>一览表</w:t>
            </w:r>
            <w:r>
              <w:t xml:space="preserve"> </w:t>
            </w:r>
          </w:p>
          <w:bookmarkEnd w:id="29"/>
          <w:bookmarkEnd w:id="30"/>
          <w:tbl>
            <w:tblPr>
              <w:tblStyle w:val="36"/>
              <w:tblW w:w="816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75"/>
              <w:gridCol w:w="2051"/>
              <w:gridCol w:w="1334"/>
              <w:gridCol w:w="340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Align w:val="center"/>
                </w:tcPr>
                <w:p>
                  <w:pPr>
                    <w:pStyle w:val="53"/>
                  </w:pPr>
                  <w:r>
                    <w:t>污染物名称</w:t>
                  </w:r>
                </w:p>
              </w:tc>
              <w:tc>
                <w:tcPr>
                  <w:tcW w:w="2051" w:type="dxa"/>
                  <w:vAlign w:val="center"/>
                </w:tcPr>
                <w:p>
                  <w:pPr>
                    <w:pStyle w:val="53"/>
                  </w:pPr>
                  <w:r>
                    <w:t>取值时间</w:t>
                  </w:r>
                </w:p>
              </w:tc>
              <w:tc>
                <w:tcPr>
                  <w:tcW w:w="1334" w:type="dxa"/>
                  <w:vAlign w:val="center"/>
                </w:tcPr>
                <w:p>
                  <w:pPr>
                    <w:pStyle w:val="53"/>
                  </w:pPr>
                  <w:r>
                    <w:t>浓度限值</w:t>
                  </w:r>
                </w:p>
              </w:tc>
              <w:tc>
                <w:tcPr>
                  <w:tcW w:w="3404" w:type="dxa"/>
                  <w:vAlign w:val="center"/>
                </w:tcPr>
                <w:p>
                  <w:pPr>
                    <w:pStyle w:val="53"/>
                  </w:pPr>
                  <w:r>
                    <w:t>标准来源</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pPr>
                    <w:pStyle w:val="53"/>
                  </w:pPr>
                  <w:r>
                    <w:t>PM</w:t>
                  </w:r>
                  <w:r>
                    <w:rPr>
                      <w:vertAlign w:val="subscript"/>
                    </w:rPr>
                    <w:t>10</w:t>
                  </w:r>
                </w:p>
              </w:tc>
              <w:tc>
                <w:tcPr>
                  <w:tcW w:w="2051" w:type="dxa"/>
                  <w:vAlign w:val="center"/>
                </w:tcPr>
                <w:p>
                  <w:pPr>
                    <w:pStyle w:val="53"/>
                  </w:pPr>
                  <w:r>
                    <w:t>年平均</w:t>
                  </w:r>
                </w:p>
              </w:tc>
              <w:tc>
                <w:tcPr>
                  <w:tcW w:w="1334" w:type="dxa"/>
                  <w:vAlign w:val="center"/>
                </w:tcPr>
                <w:p>
                  <w:pPr>
                    <w:pStyle w:val="53"/>
                  </w:pPr>
                  <w:r>
                    <w:t>70μg/m</w:t>
                  </w:r>
                  <w:r>
                    <w:rPr>
                      <w:vertAlign w:val="superscript"/>
                    </w:rPr>
                    <w:t>3</w:t>
                  </w:r>
                </w:p>
              </w:tc>
              <w:tc>
                <w:tcPr>
                  <w:tcW w:w="3404" w:type="dxa"/>
                  <w:vMerge w:val="restart"/>
                  <w:vAlign w:val="center"/>
                </w:tcPr>
                <w:p>
                  <w:pPr>
                    <w:pStyle w:val="53"/>
                  </w:pPr>
                  <w:r>
                    <w:t>《环境空气质量标准》</w:t>
                  </w:r>
                  <w:r>
                    <w:rPr>
                      <w:rFonts w:hint="eastAsia"/>
                    </w:rPr>
                    <w:t>（</w:t>
                  </w:r>
                  <w:r>
                    <w:t>GB3095-2012</w:t>
                  </w:r>
                  <w:r>
                    <w:rPr>
                      <w:rFonts w:hint="eastAsia"/>
                    </w:rPr>
                    <w:t>）</w:t>
                  </w:r>
                  <w:r>
                    <w:t>及其修改单中的二级标准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pPr>
                    <w:pStyle w:val="53"/>
                  </w:pPr>
                </w:p>
              </w:tc>
              <w:tc>
                <w:tcPr>
                  <w:tcW w:w="2051" w:type="dxa"/>
                  <w:vAlign w:val="center"/>
                </w:tcPr>
                <w:p>
                  <w:pPr>
                    <w:pStyle w:val="53"/>
                  </w:pPr>
                  <w:r>
                    <w:t>24小时平均</w:t>
                  </w:r>
                </w:p>
              </w:tc>
              <w:tc>
                <w:tcPr>
                  <w:tcW w:w="1334" w:type="dxa"/>
                  <w:vAlign w:val="center"/>
                </w:tcPr>
                <w:p>
                  <w:pPr>
                    <w:pStyle w:val="53"/>
                  </w:pPr>
                  <w:r>
                    <w:t>150μg/m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pPr>
                    <w:pStyle w:val="53"/>
                  </w:pPr>
                  <w:r>
                    <w:t>PM</w:t>
                  </w:r>
                  <w:r>
                    <w:rPr>
                      <w:vertAlign w:val="subscript"/>
                    </w:rPr>
                    <w:t>2.5</w:t>
                  </w:r>
                </w:p>
              </w:tc>
              <w:tc>
                <w:tcPr>
                  <w:tcW w:w="2051" w:type="dxa"/>
                  <w:vAlign w:val="center"/>
                </w:tcPr>
                <w:p>
                  <w:pPr>
                    <w:pStyle w:val="53"/>
                  </w:pPr>
                  <w:r>
                    <w:t>年平均</w:t>
                  </w:r>
                </w:p>
              </w:tc>
              <w:tc>
                <w:tcPr>
                  <w:tcW w:w="1334" w:type="dxa"/>
                  <w:vAlign w:val="center"/>
                </w:tcPr>
                <w:p>
                  <w:pPr>
                    <w:pStyle w:val="53"/>
                  </w:pPr>
                  <w:r>
                    <w:t>35μg/m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cantSplit/>
                <w:trHeight w:val="340" w:hRule="atLeast"/>
                <w:jc w:val="center"/>
              </w:trPr>
              <w:tc>
                <w:tcPr>
                  <w:tcW w:w="1375" w:type="dxa"/>
                  <w:vMerge w:val="continue"/>
                  <w:vAlign w:val="center"/>
                </w:tcPr>
                <w:p>
                  <w:pPr>
                    <w:pStyle w:val="53"/>
                  </w:pPr>
                </w:p>
              </w:tc>
              <w:tc>
                <w:tcPr>
                  <w:tcW w:w="2051" w:type="dxa"/>
                  <w:vAlign w:val="center"/>
                </w:tcPr>
                <w:p>
                  <w:pPr>
                    <w:pStyle w:val="53"/>
                  </w:pPr>
                  <w:r>
                    <w:t>24小时平均</w:t>
                  </w:r>
                </w:p>
              </w:tc>
              <w:tc>
                <w:tcPr>
                  <w:tcW w:w="1334" w:type="dxa"/>
                  <w:vAlign w:val="center"/>
                </w:tcPr>
                <w:p>
                  <w:pPr>
                    <w:pStyle w:val="53"/>
                  </w:pPr>
                  <w:r>
                    <w:t>75μg/m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pPr>
                    <w:pStyle w:val="53"/>
                  </w:pPr>
                  <w:r>
                    <w:t>SO</w:t>
                  </w:r>
                  <w:r>
                    <w:rPr>
                      <w:vertAlign w:val="subscript"/>
                    </w:rPr>
                    <w:t>2</w:t>
                  </w:r>
                </w:p>
              </w:tc>
              <w:tc>
                <w:tcPr>
                  <w:tcW w:w="2051" w:type="dxa"/>
                  <w:vAlign w:val="center"/>
                </w:tcPr>
                <w:p>
                  <w:pPr>
                    <w:pStyle w:val="53"/>
                  </w:pPr>
                  <w:r>
                    <w:t>年平均</w:t>
                  </w:r>
                </w:p>
              </w:tc>
              <w:tc>
                <w:tcPr>
                  <w:tcW w:w="1334" w:type="dxa"/>
                  <w:vAlign w:val="center"/>
                </w:tcPr>
                <w:p>
                  <w:pPr>
                    <w:pStyle w:val="53"/>
                  </w:pPr>
                  <w:r>
                    <w:t>60μg/m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pPr>
                    <w:pStyle w:val="53"/>
                  </w:pPr>
                </w:p>
              </w:tc>
              <w:tc>
                <w:tcPr>
                  <w:tcW w:w="2051" w:type="dxa"/>
                  <w:vAlign w:val="center"/>
                </w:tcPr>
                <w:p>
                  <w:pPr>
                    <w:pStyle w:val="53"/>
                  </w:pPr>
                  <w:r>
                    <w:t>24小时平均</w:t>
                  </w:r>
                </w:p>
              </w:tc>
              <w:tc>
                <w:tcPr>
                  <w:tcW w:w="1334" w:type="dxa"/>
                  <w:vAlign w:val="center"/>
                </w:tcPr>
                <w:p>
                  <w:pPr>
                    <w:pStyle w:val="53"/>
                  </w:pPr>
                  <w:r>
                    <w:t>150μg/m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pPr>
                    <w:pStyle w:val="53"/>
                  </w:pPr>
                </w:p>
              </w:tc>
              <w:tc>
                <w:tcPr>
                  <w:tcW w:w="2051" w:type="dxa"/>
                  <w:vAlign w:val="center"/>
                </w:tcPr>
                <w:p>
                  <w:pPr>
                    <w:pStyle w:val="53"/>
                  </w:pPr>
                  <w:r>
                    <w:t>1小时平均</w:t>
                  </w:r>
                </w:p>
              </w:tc>
              <w:tc>
                <w:tcPr>
                  <w:tcW w:w="1334" w:type="dxa"/>
                  <w:vAlign w:val="center"/>
                </w:tcPr>
                <w:p>
                  <w:pPr>
                    <w:pStyle w:val="53"/>
                  </w:pPr>
                  <w:r>
                    <w:t>500μg/m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pPr>
                    <w:pStyle w:val="53"/>
                  </w:pPr>
                  <w:r>
                    <w:t>NO</w:t>
                  </w:r>
                  <w:r>
                    <w:rPr>
                      <w:vertAlign w:val="subscript"/>
                    </w:rPr>
                    <w:t>2</w:t>
                  </w:r>
                </w:p>
              </w:tc>
              <w:tc>
                <w:tcPr>
                  <w:tcW w:w="2051" w:type="dxa"/>
                  <w:vAlign w:val="center"/>
                </w:tcPr>
                <w:p>
                  <w:pPr>
                    <w:pStyle w:val="53"/>
                  </w:pPr>
                  <w:r>
                    <w:t>年平均</w:t>
                  </w:r>
                </w:p>
              </w:tc>
              <w:tc>
                <w:tcPr>
                  <w:tcW w:w="1334" w:type="dxa"/>
                  <w:vAlign w:val="center"/>
                </w:tcPr>
                <w:p>
                  <w:pPr>
                    <w:pStyle w:val="53"/>
                  </w:pPr>
                  <w:r>
                    <w:t>40μg/m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cantSplit/>
                <w:trHeight w:val="90" w:hRule="atLeast"/>
                <w:jc w:val="center"/>
              </w:trPr>
              <w:tc>
                <w:tcPr>
                  <w:tcW w:w="1375" w:type="dxa"/>
                  <w:vMerge w:val="continue"/>
                  <w:vAlign w:val="center"/>
                </w:tcPr>
                <w:p>
                  <w:pPr>
                    <w:pStyle w:val="53"/>
                  </w:pPr>
                </w:p>
              </w:tc>
              <w:tc>
                <w:tcPr>
                  <w:tcW w:w="2051" w:type="dxa"/>
                  <w:vAlign w:val="center"/>
                </w:tcPr>
                <w:p>
                  <w:pPr>
                    <w:pStyle w:val="53"/>
                  </w:pPr>
                  <w:r>
                    <w:t>24小时平均</w:t>
                  </w:r>
                </w:p>
              </w:tc>
              <w:tc>
                <w:tcPr>
                  <w:tcW w:w="1334" w:type="dxa"/>
                  <w:vAlign w:val="center"/>
                </w:tcPr>
                <w:p>
                  <w:pPr>
                    <w:pStyle w:val="53"/>
                  </w:pPr>
                  <w:r>
                    <w:t>80μg/m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pPr>
                    <w:pStyle w:val="53"/>
                  </w:pPr>
                </w:p>
              </w:tc>
              <w:tc>
                <w:tcPr>
                  <w:tcW w:w="2051" w:type="dxa"/>
                  <w:vAlign w:val="center"/>
                </w:tcPr>
                <w:p>
                  <w:pPr>
                    <w:pStyle w:val="53"/>
                  </w:pPr>
                  <w:r>
                    <w:t>1小时平均</w:t>
                  </w:r>
                </w:p>
              </w:tc>
              <w:tc>
                <w:tcPr>
                  <w:tcW w:w="1334" w:type="dxa"/>
                  <w:vAlign w:val="center"/>
                </w:tcPr>
                <w:p>
                  <w:pPr>
                    <w:pStyle w:val="53"/>
                  </w:pPr>
                  <w:r>
                    <w:t>200μg/m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pPr>
                    <w:pStyle w:val="53"/>
                  </w:pPr>
                  <w:r>
                    <w:t>CO</w:t>
                  </w:r>
                </w:p>
              </w:tc>
              <w:tc>
                <w:tcPr>
                  <w:tcW w:w="2051" w:type="dxa"/>
                  <w:vAlign w:val="center"/>
                </w:tcPr>
                <w:p>
                  <w:pPr>
                    <w:pStyle w:val="53"/>
                  </w:pPr>
                  <w:r>
                    <w:t>24小时平均</w:t>
                  </w:r>
                </w:p>
              </w:tc>
              <w:tc>
                <w:tcPr>
                  <w:tcW w:w="1334" w:type="dxa"/>
                  <w:vAlign w:val="center"/>
                </w:tcPr>
                <w:p>
                  <w:pPr>
                    <w:pStyle w:val="53"/>
                  </w:pPr>
                  <w:r>
                    <w:t>4mg/m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pPr>
                    <w:pStyle w:val="53"/>
                  </w:pPr>
                </w:p>
              </w:tc>
              <w:tc>
                <w:tcPr>
                  <w:tcW w:w="2051" w:type="dxa"/>
                  <w:vAlign w:val="center"/>
                </w:tcPr>
                <w:p>
                  <w:pPr>
                    <w:pStyle w:val="53"/>
                  </w:pPr>
                  <w:r>
                    <w:t>1小时平均</w:t>
                  </w:r>
                </w:p>
              </w:tc>
              <w:tc>
                <w:tcPr>
                  <w:tcW w:w="1334" w:type="dxa"/>
                  <w:vAlign w:val="center"/>
                </w:tcPr>
                <w:p>
                  <w:pPr>
                    <w:pStyle w:val="53"/>
                  </w:pPr>
                  <w:r>
                    <w:t>10mg/m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pPr>
                    <w:pStyle w:val="53"/>
                  </w:pPr>
                  <w:r>
                    <w:t>O</w:t>
                  </w:r>
                  <w:r>
                    <w:rPr>
                      <w:vertAlign w:val="subscript"/>
                    </w:rPr>
                    <w:t>3</w:t>
                  </w:r>
                </w:p>
              </w:tc>
              <w:tc>
                <w:tcPr>
                  <w:tcW w:w="2051" w:type="dxa"/>
                  <w:vAlign w:val="center"/>
                </w:tcPr>
                <w:p>
                  <w:pPr>
                    <w:pStyle w:val="53"/>
                  </w:pPr>
                  <w:r>
                    <w:t>日最大8小时平均</w:t>
                  </w:r>
                </w:p>
              </w:tc>
              <w:tc>
                <w:tcPr>
                  <w:tcW w:w="1334" w:type="dxa"/>
                  <w:vAlign w:val="center"/>
                </w:tcPr>
                <w:p>
                  <w:pPr>
                    <w:pStyle w:val="53"/>
                  </w:pPr>
                  <w:r>
                    <w:t>160μg/m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cantSplit/>
                <w:trHeight w:val="340" w:hRule="atLeast"/>
                <w:jc w:val="center"/>
              </w:trPr>
              <w:tc>
                <w:tcPr>
                  <w:tcW w:w="1375" w:type="dxa"/>
                  <w:vMerge w:val="continue"/>
                  <w:vAlign w:val="center"/>
                </w:tcPr>
                <w:p>
                  <w:pPr>
                    <w:pStyle w:val="53"/>
                  </w:pPr>
                </w:p>
              </w:tc>
              <w:tc>
                <w:tcPr>
                  <w:tcW w:w="2051" w:type="dxa"/>
                  <w:vAlign w:val="center"/>
                </w:tcPr>
                <w:p>
                  <w:pPr>
                    <w:pStyle w:val="53"/>
                  </w:pPr>
                  <w:r>
                    <w:t>1小时平均</w:t>
                  </w:r>
                </w:p>
              </w:tc>
              <w:tc>
                <w:tcPr>
                  <w:tcW w:w="1334" w:type="dxa"/>
                  <w:vAlign w:val="center"/>
                </w:tcPr>
                <w:p>
                  <w:pPr>
                    <w:pStyle w:val="53"/>
                  </w:pPr>
                  <w:r>
                    <w:t>200μg/m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pPr>
                    <w:pStyle w:val="53"/>
                  </w:pPr>
                  <w:r>
                    <w:t>TSP</w:t>
                  </w:r>
                </w:p>
              </w:tc>
              <w:tc>
                <w:tcPr>
                  <w:tcW w:w="2051" w:type="dxa"/>
                  <w:vAlign w:val="center"/>
                </w:tcPr>
                <w:p>
                  <w:pPr>
                    <w:pStyle w:val="53"/>
                  </w:pPr>
                  <w:r>
                    <w:t>年平均</w:t>
                  </w:r>
                </w:p>
              </w:tc>
              <w:tc>
                <w:tcPr>
                  <w:tcW w:w="1334" w:type="dxa"/>
                  <w:vAlign w:val="center"/>
                </w:tcPr>
                <w:p>
                  <w:pPr>
                    <w:pStyle w:val="53"/>
                  </w:pPr>
                  <w:r>
                    <w:t>200μg/m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pPr>
                    <w:pStyle w:val="53"/>
                  </w:pPr>
                </w:p>
              </w:tc>
              <w:tc>
                <w:tcPr>
                  <w:tcW w:w="2051" w:type="dxa"/>
                  <w:vAlign w:val="center"/>
                </w:tcPr>
                <w:p>
                  <w:pPr>
                    <w:pStyle w:val="53"/>
                  </w:pPr>
                  <w:r>
                    <w:t>24小时平均</w:t>
                  </w:r>
                </w:p>
              </w:tc>
              <w:tc>
                <w:tcPr>
                  <w:tcW w:w="1334" w:type="dxa"/>
                  <w:vAlign w:val="center"/>
                </w:tcPr>
                <w:p>
                  <w:pPr>
                    <w:pStyle w:val="53"/>
                  </w:pPr>
                  <w:r>
                    <w:t>300μg/m</w:t>
                  </w:r>
                  <w:r>
                    <w:rPr>
                      <w:vertAlign w:val="superscript"/>
                    </w:rPr>
                    <w:t>3</w:t>
                  </w:r>
                </w:p>
              </w:tc>
              <w:tc>
                <w:tcPr>
                  <w:tcW w:w="3404" w:type="dxa"/>
                  <w:vMerge w:val="continue"/>
                  <w:vAlign w:val="center"/>
                </w:tcPr>
                <w:p>
                  <w:pPr>
                    <w:pStyle w:val="53"/>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Align w:val="center"/>
                </w:tcPr>
                <w:p>
                  <w:pPr>
                    <w:pStyle w:val="53"/>
                  </w:pPr>
                  <w:r>
                    <w:t>非甲烷总烃</w:t>
                  </w:r>
                </w:p>
              </w:tc>
              <w:tc>
                <w:tcPr>
                  <w:tcW w:w="2051" w:type="dxa"/>
                  <w:vAlign w:val="center"/>
                </w:tcPr>
                <w:p>
                  <w:pPr>
                    <w:pStyle w:val="53"/>
                  </w:pPr>
                  <w:r>
                    <w:t>1小时平均</w:t>
                  </w:r>
                </w:p>
              </w:tc>
              <w:tc>
                <w:tcPr>
                  <w:tcW w:w="1334" w:type="dxa"/>
                  <w:vAlign w:val="center"/>
                </w:tcPr>
                <w:p>
                  <w:pPr>
                    <w:pStyle w:val="53"/>
                  </w:pPr>
                  <w:r>
                    <w:t>2</w:t>
                  </w:r>
                  <w:r>
                    <w:rPr>
                      <w:rFonts w:hint="eastAsia"/>
                    </w:rPr>
                    <w:t>.0m</w:t>
                  </w:r>
                  <w:r>
                    <w:t>g/m</w:t>
                  </w:r>
                  <w:r>
                    <w:rPr>
                      <w:vertAlign w:val="superscript"/>
                    </w:rPr>
                    <w:t>3</w:t>
                  </w:r>
                </w:p>
              </w:tc>
              <w:tc>
                <w:tcPr>
                  <w:tcW w:w="3404" w:type="dxa"/>
                  <w:vAlign w:val="center"/>
                </w:tcPr>
                <w:p>
                  <w:pPr>
                    <w:pStyle w:val="53"/>
                    <w:bidi w:val="0"/>
                  </w:pPr>
                  <w:r>
                    <w:rPr>
                      <w:rFonts w:hint="eastAsia"/>
                    </w:rPr>
                    <w:t>《大气污染物综合排放标准详解》</w:t>
                  </w:r>
                  <w:r>
                    <w:rPr>
                      <w:rFonts w:hint="eastAsia"/>
                      <w:lang w:eastAsia="zh-CN"/>
                    </w:rPr>
                    <w:t>（</w:t>
                  </w:r>
                  <w:r>
                    <w:t>GB 16297-1996</w:t>
                  </w:r>
                  <w:r>
                    <w:rPr>
                      <w:rFonts w:hint="eastAsia"/>
                      <w:lang w:eastAsia="zh-CN"/>
                    </w:rPr>
                    <w:t>）</w:t>
                  </w:r>
                  <w:r>
                    <w:rPr>
                      <w:rFonts w:hint="eastAsia"/>
                    </w:rPr>
                    <w:t>中的环境背景浓度取值</w:t>
                  </w:r>
                </w:p>
              </w:tc>
            </w:tr>
          </w:tbl>
          <w:p>
            <w:pPr>
              <w:pStyle w:val="116"/>
              <w:adjustRightInd w:val="0"/>
              <w:snapToGrid w:val="0"/>
              <w:spacing w:beforeLines="50"/>
              <w:ind w:firstLine="0" w:firstLineChars="0"/>
              <w:rPr>
                <w:rFonts w:ascii="Times New Roman" w:hAnsi="Times New Roman"/>
                <w:b/>
                <w:bCs/>
                <w:color w:val="000000"/>
              </w:rPr>
            </w:pPr>
            <w:r>
              <w:rPr>
                <w:rFonts w:ascii="Times New Roman" w:hAnsi="Times New Roman"/>
                <w:b/>
                <w:bCs/>
                <w:color w:val="000000"/>
              </w:rPr>
              <w:t>3.1.2区域大气环境质量现状</w:t>
            </w:r>
          </w:p>
          <w:p>
            <w:pPr>
              <w:numPr>
                <w:ilvl w:val="0"/>
                <w:numId w:val="4"/>
              </w:numPr>
            </w:pPr>
            <w:bookmarkStart w:id="31" w:name="_Toc27044"/>
            <w:bookmarkStart w:id="32" w:name="_Toc7217"/>
            <w:bookmarkStart w:id="33" w:name="_Toc25650"/>
            <w:r>
              <w:rPr>
                <w:rFonts w:hint="eastAsia"/>
              </w:rPr>
              <w:t>常规因子</w:t>
            </w:r>
          </w:p>
          <w:p>
            <w:pPr>
              <w:pStyle w:val="33"/>
              <w:spacing w:before="0" w:beforeAutospacing="0" w:after="0" w:afterAutospacing="0"/>
              <w:rPr>
                <w:rFonts w:ascii="Times New Roman" w:hAnsi="Times New Roman"/>
              </w:rPr>
            </w:pPr>
            <w:r>
              <w:rPr>
                <w:rFonts w:ascii="Times New Roman" w:hAnsi="Times New Roman"/>
                <w:szCs w:val="24"/>
              </w:rPr>
              <w:t>为了评述项目所在区域大气环境质量现状，</w:t>
            </w:r>
            <w:r>
              <w:rPr>
                <w:rFonts w:hint="eastAsia" w:ascii="Times New Roman" w:hAnsi="Times New Roman"/>
                <w:szCs w:val="24"/>
              </w:rPr>
              <w:t>项目引用</w:t>
            </w:r>
            <w:r>
              <w:rPr>
                <w:rFonts w:hint="eastAsia" w:ascii="Times New Roman" w:hAnsi="Times New Roman"/>
              </w:rPr>
              <w:t>福建省生态环境厅发布的关于2024年1-12月设区城市环境空气质量状况（https://sthjt.fujian.gov.cn/zwgk/sjfb/hjsj/zlph/202502/t20250208_6712419.htm）显示，2024年1-12月，福州市达标天数比例在98.1%，环境空气质量综合指数2.40。在福建省城市中排名第四。由此可知，福州市城区环境空气质量总体达到二级标准，马尾区属于达标区域。</w:t>
            </w:r>
          </w:p>
          <w:p>
            <w:pPr>
              <w:pStyle w:val="96"/>
            </w:pPr>
            <w:r>
              <w:rPr>
                <w:lang w:val="zh-CN"/>
              </w:rPr>
              <w:t>表3.1-</w:t>
            </w:r>
            <w:r>
              <w:rPr>
                <w:rFonts w:hint="eastAsia"/>
              </w:rPr>
              <w:t>2  2024年1—12月设区城市环境空气质量状况</w:t>
            </w:r>
          </w:p>
          <w:p>
            <w:pPr>
              <w:pStyle w:val="33"/>
              <w:spacing w:before="0" w:beforeAutospacing="0" w:after="0" w:afterAutospacing="0"/>
              <w:ind w:firstLine="0" w:firstLineChars="0"/>
              <w:jc w:val="center"/>
              <w:rPr>
                <w:rFonts w:ascii="Times New Roman" w:hAnsi="Times New Roman"/>
                <w:szCs w:val="24"/>
              </w:rPr>
            </w:pPr>
            <w:r>
              <w:drawing>
                <wp:inline distT="0" distB="0" distL="114300" distR="114300">
                  <wp:extent cx="5327650" cy="319214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cstate="print"/>
                          <a:srcRect t="6838"/>
                          <a:stretch>
                            <a:fillRect/>
                          </a:stretch>
                        </pic:blipFill>
                        <pic:spPr>
                          <a:xfrm>
                            <a:off x="0" y="0"/>
                            <a:ext cx="5327650" cy="3192145"/>
                          </a:xfrm>
                          <a:prstGeom prst="rect">
                            <a:avLst/>
                          </a:prstGeom>
                          <a:noFill/>
                          <a:ln>
                            <a:noFill/>
                          </a:ln>
                        </pic:spPr>
                      </pic:pic>
                    </a:graphicData>
                  </a:graphic>
                </wp:inline>
              </w:drawing>
            </w:r>
          </w:p>
          <w:p>
            <w:pPr>
              <w:widowControl/>
              <w:numPr>
                <w:ilvl w:val="0"/>
                <w:numId w:val="4"/>
              </w:numPr>
              <w:snapToGrid w:val="0"/>
              <w:jc w:val="left"/>
            </w:pPr>
            <w:r>
              <w:t>特征污染因子</w:t>
            </w:r>
          </w:p>
          <w:p>
            <w:r>
              <w:rPr>
                <w:rFonts w:hint="eastAsia"/>
              </w:rPr>
              <w:t>本项目的特征因子为非甲烷总烃及颗粒物。</w:t>
            </w:r>
            <w:r>
              <w:t>为了解项目区特征污染物质量现状，本项目</w:t>
            </w:r>
            <w:r>
              <w:rPr>
                <w:rFonts w:hint="eastAsia"/>
              </w:rPr>
              <w:t>于2025年9月17日~9月20日委托福建华远检测有限公司对其项目附近大气环境质量现状进行监测，详见表3.1-3（</w:t>
            </w:r>
            <w:r>
              <w:rPr>
                <w:rFonts w:hint="eastAsia"/>
              </w:rPr>
              <w:fldChar w:fldCharType="begin"/>
            </w:r>
            <w:r>
              <w:rPr>
                <w:rFonts w:hint="eastAsia"/>
              </w:rPr>
              <w:instrText xml:space="preserve"> REF _Toc27879 \h </w:instrText>
            </w:r>
            <w:r>
              <w:rPr>
                <w:rFonts w:hint="eastAsia"/>
              </w:rPr>
              <w:fldChar w:fldCharType="separate"/>
            </w:r>
            <w:r>
              <w:t>附件 15</w:t>
            </w:r>
            <w:r>
              <w:rPr>
                <w:rFonts w:hint="eastAsia"/>
              </w:rPr>
              <w:t xml:space="preserve"> 现状监测报告</w:t>
            </w:r>
            <w:r>
              <w:rPr>
                <w:rFonts w:hint="eastAsia"/>
              </w:rPr>
              <w:fldChar w:fldCharType="end"/>
            </w:r>
            <w:r>
              <w:rPr>
                <w:rFonts w:hint="eastAsia"/>
              </w:rPr>
              <w:t>）。</w:t>
            </w:r>
          </w:p>
          <w:p>
            <w:pPr>
              <w:pStyle w:val="96"/>
            </w:pPr>
            <w:r>
              <w:rPr>
                <w:rFonts w:hint="eastAsia"/>
              </w:rPr>
              <w:t>表3.1-3 环境空气检测结果</w:t>
            </w:r>
          </w:p>
          <w:tbl>
            <w:tblPr>
              <w:tblStyle w:val="3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665"/>
              <w:gridCol w:w="809"/>
              <w:gridCol w:w="1640"/>
              <w:gridCol w:w="1879"/>
              <w:gridCol w:w="823"/>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vAlign w:val="center"/>
                </w:tcPr>
                <w:p>
                  <w:pPr>
                    <w:pStyle w:val="53"/>
                  </w:pPr>
                  <w:r>
                    <w:rPr>
                      <w:rFonts w:hint="eastAsia"/>
                    </w:rPr>
                    <w:t>采样点位</w:t>
                  </w:r>
                </w:p>
              </w:tc>
              <w:tc>
                <w:tcPr>
                  <w:tcW w:w="0" w:type="auto"/>
                  <w:vAlign w:val="center"/>
                </w:tcPr>
                <w:p>
                  <w:pPr>
                    <w:pStyle w:val="53"/>
                  </w:pPr>
                  <w:r>
                    <w:rPr>
                      <w:rFonts w:hint="eastAsia"/>
                    </w:rPr>
                    <w:t>项目/名称</w:t>
                  </w:r>
                </w:p>
              </w:tc>
              <w:tc>
                <w:tcPr>
                  <w:tcW w:w="0" w:type="auto"/>
                  <w:vAlign w:val="center"/>
                </w:tcPr>
                <w:p>
                  <w:pPr>
                    <w:pStyle w:val="53"/>
                  </w:pPr>
                  <w:r>
                    <w:rPr>
                      <w:rFonts w:hint="eastAsia"/>
                    </w:rPr>
                    <w:t>平均时间</w:t>
                  </w:r>
                </w:p>
              </w:tc>
              <w:tc>
                <w:tcPr>
                  <w:tcW w:w="0" w:type="auto"/>
                  <w:vAlign w:val="center"/>
                </w:tcPr>
                <w:p>
                  <w:pPr>
                    <w:pStyle w:val="53"/>
                  </w:pPr>
                  <w:r>
                    <w:rPr>
                      <w:rFonts w:hint="eastAsia"/>
                    </w:rPr>
                    <w:t>评价标准（</w:t>
                  </w:r>
                  <w:r>
                    <w:rPr>
                      <w:rFonts w:eastAsia="仿宋"/>
                      <w:color w:val="auto"/>
                    </w:rPr>
                    <w:t>mg/m</w:t>
                  </w:r>
                  <w:r>
                    <w:rPr>
                      <w:rFonts w:eastAsia="仿宋"/>
                      <w:color w:val="auto"/>
                      <w:vertAlign w:val="superscript"/>
                    </w:rPr>
                    <w:t>3</w:t>
                  </w:r>
                  <w:r>
                    <w:rPr>
                      <w:rFonts w:hint="eastAsia"/>
                    </w:rPr>
                    <w:t>）</w:t>
                  </w:r>
                </w:p>
              </w:tc>
              <w:tc>
                <w:tcPr>
                  <w:tcW w:w="0" w:type="auto"/>
                  <w:vAlign w:val="center"/>
                </w:tcPr>
                <w:p>
                  <w:pPr>
                    <w:pStyle w:val="53"/>
                  </w:pPr>
                  <w:r>
                    <w:rPr>
                      <w:rFonts w:hint="eastAsia"/>
                    </w:rPr>
                    <w:t>监测浓度范围（</w:t>
                  </w:r>
                  <w:r>
                    <w:rPr>
                      <w:rFonts w:eastAsia="仿宋"/>
                      <w:color w:val="auto"/>
                    </w:rPr>
                    <w:t>mg/m</w:t>
                  </w:r>
                  <w:r>
                    <w:rPr>
                      <w:rFonts w:eastAsia="仿宋"/>
                      <w:color w:val="auto"/>
                      <w:vertAlign w:val="superscript"/>
                    </w:rPr>
                    <w:t>3</w:t>
                  </w:r>
                  <w:r>
                    <w:rPr>
                      <w:rFonts w:hint="eastAsia"/>
                    </w:rPr>
                    <w:t>）</w:t>
                  </w:r>
                </w:p>
              </w:tc>
              <w:tc>
                <w:tcPr>
                  <w:tcW w:w="0" w:type="auto"/>
                  <w:tcBorders>
                    <w:right w:val="nil"/>
                  </w:tcBorders>
                  <w:vAlign w:val="center"/>
                </w:tcPr>
                <w:p>
                  <w:pPr>
                    <w:pStyle w:val="53"/>
                  </w:pPr>
                  <w:r>
                    <w:rPr>
                      <w:rFonts w:hint="eastAsia"/>
                    </w:rPr>
                    <w:t>超标率%</w:t>
                  </w:r>
                </w:p>
              </w:tc>
              <w:tc>
                <w:tcPr>
                  <w:tcW w:w="0" w:type="auto"/>
                  <w:tcBorders>
                    <w:right w:val="nil"/>
                  </w:tcBorders>
                  <w:vAlign w:val="center"/>
                </w:tcPr>
                <w:p>
                  <w:pPr>
                    <w:pStyle w:val="53"/>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left w:val="nil"/>
                  </w:tcBorders>
                  <w:vAlign w:val="center"/>
                </w:tcPr>
                <w:p>
                  <w:pPr>
                    <w:pStyle w:val="53"/>
                  </w:pPr>
                  <w:r>
                    <w:rPr>
                      <w:rFonts w:hint="eastAsia"/>
                      <w:lang w:val="en-US" w:eastAsia="zh-CN"/>
                    </w:rPr>
                    <w:t>洪塘</w:t>
                  </w:r>
                  <w:r>
                    <w:rPr>
                      <w:rFonts w:hint="eastAsia"/>
                    </w:rPr>
                    <w:t>村Q1</w:t>
                  </w:r>
                </w:p>
              </w:tc>
              <w:tc>
                <w:tcPr>
                  <w:tcW w:w="0" w:type="auto"/>
                  <w:vAlign w:val="center"/>
                </w:tcPr>
                <w:p>
                  <w:pPr>
                    <w:pStyle w:val="53"/>
                  </w:pPr>
                  <w:r>
                    <w:rPr>
                      <w:rFonts w:hint="eastAsia"/>
                    </w:rPr>
                    <w:t>非甲烷总烃</w:t>
                  </w:r>
                </w:p>
              </w:tc>
              <w:tc>
                <w:tcPr>
                  <w:tcW w:w="0" w:type="auto"/>
                  <w:vAlign w:val="center"/>
                </w:tcPr>
                <w:p>
                  <w:pPr>
                    <w:pStyle w:val="53"/>
                  </w:pPr>
                  <w:r>
                    <w:rPr>
                      <w:rFonts w:hint="eastAsia"/>
                    </w:rPr>
                    <w:t>1h</w:t>
                  </w:r>
                </w:p>
              </w:tc>
              <w:tc>
                <w:tcPr>
                  <w:tcW w:w="0" w:type="auto"/>
                  <w:vAlign w:val="center"/>
                </w:tcPr>
                <w:p>
                  <w:pPr>
                    <w:pStyle w:val="53"/>
                  </w:pPr>
                  <w:r>
                    <w:rPr>
                      <w:rFonts w:hint="eastAsia"/>
                    </w:rPr>
                    <w:t>2.0</w:t>
                  </w:r>
                </w:p>
              </w:tc>
              <w:tc>
                <w:tcPr>
                  <w:tcW w:w="0" w:type="auto"/>
                  <w:vAlign w:val="center"/>
                </w:tcPr>
                <w:p>
                  <w:pPr>
                    <w:pStyle w:val="53"/>
                  </w:pPr>
                  <w:r>
                    <w:rPr>
                      <w:rFonts w:hint="eastAsia"/>
                    </w:rPr>
                    <w:t>0.62-0.78</w:t>
                  </w:r>
                </w:p>
              </w:tc>
              <w:tc>
                <w:tcPr>
                  <w:tcW w:w="0" w:type="auto"/>
                  <w:tcBorders>
                    <w:right w:val="nil"/>
                  </w:tcBorders>
                  <w:vAlign w:val="center"/>
                </w:tcPr>
                <w:p>
                  <w:pPr>
                    <w:pStyle w:val="53"/>
                  </w:pPr>
                  <w:r>
                    <w:rPr>
                      <w:rFonts w:hint="eastAsia"/>
                    </w:rPr>
                    <w:t>0</w:t>
                  </w:r>
                </w:p>
              </w:tc>
              <w:tc>
                <w:tcPr>
                  <w:tcW w:w="0" w:type="auto"/>
                  <w:tcBorders>
                    <w:right w:val="nil"/>
                  </w:tcBorders>
                  <w:vAlign w:val="center"/>
                </w:tcPr>
                <w:p>
                  <w:pPr>
                    <w:pStyle w:val="5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nil"/>
                  </w:tcBorders>
                  <w:vAlign w:val="center"/>
                </w:tcPr>
                <w:p>
                  <w:pPr>
                    <w:pStyle w:val="53"/>
                  </w:pPr>
                </w:p>
              </w:tc>
              <w:tc>
                <w:tcPr>
                  <w:tcW w:w="0" w:type="auto"/>
                  <w:vAlign w:val="center"/>
                </w:tcPr>
                <w:p>
                  <w:pPr>
                    <w:pStyle w:val="53"/>
                  </w:pPr>
                  <w:r>
                    <w:rPr>
                      <w:rFonts w:hint="eastAsia"/>
                    </w:rPr>
                    <w:t>总悬浮颗粒物（TSP）</w:t>
                  </w:r>
                </w:p>
              </w:tc>
              <w:tc>
                <w:tcPr>
                  <w:tcW w:w="0" w:type="auto"/>
                  <w:vAlign w:val="center"/>
                </w:tcPr>
                <w:p>
                  <w:pPr>
                    <w:pStyle w:val="53"/>
                  </w:pPr>
                  <w:r>
                    <w:rPr>
                      <w:rFonts w:hint="eastAsia"/>
                    </w:rPr>
                    <w:t>24h</w:t>
                  </w:r>
                </w:p>
              </w:tc>
              <w:tc>
                <w:tcPr>
                  <w:tcW w:w="0" w:type="auto"/>
                  <w:vAlign w:val="center"/>
                </w:tcPr>
                <w:p>
                  <w:pPr>
                    <w:pStyle w:val="53"/>
                  </w:pPr>
                  <w:r>
                    <w:rPr>
                      <w:rFonts w:hint="eastAsia"/>
                    </w:rPr>
                    <w:t>0.3</w:t>
                  </w:r>
                </w:p>
              </w:tc>
              <w:tc>
                <w:tcPr>
                  <w:tcW w:w="0" w:type="auto"/>
                  <w:vAlign w:val="center"/>
                </w:tcPr>
                <w:p>
                  <w:pPr>
                    <w:pStyle w:val="53"/>
                  </w:pPr>
                  <w:r>
                    <w:rPr>
                      <w:rFonts w:hint="eastAsia"/>
                    </w:rPr>
                    <w:t>0.091-0.104</w:t>
                  </w:r>
                </w:p>
              </w:tc>
              <w:tc>
                <w:tcPr>
                  <w:tcW w:w="0" w:type="auto"/>
                  <w:tcBorders>
                    <w:right w:val="nil"/>
                  </w:tcBorders>
                  <w:vAlign w:val="center"/>
                </w:tcPr>
                <w:p>
                  <w:pPr>
                    <w:pStyle w:val="53"/>
                  </w:pPr>
                  <w:r>
                    <w:rPr>
                      <w:rFonts w:hint="eastAsia"/>
                    </w:rPr>
                    <w:t>0</w:t>
                  </w:r>
                </w:p>
              </w:tc>
              <w:tc>
                <w:tcPr>
                  <w:tcW w:w="0" w:type="auto"/>
                  <w:tcBorders>
                    <w:right w:val="nil"/>
                  </w:tcBorders>
                  <w:vAlign w:val="center"/>
                </w:tcPr>
                <w:p>
                  <w:pPr>
                    <w:pStyle w:val="53"/>
                  </w:pPr>
                  <w:r>
                    <w:rPr>
                      <w:rFonts w:hint="eastAsia"/>
                    </w:rPr>
                    <w:t>达标</w:t>
                  </w:r>
                </w:p>
              </w:tc>
            </w:tr>
          </w:tbl>
          <w:p>
            <w:pPr>
              <w:widowControl/>
              <w:rPr>
                <w:rFonts w:cs="宋体"/>
              </w:rPr>
            </w:pPr>
            <w:r>
              <w:rPr>
                <w:rFonts w:cs="宋体"/>
              </w:rPr>
              <w:t>根据检测结果可知，非甲烷总烃检测结果能达到</w:t>
            </w:r>
            <w:r>
              <w:rPr>
                <w:rFonts w:hint="eastAsia" w:cs="宋体"/>
              </w:rPr>
              <w:t>《大气污染物综合排放标准详解》（GB 16297-1996）中的环境背景浓度取值</w:t>
            </w:r>
            <w:r>
              <w:rPr>
                <w:rFonts w:cs="宋体"/>
              </w:rPr>
              <w:t>，</w:t>
            </w:r>
            <w:r>
              <w:rPr>
                <w:rFonts w:hint="eastAsia"/>
                <w:color w:val="000000"/>
                <w:kern w:val="0"/>
              </w:rPr>
              <w:t>特征污染因子颗粒物的现状监测点的浓度值可符合</w:t>
            </w:r>
            <w:r>
              <w:rPr>
                <w:color w:val="000000"/>
              </w:rPr>
              <w:t>《环境空气质量标准》</w:t>
            </w:r>
            <w:r>
              <w:rPr>
                <w:rFonts w:hint="eastAsia"/>
                <w:color w:val="000000"/>
                <w:lang w:eastAsia="zh-CN"/>
              </w:rPr>
              <w:t>（</w:t>
            </w:r>
            <w:r>
              <w:rPr>
                <w:color w:val="000000"/>
              </w:rPr>
              <w:t>GB3095-2012</w:t>
            </w:r>
            <w:r>
              <w:rPr>
                <w:rFonts w:hint="eastAsia"/>
                <w:color w:val="000000"/>
                <w:lang w:eastAsia="zh-CN"/>
              </w:rPr>
              <w:t>）</w:t>
            </w:r>
            <w:r>
              <w:rPr>
                <w:color w:val="000000"/>
              </w:rPr>
              <w:t>及其修改单中的二级标准</w:t>
            </w:r>
            <w:r>
              <w:rPr>
                <w:rFonts w:hint="eastAsia"/>
                <w:color w:val="000000"/>
                <w:kern w:val="0"/>
              </w:rPr>
              <w:t>要求，</w:t>
            </w:r>
            <w:r>
              <w:rPr>
                <w:rFonts w:cs="宋体"/>
              </w:rPr>
              <w:t>项目周边区域环境空气质量良好。</w:t>
            </w:r>
          </w:p>
          <w:p>
            <w:pPr>
              <w:ind w:firstLine="0" w:firstLineChars="0"/>
              <w:jc w:val="center"/>
            </w:pPr>
            <w:r>
              <w:drawing>
                <wp:inline distT="0" distB="0" distL="114300" distR="114300">
                  <wp:extent cx="5316855" cy="2966085"/>
                  <wp:effectExtent l="9525" t="9525" r="26670" b="152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cstate="print"/>
                          <a:stretch>
                            <a:fillRect/>
                          </a:stretch>
                        </pic:blipFill>
                        <pic:spPr>
                          <a:xfrm>
                            <a:off x="0" y="0"/>
                            <a:ext cx="5316855" cy="29660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autoSpaceDE w:val="0"/>
              <w:autoSpaceDN w:val="0"/>
              <w:ind w:firstLine="482"/>
              <w:jc w:val="center"/>
              <w:textAlignment w:val="bottom"/>
            </w:pPr>
            <w:r>
              <w:rPr>
                <w:b/>
                <w:bCs/>
              </w:rPr>
              <w:t>图3.</w:t>
            </w:r>
            <w:r>
              <w:rPr>
                <w:rFonts w:hint="eastAsia"/>
                <w:b/>
                <w:bCs/>
              </w:rPr>
              <w:t>1</w:t>
            </w:r>
            <w:r>
              <w:rPr>
                <w:b/>
                <w:bCs/>
              </w:rPr>
              <w:t>-</w:t>
            </w:r>
            <w:r>
              <w:rPr>
                <w:rFonts w:hint="eastAsia"/>
                <w:b/>
                <w:bCs/>
              </w:rPr>
              <w:t>1 环境质量现状监测点位图</w:t>
            </w:r>
          </w:p>
          <w:p>
            <w:pPr>
              <w:pStyle w:val="4"/>
            </w:pPr>
            <w:r>
              <w:t>地表水环境质量现状</w:t>
            </w:r>
            <w:bookmarkEnd w:id="31"/>
            <w:bookmarkEnd w:id="32"/>
            <w:bookmarkEnd w:id="33"/>
          </w:p>
          <w:p>
            <w:pPr>
              <w:pStyle w:val="5"/>
              <w:spacing w:before="120"/>
            </w:pPr>
            <w:r>
              <w:t>地表水功能区划</w:t>
            </w:r>
          </w:p>
          <w:p>
            <w:r>
              <w:rPr>
                <w:rFonts w:hint="eastAsia"/>
              </w:rPr>
              <w:t>（1）</w:t>
            </w:r>
            <w:r>
              <w:t>水环境</w:t>
            </w:r>
          </w:p>
          <w:p>
            <w:pPr>
              <w:pStyle w:val="89"/>
              <w:ind w:firstLine="480" w:firstLineChars="200"/>
              <w:jc w:val="left"/>
              <w:rPr>
                <w:rFonts w:hint="eastAsia" w:ascii="Times New Roman" w:hAnsi="Times New Roman" w:eastAsia="宋体" w:cs="宋体"/>
                <w:b w:val="0"/>
              </w:rPr>
            </w:pPr>
            <w:r>
              <w:rPr>
                <w:rFonts w:ascii="Times New Roman" w:hAnsi="Times New Roman" w:eastAsia="宋体" w:cs="宋体"/>
                <w:b w:val="0"/>
              </w:rPr>
              <w:t>本项目附近水域为</w:t>
            </w:r>
            <w:r>
              <w:rPr>
                <w:rFonts w:ascii="Verdana" w:hAnsi="Verdana" w:cs="宋体"/>
                <w:b w:val="0"/>
                <w:bCs/>
                <w:color w:val="000000"/>
              </w:rPr>
              <w:t>闽江口海域</w:t>
            </w:r>
            <w:r>
              <w:rPr>
                <w:rFonts w:ascii="Times New Roman" w:hAnsi="Times New Roman" w:eastAsia="宋体" w:cs="宋体"/>
                <w:b w:val="0"/>
              </w:rPr>
              <w:t>，监测断面为</w:t>
            </w:r>
            <w:r>
              <w:rPr>
                <w:rFonts w:hint="eastAsia" w:ascii="Times New Roman" w:hAnsi="Times New Roman" w:eastAsia="宋体" w:cs="宋体"/>
                <w:b w:val="0"/>
              </w:rPr>
              <w:t>连江琯头断面</w:t>
            </w:r>
            <w:r>
              <w:rPr>
                <w:rFonts w:ascii="Times New Roman" w:hAnsi="Times New Roman" w:eastAsia="宋体" w:cs="宋体"/>
                <w:b w:val="0"/>
              </w:rPr>
              <w:t>。根据</w:t>
            </w:r>
            <w:r>
              <w:rPr>
                <w:rFonts w:hint="eastAsia"/>
                <w:b w:val="0"/>
                <w:bCs/>
              </w:rPr>
              <w:t>《近岸海域环境功能区划》</w:t>
            </w:r>
            <w:r>
              <w:rPr>
                <w:rFonts w:ascii="Times New Roman" w:hAnsi="Times New Roman" w:eastAsia="宋体" w:cs="宋体"/>
                <w:b w:val="0"/>
              </w:rPr>
              <w:t>，</w:t>
            </w:r>
            <w:r>
              <w:rPr>
                <w:rFonts w:hint="eastAsia" w:ascii="Times New Roman" w:hAnsi="Times New Roman" w:eastAsia="宋体" w:cs="宋体"/>
                <w:b w:val="0"/>
              </w:rPr>
              <w:t>连江琯头断面</w:t>
            </w:r>
            <w:r>
              <w:rPr>
                <w:rFonts w:ascii="Times New Roman" w:hAnsi="Times New Roman" w:eastAsia="宋体" w:cs="宋体"/>
                <w:b w:val="0"/>
              </w:rPr>
              <w:t>主要水体功能为</w:t>
            </w:r>
            <w:r>
              <w:rPr>
                <w:rFonts w:hint="eastAsia" w:ascii="Times New Roman" w:hAnsi="Times New Roman" w:eastAsia="宋体" w:cs="宋体"/>
                <w:b w:val="0"/>
              </w:rPr>
              <w:t>港口、航运</w:t>
            </w:r>
            <w:r>
              <w:rPr>
                <w:rFonts w:ascii="Times New Roman" w:hAnsi="Times New Roman" w:eastAsia="宋体" w:cs="宋体"/>
                <w:b w:val="0"/>
              </w:rPr>
              <w:t>，环境功能类别为Ⅲ类水体</w:t>
            </w:r>
            <w:r>
              <w:rPr>
                <w:rFonts w:hint="eastAsia" w:ascii="Times New Roman" w:hAnsi="Times New Roman" w:eastAsia="宋体" w:cs="宋体"/>
                <w:b w:val="0"/>
              </w:rPr>
              <w:t>，</w:t>
            </w:r>
            <w:r>
              <w:rPr>
                <w:rFonts w:hint="eastAsia" w:ascii="Times New Roman" w:hAnsi="Times New Roman" w:eastAsia="宋体" w:cs="宋体"/>
                <w:b w:val="0"/>
                <w:lang w:val="en-US" w:eastAsia="zh-CN"/>
              </w:rPr>
              <w:t>该断面执行《地表水环境质量标准》（GB3838-2002）表1中的Ⅲ类水质标准</w:t>
            </w:r>
            <w:r>
              <w:rPr>
                <w:rFonts w:hint="eastAsia" w:ascii="Times New Roman" w:hAnsi="Times New Roman" w:eastAsia="宋体" w:cs="宋体"/>
                <w:b w:val="0"/>
                <w:lang w:eastAsia="zh-CN"/>
              </w:rPr>
              <w:t>，</w:t>
            </w:r>
            <w:r>
              <w:rPr>
                <w:rFonts w:hint="eastAsia" w:ascii="Times New Roman" w:hAnsi="Times New Roman" w:eastAsia="宋体" w:cs="宋体"/>
                <w:b w:val="0"/>
              </w:rPr>
              <w:t>海水</w:t>
            </w:r>
            <w:r>
              <w:rPr>
                <w:rFonts w:ascii="Times New Roman" w:hAnsi="Times New Roman" w:eastAsia="宋体" w:cs="宋体"/>
                <w:b w:val="0"/>
              </w:rPr>
              <w:t>水质执行《</w:t>
            </w:r>
            <w:r>
              <w:rPr>
                <w:rFonts w:hint="eastAsia" w:ascii="Times New Roman" w:hAnsi="Times New Roman" w:eastAsia="宋体" w:cs="宋体"/>
                <w:b w:val="0"/>
              </w:rPr>
              <w:t>海水水质标准</w:t>
            </w:r>
            <w:r>
              <w:rPr>
                <w:rFonts w:ascii="Times New Roman" w:hAnsi="Times New Roman" w:eastAsia="宋体" w:cs="宋体"/>
                <w:b w:val="0"/>
              </w:rPr>
              <w:t>》</w:t>
            </w:r>
            <w:r>
              <w:rPr>
                <w:rFonts w:ascii="Times New Roman" w:hAnsi="Times New Roman"/>
                <w:b w:val="0"/>
                <w:bCs/>
              </w:rPr>
              <w:t>（GB3097-1997）</w:t>
            </w:r>
            <w:r>
              <w:rPr>
                <w:rFonts w:ascii="Times New Roman" w:hAnsi="Times New Roman" w:eastAsia="宋体" w:cs="宋体"/>
                <w:b w:val="0"/>
              </w:rPr>
              <w:t>中</w:t>
            </w:r>
            <w:r>
              <w:rPr>
                <w:rFonts w:hint="eastAsia" w:ascii="Times New Roman" w:hAnsi="Times New Roman" w:eastAsia="宋体" w:cs="宋体"/>
                <w:b w:val="0"/>
              </w:rPr>
              <w:t>第三</w:t>
            </w:r>
            <w:r>
              <w:rPr>
                <w:rFonts w:ascii="Times New Roman" w:hAnsi="Times New Roman" w:eastAsia="宋体" w:cs="宋体"/>
                <w:b w:val="0"/>
              </w:rPr>
              <w:t>类水质标准</w:t>
            </w:r>
            <w:r>
              <w:rPr>
                <w:rFonts w:hint="eastAsia" w:ascii="Times New Roman" w:hAnsi="Times New Roman" w:eastAsia="宋体" w:cs="宋体"/>
                <w:b w:val="0"/>
              </w:rPr>
              <w:t>，见表3.2-2。</w:t>
            </w:r>
          </w:p>
          <w:p>
            <w:pPr>
              <w:rPr>
                <w:b/>
                <w:bCs/>
              </w:rPr>
            </w:pPr>
            <w:r>
              <w:rPr>
                <w:b/>
                <w:bCs/>
              </w:rPr>
              <w:t>表3.2-</w:t>
            </w:r>
            <w:r>
              <w:rPr>
                <w:rFonts w:hint="eastAsia"/>
                <w:b/>
                <w:bCs/>
                <w:lang w:val="en-US" w:eastAsia="zh-CN"/>
              </w:rPr>
              <w:t>2</w:t>
            </w:r>
            <w:r>
              <w:rPr>
                <w:b/>
                <w:bCs/>
              </w:rPr>
              <w:t xml:space="preserve"> 《</w:t>
            </w:r>
            <w:r>
              <w:rPr>
                <w:rFonts w:hint="eastAsia"/>
                <w:b/>
                <w:bCs/>
              </w:rPr>
              <w:t>地表水环境质量标准</w:t>
            </w:r>
            <w:r>
              <w:rPr>
                <w:b/>
                <w:bCs/>
              </w:rPr>
              <w:t>》</w:t>
            </w:r>
            <w:r>
              <w:rPr>
                <w:rFonts w:hint="eastAsia"/>
                <w:b/>
                <w:bCs/>
              </w:rPr>
              <w:t>Ⅲ类水质标准</w:t>
            </w:r>
            <w:r>
              <w:rPr>
                <w:b/>
                <w:bCs/>
              </w:rPr>
              <w:t xml:space="preserve"> 单位：mg/L</w:t>
            </w:r>
          </w:p>
          <w:tbl>
            <w:tblPr>
              <w:tblStyle w:val="3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230"/>
              <w:gridCol w:w="5081"/>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230" w:type="dxa"/>
                  <w:tcBorders>
                    <w:top w:val="single" w:color="000000" w:sz="12" w:space="0"/>
                    <w:left w:val="nil"/>
                    <w:tl2br w:val="nil"/>
                  </w:tcBorders>
                  <w:shd w:val="clear" w:color="auto" w:fill="FFFFFF"/>
                  <w:vAlign w:val="center"/>
                </w:tcPr>
                <w:p>
                  <w:pPr>
                    <w:pStyle w:val="53"/>
                    <w:bidi w:val="0"/>
                    <w:rPr>
                      <w:rFonts w:hint="eastAsia"/>
                      <w:b w:val="0"/>
                    </w:rPr>
                  </w:pPr>
                  <w:r>
                    <w:rPr>
                      <w:rFonts w:hint="eastAsia"/>
                      <w:b w:val="0"/>
                      <w:lang w:val="en-US" w:eastAsia="zh-CN"/>
                    </w:rPr>
                    <w:t>项目</w:t>
                  </w:r>
                </w:p>
              </w:tc>
              <w:tc>
                <w:tcPr>
                  <w:tcW w:w="5081" w:type="dxa"/>
                  <w:tcBorders>
                    <w:top w:val="single" w:color="000000" w:sz="12" w:space="0"/>
                    <w:right w:val="nil"/>
                  </w:tcBorders>
                  <w:shd w:val="clear" w:color="auto" w:fill="FFFFFF"/>
                  <w:vAlign w:val="center"/>
                </w:tcPr>
                <w:p>
                  <w:pPr>
                    <w:pStyle w:val="53"/>
                    <w:bidi w:val="0"/>
                    <w:rPr>
                      <w:rFonts w:hint="eastAsia"/>
                      <w:b w:val="0"/>
                    </w:rPr>
                  </w:pPr>
                  <w:r>
                    <w:rPr>
                      <w:rFonts w:hint="eastAsia"/>
                      <w:b w:val="0"/>
                      <w:lang w:val="en-US" w:eastAsia="zh-CN"/>
                    </w:rPr>
                    <w:t>Ⅲ类</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30" w:type="dxa"/>
                  <w:tcBorders>
                    <w:left w:val="nil"/>
                  </w:tcBorders>
                  <w:shd w:val="clear" w:color="auto" w:fill="FFFFFF"/>
                  <w:vAlign w:val="center"/>
                </w:tcPr>
                <w:p>
                  <w:pPr>
                    <w:pStyle w:val="53"/>
                    <w:bidi w:val="0"/>
                    <w:rPr>
                      <w:rFonts w:hint="eastAsia"/>
                      <w:b w:val="0"/>
                    </w:rPr>
                  </w:pPr>
                  <w:r>
                    <w:rPr>
                      <w:rFonts w:hint="eastAsia"/>
                      <w:b w:val="0"/>
                      <w:lang w:val="en-US" w:eastAsia="zh-CN"/>
                    </w:rPr>
                    <w:t>水温 （°C）</w:t>
                  </w:r>
                </w:p>
              </w:tc>
              <w:tc>
                <w:tcPr>
                  <w:tcW w:w="5081" w:type="dxa"/>
                  <w:tcBorders>
                    <w:right w:val="nil"/>
                  </w:tcBorders>
                  <w:shd w:val="clear" w:color="auto" w:fill="FFFFFF"/>
                  <w:vAlign w:val="center"/>
                </w:tcPr>
                <w:p>
                  <w:pPr>
                    <w:pStyle w:val="53"/>
                    <w:bidi w:val="0"/>
                    <w:rPr>
                      <w:rFonts w:hint="eastAsia"/>
                      <w:b w:val="0"/>
                    </w:rPr>
                  </w:pPr>
                  <w:r>
                    <w:rPr>
                      <w:rFonts w:hint="eastAsia"/>
                      <w:b w:val="0"/>
                      <w:lang w:val="en-US" w:eastAsia="zh-CN"/>
                    </w:rPr>
                    <w:t>人为造成的环境水温变化限制在：周平均最大温升≤1；周平均最大温降≤2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230" w:type="dxa"/>
                  <w:tcBorders>
                    <w:left w:val="nil"/>
                  </w:tcBorders>
                  <w:shd w:val="clear" w:color="auto" w:fill="FFFFFF"/>
                  <w:vAlign w:val="center"/>
                </w:tcPr>
                <w:p>
                  <w:pPr>
                    <w:pStyle w:val="53"/>
                    <w:bidi w:val="0"/>
                    <w:rPr>
                      <w:rFonts w:hint="eastAsia"/>
                      <w:b w:val="0"/>
                    </w:rPr>
                  </w:pPr>
                  <w:r>
                    <w:rPr>
                      <w:rFonts w:hint="eastAsia"/>
                      <w:b w:val="0"/>
                      <w:lang w:val="en-US" w:eastAsia="zh-CN"/>
                    </w:rPr>
                    <w:t>pH值（无量纲）</w:t>
                  </w:r>
                </w:p>
              </w:tc>
              <w:tc>
                <w:tcPr>
                  <w:tcW w:w="5081" w:type="dxa"/>
                  <w:tcBorders>
                    <w:right w:val="nil"/>
                  </w:tcBorders>
                  <w:shd w:val="clear" w:color="auto" w:fill="FFFFFF"/>
                  <w:vAlign w:val="center"/>
                </w:tcPr>
                <w:p>
                  <w:pPr>
                    <w:pStyle w:val="53"/>
                    <w:bidi w:val="0"/>
                    <w:rPr>
                      <w:rFonts w:hint="eastAsia"/>
                      <w:b w:val="0"/>
                    </w:rPr>
                  </w:pPr>
                  <w:r>
                    <w:rPr>
                      <w:rFonts w:hint="eastAsia"/>
                      <w:b w:val="0"/>
                      <w:lang w:val="en-US" w:eastAsia="zh-CN"/>
                    </w:rPr>
                    <w:t>6 ~ 9</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30" w:type="dxa"/>
                  <w:tcBorders>
                    <w:left w:val="nil"/>
                  </w:tcBorders>
                  <w:shd w:val="clear" w:color="auto" w:fill="FFFFFF"/>
                  <w:vAlign w:val="center"/>
                </w:tcPr>
                <w:p>
                  <w:pPr>
                    <w:pStyle w:val="53"/>
                    <w:bidi w:val="0"/>
                    <w:rPr>
                      <w:rFonts w:hint="eastAsia"/>
                      <w:b w:val="0"/>
                    </w:rPr>
                  </w:pPr>
                  <w:r>
                    <w:rPr>
                      <w:rFonts w:hint="eastAsia"/>
                      <w:b w:val="0"/>
                      <w:lang w:val="en-US" w:eastAsia="zh-CN"/>
                    </w:rPr>
                    <w:t>溶解氧</w:t>
                  </w:r>
                  <w:r>
                    <w:rPr>
                      <w:rFonts w:hint="eastAsia"/>
                      <w:b w:val="0"/>
                    </w:rPr>
                    <w:t>（</w:t>
                  </w:r>
                  <w:r>
                    <w:rPr>
                      <w:b w:val="0"/>
                    </w:rPr>
                    <w:t>DO</w:t>
                  </w:r>
                  <w:r>
                    <w:rPr>
                      <w:rFonts w:hint="eastAsia"/>
                      <w:b w:val="0"/>
                    </w:rPr>
                    <w:t>）</w:t>
                  </w:r>
                  <w:r>
                    <w:rPr>
                      <w:rFonts w:hint="eastAsia"/>
                      <w:b w:val="0"/>
                      <w:lang w:val="en-US" w:eastAsia="zh-CN"/>
                    </w:rPr>
                    <w:t>≥</w:t>
                  </w:r>
                </w:p>
              </w:tc>
              <w:tc>
                <w:tcPr>
                  <w:tcW w:w="5081" w:type="dxa"/>
                  <w:tcBorders>
                    <w:right w:val="nil"/>
                  </w:tcBorders>
                  <w:shd w:val="clear" w:color="auto" w:fill="FFFFFF"/>
                  <w:vAlign w:val="center"/>
                </w:tcPr>
                <w:p>
                  <w:pPr>
                    <w:pStyle w:val="53"/>
                    <w:bidi w:val="0"/>
                    <w:rPr>
                      <w:rFonts w:hint="eastAsia"/>
                      <w:b w:val="0"/>
                    </w:rPr>
                  </w:pPr>
                  <w:r>
                    <w:rPr>
                      <w:rFonts w:hint="eastAsia"/>
                      <w:b w:val="0"/>
                      <w:lang w:val="en-US" w:eastAsia="zh-CN"/>
                    </w:rPr>
                    <w:t>5</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230" w:type="dxa"/>
                  <w:tcBorders>
                    <w:left w:val="nil"/>
                  </w:tcBorders>
                  <w:shd w:val="clear" w:color="auto" w:fill="FFFFFF"/>
                  <w:vAlign w:val="center"/>
                </w:tcPr>
                <w:p>
                  <w:pPr>
                    <w:pStyle w:val="53"/>
                    <w:bidi w:val="0"/>
                    <w:rPr>
                      <w:rFonts w:hint="eastAsia"/>
                      <w:b w:val="0"/>
                    </w:rPr>
                  </w:pPr>
                  <w:r>
                    <w:rPr>
                      <w:rFonts w:hint="eastAsia"/>
                      <w:b w:val="0"/>
                      <w:lang w:val="en-US" w:eastAsia="zh-CN"/>
                    </w:rPr>
                    <w:t>高锰酸盐指数（mg/L）≤</w:t>
                  </w:r>
                </w:p>
              </w:tc>
              <w:tc>
                <w:tcPr>
                  <w:tcW w:w="5081" w:type="dxa"/>
                  <w:tcBorders>
                    <w:right w:val="nil"/>
                  </w:tcBorders>
                  <w:shd w:val="clear" w:color="auto" w:fill="FFFFFF"/>
                  <w:vAlign w:val="center"/>
                </w:tcPr>
                <w:p>
                  <w:pPr>
                    <w:pStyle w:val="53"/>
                    <w:bidi w:val="0"/>
                    <w:rPr>
                      <w:rFonts w:hint="eastAsia"/>
                      <w:b w:val="0"/>
                    </w:rPr>
                  </w:pPr>
                  <w:r>
                    <w:rPr>
                      <w:rFonts w:hint="eastAsia"/>
                      <w:b w:val="0"/>
                      <w:lang w:val="en-US" w:eastAsia="zh-CN"/>
                    </w:rPr>
                    <w:t>6</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230" w:type="dxa"/>
                  <w:tcBorders>
                    <w:left w:val="nil"/>
                  </w:tcBorders>
                  <w:shd w:val="clear" w:color="auto" w:fill="FFFFFF"/>
                  <w:vAlign w:val="center"/>
                </w:tcPr>
                <w:p>
                  <w:pPr>
                    <w:pStyle w:val="53"/>
                    <w:bidi w:val="0"/>
                    <w:rPr>
                      <w:rFonts w:hint="eastAsia"/>
                      <w:b w:val="0"/>
                    </w:rPr>
                  </w:pPr>
                  <w:r>
                    <w:rPr>
                      <w:rFonts w:hint="eastAsia"/>
                      <w:b w:val="0"/>
                      <w:lang w:val="en-US" w:eastAsia="zh-CN"/>
                    </w:rPr>
                    <w:t>化学需氧量</w:t>
                  </w:r>
                  <w:r>
                    <w:rPr>
                      <w:rFonts w:hint="eastAsia"/>
                      <w:b w:val="0"/>
                    </w:rPr>
                    <w:t>（</w:t>
                  </w:r>
                  <w:r>
                    <w:rPr>
                      <w:b w:val="0"/>
                    </w:rPr>
                    <w:t>COD</w:t>
                  </w:r>
                  <w:r>
                    <w:rPr>
                      <w:rFonts w:hint="eastAsia"/>
                      <w:b w:val="0"/>
                    </w:rPr>
                    <w:t>）</w:t>
                  </w:r>
                  <w:r>
                    <w:rPr>
                      <w:rFonts w:hint="eastAsia"/>
                      <w:b w:val="0"/>
                      <w:lang w:val="en-US" w:eastAsia="zh-CN"/>
                    </w:rPr>
                    <w:t>≤</w:t>
                  </w:r>
                </w:p>
              </w:tc>
              <w:tc>
                <w:tcPr>
                  <w:tcW w:w="5081" w:type="dxa"/>
                  <w:tcBorders>
                    <w:right w:val="nil"/>
                  </w:tcBorders>
                  <w:shd w:val="clear" w:color="auto" w:fill="FFFFFF"/>
                  <w:vAlign w:val="center"/>
                </w:tcPr>
                <w:p>
                  <w:pPr>
                    <w:pStyle w:val="53"/>
                    <w:bidi w:val="0"/>
                    <w:rPr>
                      <w:rFonts w:hint="eastAsia"/>
                      <w:b w:val="0"/>
                    </w:rPr>
                  </w:pPr>
                  <w:r>
                    <w:rPr>
                      <w:rFonts w:hint="eastAsia"/>
                      <w:b w:val="0"/>
                      <w:lang w:val="en-US" w:eastAsia="zh-CN"/>
                    </w:rPr>
                    <w:t>20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230" w:type="dxa"/>
                  <w:tcBorders>
                    <w:left w:val="nil"/>
                  </w:tcBorders>
                  <w:shd w:val="clear" w:color="auto" w:fill="FFFFFF"/>
                  <w:vAlign w:val="center"/>
                </w:tcPr>
                <w:p>
                  <w:pPr>
                    <w:pStyle w:val="53"/>
                    <w:bidi w:val="0"/>
                    <w:rPr>
                      <w:rFonts w:hint="eastAsia"/>
                      <w:b w:val="0"/>
                    </w:rPr>
                  </w:pPr>
                  <w:r>
                    <w:rPr>
                      <w:rFonts w:hint="eastAsia"/>
                      <w:b w:val="0"/>
                      <w:lang w:val="en-US" w:eastAsia="zh-CN"/>
                    </w:rPr>
                    <w:t>五日生化需氧量</w:t>
                  </w:r>
                  <w:r>
                    <w:rPr>
                      <w:rFonts w:hint="eastAsia"/>
                      <w:b w:val="0"/>
                    </w:rPr>
                    <w:t>（</w:t>
                  </w:r>
                  <w:r>
                    <w:rPr>
                      <w:b w:val="0"/>
                    </w:rPr>
                    <w:t>BOD</w:t>
                  </w:r>
                  <w:r>
                    <w:rPr>
                      <w:b w:val="0"/>
                      <w:vertAlign w:val="subscript"/>
                    </w:rPr>
                    <w:t>5</w:t>
                  </w:r>
                  <w:r>
                    <w:rPr>
                      <w:rFonts w:hint="eastAsia"/>
                      <w:b w:val="0"/>
                    </w:rPr>
                    <w:t>）</w:t>
                  </w:r>
                  <w:r>
                    <w:rPr>
                      <w:rFonts w:hint="eastAsia"/>
                      <w:b w:val="0"/>
                      <w:lang w:val="en-US" w:eastAsia="zh-CN"/>
                    </w:rPr>
                    <w:t>≤</w:t>
                  </w:r>
                </w:p>
              </w:tc>
              <w:tc>
                <w:tcPr>
                  <w:tcW w:w="5081" w:type="dxa"/>
                  <w:tcBorders>
                    <w:right w:val="nil"/>
                  </w:tcBorders>
                  <w:shd w:val="clear" w:color="auto" w:fill="FFFFFF"/>
                  <w:vAlign w:val="center"/>
                </w:tcPr>
                <w:p>
                  <w:pPr>
                    <w:pStyle w:val="53"/>
                    <w:bidi w:val="0"/>
                    <w:rPr>
                      <w:rFonts w:hint="eastAsia"/>
                      <w:b w:val="0"/>
                    </w:rPr>
                  </w:pPr>
                  <w:r>
                    <w:rPr>
                      <w:rFonts w:hint="eastAsia"/>
                      <w:b w:val="0"/>
                      <w:lang w:val="en-US" w:eastAsia="zh-CN"/>
                    </w:rPr>
                    <w:t>4</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90" w:hRule="atLeast"/>
              </w:trPr>
              <w:tc>
                <w:tcPr>
                  <w:tcW w:w="3230" w:type="dxa"/>
                  <w:tcBorders>
                    <w:left w:val="nil"/>
                  </w:tcBorders>
                  <w:shd w:val="clear" w:color="auto" w:fill="FFFFFF"/>
                  <w:vAlign w:val="center"/>
                </w:tcPr>
                <w:p>
                  <w:pPr>
                    <w:pStyle w:val="53"/>
                    <w:bidi w:val="0"/>
                    <w:rPr>
                      <w:rFonts w:hint="eastAsia"/>
                      <w:b w:val="0"/>
                    </w:rPr>
                  </w:pPr>
                  <w:r>
                    <w:rPr>
                      <w:rFonts w:hint="eastAsia"/>
                      <w:b w:val="0"/>
                      <w:lang w:val="en-US" w:eastAsia="zh-CN"/>
                    </w:rPr>
                    <w:t>氨氮（NH</w:t>
                  </w:r>
                  <w:r>
                    <w:rPr>
                      <w:rFonts w:hint="eastAsia"/>
                      <w:b w:val="0"/>
                      <w:vertAlign w:val="subscript"/>
                      <w:lang w:val="en-US" w:eastAsia="zh-CN"/>
                    </w:rPr>
                    <w:t>3</w:t>
                  </w:r>
                  <w:r>
                    <w:rPr>
                      <w:rFonts w:hint="eastAsia"/>
                      <w:b w:val="0"/>
                      <w:lang w:val="en-US" w:eastAsia="zh-CN"/>
                    </w:rPr>
                    <w:t>-N）≤</w:t>
                  </w:r>
                </w:p>
              </w:tc>
              <w:tc>
                <w:tcPr>
                  <w:tcW w:w="5081" w:type="dxa"/>
                  <w:tcBorders>
                    <w:right w:val="nil"/>
                  </w:tcBorders>
                  <w:shd w:val="clear" w:color="auto" w:fill="FFFFFF"/>
                  <w:vAlign w:val="center"/>
                </w:tcPr>
                <w:p>
                  <w:pPr>
                    <w:pStyle w:val="53"/>
                    <w:bidi w:val="0"/>
                    <w:rPr>
                      <w:rFonts w:hint="eastAsia"/>
                      <w:b w:val="0"/>
                    </w:rPr>
                  </w:pPr>
                  <w:r>
                    <w:rPr>
                      <w:rFonts w:hint="eastAsia"/>
                      <w:b w:val="0"/>
                      <w:lang w:val="en-US" w:eastAsia="zh-CN"/>
                    </w:rPr>
                    <w:t>1</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3230" w:type="dxa"/>
                  <w:tcBorders>
                    <w:left w:val="nil"/>
                  </w:tcBorders>
                  <w:shd w:val="clear" w:color="auto" w:fill="FFFFFF"/>
                  <w:vAlign w:val="center"/>
                </w:tcPr>
                <w:p>
                  <w:pPr>
                    <w:pStyle w:val="53"/>
                    <w:bidi w:val="0"/>
                    <w:rPr>
                      <w:rFonts w:hint="eastAsia"/>
                      <w:b w:val="0"/>
                    </w:rPr>
                  </w:pPr>
                  <w:r>
                    <w:rPr>
                      <w:rFonts w:hint="eastAsia"/>
                      <w:b w:val="0"/>
                      <w:lang w:val="en-US" w:eastAsia="zh-CN"/>
                    </w:rPr>
                    <w:t>总磷（TP）（以P计）≤</w:t>
                  </w:r>
                </w:p>
              </w:tc>
              <w:tc>
                <w:tcPr>
                  <w:tcW w:w="5081" w:type="dxa"/>
                  <w:tcBorders>
                    <w:right w:val="nil"/>
                  </w:tcBorders>
                  <w:shd w:val="clear" w:color="auto" w:fill="FFFFFF"/>
                  <w:vAlign w:val="center"/>
                </w:tcPr>
                <w:p>
                  <w:pPr>
                    <w:pStyle w:val="53"/>
                    <w:bidi w:val="0"/>
                    <w:rPr>
                      <w:rFonts w:hint="eastAsia"/>
                      <w:b w:val="0"/>
                    </w:rPr>
                  </w:pPr>
                  <w:r>
                    <w:rPr>
                      <w:rFonts w:hint="eastAsia"/>
                      <w:b w:val="0"/>
                      <w:lang w:val="en-US" w:eastAsia="zh-CN"/>
                    </w:rPr>
                    <w:t>0.2（湖、库0.05）</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245" w:hRule="atLeast"/>
              </w:trPr>
              <w:tc>
                <w:tcPr>
                  <w:tcW w:w="3230" w:type="dxa"/>
                  <w:tcBorders>
                    <w:left w:val="nil"/>
                  </w:tcBorders>
                  <w:shd w:val="clear" w:color="auto" w:fill="FFFFFF"/>
                  <w:vAlign w:val="center"/>
                </w:tcPr>
                <w:p>
                  <w:pPr>
                    <w:pStyle w:val="53"/>
                    <w:bidi w:val="0"/>
                    <w:rPr>
                      <w:rFonts w:hint="eastAsia"/>
                      <w:b w:val="0"/>
                    </w:rPr>
                  </w:pPr>
                  <w:r>
                    <w:rPr>
                      <w:rFonts w:hint="eastAsia"/>
                      <w:b w:val="0"/>
                      <w:lang w:val="en-US" w:eastAsia="zh-CN"/>
                    </w:rPr>
                    <w:t>总氮（TN）（湖、库，以N计）≤</w:t>
                  </w:r>
                </w:p>
              </w:tc>
              <w:tc>
                <w:tcPr>
                  <w:tcW w:w="5081" w:type="dxa"/>
                  <w:tcBorders>
                    <w:right w:val="nil"/>
                  </w:tcBorders>
                  <w:shd w:val="clear" w:color="auto" w:fill="FFFFFF"/>
                  <w:vAlign w:val="center"/>
                </w:tcPr>
                <w:p>
                  <w:pPr>
                    <w:pStyle w:val="53"/>
                    <w:bidi w:val="0"/>
                    <w:rPr>
                      <w:rFonts w:hint="eastAsia"/>
                      <w:b w:val="0"/>
                    </w:rPr>
                  </w:pPr>
                  <w:r>
                    <w:rPr>
                      <w:rFonts w:hint="eastAsia"/>
                      <w:b w:val="0"/>
                      <w:lang w:val="en-US" w:eastAsia="zh-CN"/>
                    </w:rPr>
                    <w:t>1</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30" w:type="dxa"/>
                  <w:tcBorders>
                    <w:left w:val="nil"/>
                    <w:bottom w:val="single" w:color="000000" w:sz="12" w:space="0"/>
                  </w:tcBorders>
                  <w:shd w:val="clear" w:color="auto" w:fill="FFFFFF"/>
                  <w:vAlign w:val="center"/>
                </w:tcPr>
                <w:p>
                  <w:pPr>
                    <w:pStyle w:val="53"/>
                    <w:bidi w:val="0"/>
                    <w:rPr>
                      <w:rFonts w:hint="eastAsia"/>
                      <w:b w:val="0"/>
                    </w:rPr>
                  </w:pPr>
                  <w:r>
                    <w:rPr>
                      <w:rFonts w:hint="eastAsia"/>
                      <w:b w:val="0"/>
                      <w:lang w:val="en-US" w:eastAsia="zh-CN"/>
                    </w:rPr>
                    <w:t>石油类≤</w:t>
                  </w:r>
                </w:p>
              </w:tc>
              <w:tc>
                <w:tcPr>
                  <w:tcW w:w="5081" w:type="dxa"/>
                  <w:tcBorders>
                    <w:bottom w:val="single" w:color="000000" w:sz="12" w:space="0"/>
                    <w:right w:val="nil"/>
                  </w:tcBorders>
                  <w:shd w:val="clear" w:color="auto" w:fill="FFFFFF"/>
                  <w:vAlign w:val="center"/>
                </w:tcPr>
                <w:p>
                  <w:pPr>
                    <w:pStyle w:val="53"/>
                    <w:bidi w:val="0"/>
                    <w:rPr>
                      <w:rFonts w:hint="eastAsia"/>
                      <w:b w:val="0"/>
                    </w:rPr>
                  </w:pPr>
                  <w:r>
                    <w:rPr>
                      <w:rFonts w:hint="eastAsia"/>
                      <w:b w:val="0"/>
                      <w:lang w:val="en-US" w:eastAsia="zh-CN"/>
                    </w:rPr>
                    <w:t>0.05</w:t>
                  </w:r>
                </w:p>
              </w:tc>
            </w:tr>
          </w:tbl>
          <w:p>
            <w:pPr>
              <w:ind w:firstLine="482"/>
              <w:jc w:val="center"/>
              <w:rPr>
                <w:b/>
                <w:bCs/>
              </w:rPr>
            </w:pPr>
            <w:r>
              <w:rPr>
                <w:b/>
                <w:bCs/>
              </w:rPr>
              <w:t>表3.2-</w:t>
            </w:r>
            <w:r>
              <w:rPr>
                <w:rFonts w:hint="eastAsia"/>
                <w:b/>
                <w:bCs/>
                <w:lang w:val="en-US" w:eastAsia="zh-CN"/>
              </w:rPr>
              <w:t>3</w:t>
            </w:r>
            <w:r>
              <w:rPr>
                <w:b/>
                <w:bCs/>
              </w:rPr>
              <w:t xml:space="preserve"> 《海水水质标准》第</w:t>
            </w:r>
            <w:r>
              <w:rPr>
                <w:rFonts w:hint="eastAsia"/>
                <w:b/>
                <w:bCs/>
              </w:rPr>
              <w:t>三</w:t>
            </w:r>
            <w:r>
              <w:rPr>
                <w:b/>
                <w:bCs/>
              </w:rPr>
              <w:t>类海水水质标准 单位：mg/L</w:t>
            </w:r>
            <w:r>
              <w:rPr>
                <w:rFonts w:hint="eastAsia"/>
                <w:b/>
                <w:bCs/>
              </w:rPr>
              <w:t>（</w:t>
            </w:r>
            <w:r>
              <w:rPr>
                <w:b/>
                <w:bCs/>
              </w:rPr>
              <w:t>pH除外</w:t>
            </w:r>
            <w:r>
              <w:rPr>
                <w:rFonts w:hint="eastAsia"/>
                <w:b/>
                <w:bCs/>
              </w:rPr>
              <w:t>）</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343"/>
              <w:gridCol w:w="607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392" w:type="pct"/>
                  <w:vAlign w:val="center"/>
                </w:tcPr>
                <w:p>
                  <w:pPr>
                    <w:pStyle w:val="53"/>
                  </w:pPr>
                  <w:r>
                    <w:t>项目</w:t>
                  </w:r>
                </w:p>
              </w:tc>
              <w:tc>
                <w:tcPr>
                  <w:tcW w:w="3607" w:type="pct"/>
                  <w:vAlign w:val="center"/>
                </w:tcPr>
                <w:p>
                  <w:pPr>
                    <w:pStyle w:val="53"/>
                  </w:pPr>
                  <w:r>
                    <w:t>第</w:t>
                  </w:r>
                  <w:r>
                    <w:rPr>
                      <w:rFonts w:hint="eastAsia"/>
                    </w:rPr>
                    <w:t>三</w:t>
                  </w:r>
                  <w:r>
                    <w:t>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1392" w:type="pct"/>
                  <w:vAlign w:val="center"/>
                </w:tcPr>
                <w:p>
                  <w:pPr>
                    <w:pStyle w:val="53"/>
                  </w:pPr>
                  <w:r>
                    <w:t>pH</w:t>
                  </w:r>
                </w:p>
              </w:tc>
              <w:tc>
                <w:tcPr>
                  <w:tcW w:w="3607" w:type="pct"/>
                  <w:vAlign w:val="center"/>
                </w:tcPr>
                <w:p>
                  <w:pPr>
                    <w:pStyle w:val="53"/>
                  </w:pPr>
                  <w:r>
                    <w:t>7.8～8.5同时不超出该海域正常变动范围的0.2pH单位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92" w:type="pct"/>
                  <w:vAlign w:val="center"/>
                </w:tcPr>
                <w:p>
                  <w:pPr>
                    <w:pStyle w:val="53"/>
                  </w:pPr>
                  <w:r>
                    <w:t>溶解氧</w:t>
                  </w:r>
                  <w:r>
                    <w:rPr>
                      <w:rFonts w:hint="eastAsia"/>
                    </w:rPr>
                    <w:t>（</w:t>
                  </w:r>
                  <w:r>
                    <w:t>DO</w:t>
                  </w:r>
                  <w:r>
                    <w:rPr>
                      <w:rFonts w:hint="eastAsia"/>
                    </w:rPr>
                    <w:t>）</w:t>
                  </w:r>
                  <w:r>
                    <w:t>＞</w:t>
                  </w:r>
                </w:p>
              </w:tc>
              <w:tc>
                <w:tcPr>
                  <w:tcW w:w="3607" w:type="pct"/>
                  <w:vAlign w:val="center"/>
                </w:tcPr>
                <w:p>
                  <w:pPr>
                    <w:pStyle w:val="53"/>
                  </w:pPr>
                  <w:r>
                    <w:rPr>
                      <w:rFonts w:hint="eastAsia"/>
                    </w:rPr>
                    <w:t>4</w:t>
                  </w:r>
                  <w:r>
                    <w:t>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92" w:type="pct"/>
                  <w:vAlign w:val="center"/>
                </w:tcPr>
                <w:p>
                  <w:pPr>
                    <w:pStyle w:val="53"/>
                  </w:pPr>
                  <w:r>
                    <w:t>化学需氧量</w:t>
                  </w:r>
                  <w:r>
                    <w:rPr>
                      <w:rFonts w:hint="eastAsia"/>
                    </w:rPr>
                    <w:t>（</w:t>
                  </w:r>
                  <w:r>
                    <w:t>COD</w:t>
                  </w:r>
                  <w:r>
                    <w:rPr>
                      <w:rFonts w:hint="eastAsia"/>
                    </w:rPr>
                    <w:t>）</w:t>
                  </w:r>
                  <w:r>
                    <w:t>≤</w:t>
                  </w:r>
                </w:p>
              </w:tc>
              <w:tc>
                <w:tcPr>
                  <w:tcW w:w="3607" w:type="pct"/>
                  <w:vAlign w:val="center"/>
                </w:tcPr>
                <w:p>
                  <w:pPr>
                    <w:pStyle w:val="53"/>
                  </w:pPr>
                  <w:r>
                    <w:rPr>
                      <w:rFonts w:hint="eastAsia"/>
                    </w:rPr>
                    <w:t>4</w:t>
                  </w:r>
                  <w:r>
                    <w:t>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92" w:type="pct"/>
                  <w:vAlign w:val="center"/>
                </w:tcPr>
                <w:p>
                  <w:pPr>
                    <w:pStyle w:val="53"/>
                  </w:pPr>
                  <w:r>
                    <w:t>生化需氧量</w:t>
                  </w:r>
                  <w:r>
                    <w:rPr>
                      <w:rFonts w:hint="eastAsia"/>
                    </w:rPr>
                    <w:t>（</w:t>
                  </w:r>
                  <w:r>
                    <w:t>BOD</w:t>
                  </w:r>
                  <w:r>
                    <w:rPr>
                      <w:vertAlign w:val="subscript"/>
                    </w:rPr>
                    <w:t>5</w:t>
                  </w:r>
                  <w:r>
                    <w:rPr>
                      <w:rFonts w:hint="eastAsia"/>
                    </w:rPr>
                    <w:t>）</w:t>
                  </w:r>
                  <w:r>
                    <w:t xml:space="preserve"> ≤</w:t>
                  </w:r>
                </w:p>
              </w:tc>
              <w:tc>
                <w:tcPr>
                  <w:tcW w:w="3607" w:type="pct"/>
                  <w:vAlign w:val="center"/>
                </w:tcPr>
                <w:p>
                  <w:pPr>
                    <w:pStyle w:val="53"/>
                  </w:pPr>
                  <w:r>
                    <w:rPr>
                      <w:rFonts w:hint="eastAsia"/>
                    </w:rPr>
                    <w:t>4</w:t>
                  </w:r>
                  <w:r>
                    <w:t>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92" w:type="pct"/>
                  <w:vAlign w:val="center"/>
                </w:tcPr>
                <w:p>
                  <w:pPr>
                    <w:pStyle w:val="53"/>
                  </w:pPr>
                  <w:r>
                    <w:t>无机氮</w:t>
                  </w:r>
                  <w:r>
                    <w:rPr>
                      <w:rFonts w:hint="eastAsia"/>
                    </w:rPr>
                    <w:t>（</w:t>
                  </w:r>
                  <w:r>
                    <w:t>以N计</w:t>
                  </w:r>
                  <w:r>
                    <w:rPr>
                      <w:rFonts w:hint="eastAsia"/>
                    </w:rPr>
                    <w:t>）</w:t>
                  </w:r>
                  <w:r>
                    <w:t xml:space="preserve"> ≤</w:t>
                  </w:r>
                </w:p>
              </w:tc>
              <w:tc>
                <w:tcPr>
                  <w:tcW w:w="3607" w:type="pct"/>
                  <w:vAlign w:val="center"/>
                </w:tcPr>
                <w:p>
                  <w:pPr>
                    <w:pStyle w:val="53"/>
                  </w:pPr>
                  <w:r>
                    <w:t>0.</w:t>
                  </w:r>
                  <w:r>
                    <w:rPr>
                      <w:rFonts w:hint="eastAsia"/>
                    </w:rPr>
                    <w:t>4</w:t>
                  </w:r>
                  <w:r>
                    <w:t>0mg/L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392" w:type="pct"/>
                  <w:vAlign w:val="center"/>
                </w:tcPr>
                <w:p>
                  <w:pPr>
                    <w:pStyle w:val="53"/>
                  </w:pPr>
                  <w:r>
                    <w:rPr>
                      <w:rFonts w:hint="eastAsia"/>
                    </w:rPr>
                    <w:t>石油类</w:t>
                  </w:r>
                </w:p>
              </w:tc>
              <w:tc>
                <w:tcPr>
                  <w:tcW w:w="3607" w:type="pct"/>
                  <w:vAlign w:val="center"/>
                </w:tcPr>
                <w:p>
                  <w:pPr>
                    <w:pStyle w:val="53"/>
                  </w:pPr>
                  <w:r>
                    <w:rPr>
                      <w:rFonts w:hint="eastAsia"/>
                    </w:rPr>
                    <w:t>0.3</w:t>
                  </w:r>
                  <w:r>
                    <w:t>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8" w:hRule="atLeast"/>
                <w:jc w:val="center"/>
              </w:trPr>
              <w:tc>
                <w:tcPr>
                  <w:tcW w:w="1392" w:type="pct"/>
                  <w:vAlign w:val="center"/>
                </w:tcPr>
                <w:p>
                  <w:pPr>
                    <w:pStyle w:val="53"/>
                  </w:pPr>
                  <w:r>
                    <w:rPr>
                      <w:rFonts w:hint="eastAsia"/>
                    </w:rPr>
                    <w:t>色、臭、味</w:t>
                  </w:r>
                </w:p>
              </w:tc>
              <w:tc>
                <w:tcPr>
                  <w:tcW w:w="3607" w:type="pct"/>
                  <w:vAlign w:val="center"/>
                </w:tcPr>
                <w:p>
                  <w:pPr>
                    <w:pStyle w:val="53"/>
                  </w:pPr>
                  <w:r>
                    <w:rPr>
                      <w:rFonts w:hint="eastAsia"/>
                    </w:rPr>
                    <w:t>海水不得有异色、异臭、异味</w:t>
                  </w:r>
                </w:p>
              </w:tc>
            </w:tr>
          </w:tbl>
          <w:p>
            <w:pPr>
              <w:pStyle w:val="5"/>
              <w:spacing w:before="120"/>
            </w:pPr>
            <w:r>
              <w:t>地表水环境质量现状</w:t>
            </w:r>
          </w:p>
          <w:p>
            <w:r>
              <w:rPr>
                <w:rFonts w:hint="eastAsia"/>
              </w:rPr>
              <w:t>（</w:t>
            </w:r>
            <w:r>
              <w:t>1</w:t>
            </w:r>
            <w:r>
              <w:rPr>
                <w:rFonts w:hint="eastAsia"/>
              </w:rPr>
              <w:t>）</w:t>
            </w:r>
            <w:r>
              <w:t>地表水水质现状调查</w:t>
            </w:r>
          </w:p>
          <w:p>
            <w:pPr>
              <w:pStyle w:val="18"/>
              <w:spacing w:before="0" w:after="0" w:line="400" w:lineRule="exact"/>
            </w:pPr>
            <w:r>
              <w:rPr>
                <w:rFonts w:cs="宋体"/>
                <w:sz w:val="24"/>
                <w:szCs w:val="24"/>
              </w:rPr>
              <w:t>根据福州市生态环境局发布的202</w:t>
            </w:r>
            <w:r>
              <w:rPr>
                <w:rFonts w:hint="eastAsia" w:cs="宋体"/>
                <w:sz w:val="24"/>
                <w:szCs w:val="24"/>
              </w:rPr>
              <w:t>5</w:t>
            </w:r>
            <w:r>
              <w:rPr>
                <w:rFonts w:cs="宋体"/>
                <w:sz w:val="24"/>
                <w:szCs w:val="24"/>
              </w:rPr>
              <w:t>年</w:t>
            </w:r>
            <w:r>
              <w:rPr>
                <w:rFonts w:hint="eastAsia" w:cs="宋体"/>
                <w:sz w:val="24"/>
                <w:szCs w:val="24"/>
              </w:rPr>
              <w:t>1-6</w:t>
            </w:r>
            <w:r>
              <w:rPr>
                <w:rFonts w:cs="宋体"/>
                <w:sz w:val="24"/>
                <w:szCs w:val="24"/>
              </w:rPr>
              <w:t>月福州市水环境质量状况</w:t>
            </w:r>
            <w:r>
              <w:rPr>
                <w:rFonts w:hint="eastAsia" w:cs="宋体"/>
                <w:sz w:val="24"/>
                <w:szCs w:val="24"/>
              </w:rPr>
              <w:t>：2025年1-6月，主要流域9个国控断面Ⅰ-Ⅲ类水质比例为100%，36个省控及以上断面Ⅰ-Ⅲ类水质比例为100%；小流域54个省控断面Ⅰ-Ⅲ类水质比例为100%。县级及以上集中式饮用水源地水质达标率为100%</w:t>
            </w:r>
            <w:r>
              <w:rPr>
                <w:rFonts w:cs="宋体"/>
                <w:sz w:val="24"/>
                <w:szCs w:val="24"/>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pPr>
            <w:r>
              <w:drawing>
                <wp:inline distT="0" distB="0" distL="114300" distR="114300">
                  <wp:extent cx="5334635" cy="2338705"/>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1" cstate="print"/>
                          <a:srcRect b="11911"/>
                          <a:stretch>
                            <a:fillRect/>
                          </a:stretch>
                        </pic:blipFill>
                        <pic:spPr>
                          <a:xfrm>
                            <a:off x="0" y="0"/>
                            <a:ext cx="5334635" cy="2338705"/>
                          </a:xfrm>
                          <a:prstGeom prst="rect">
                            <a:avLst/>
                          </a:prstGeom>
                          <a:noFill/>
                          <a:ln>
                            <a:noFill/>
                          </a:ln>
                        </pic:spPr>
                      </pic:pic>
                    </a:graphicData>
                  </a:graphic>
                </wp:inline>
              </w:drawing>
            </w:r>
          </w:p>
          <w:p>
            <w:pPr>
              <w:pStyle w:val="96"/>
            </w:pPr>
            <w:r>
              <w:t>图3.2-1</w:t>
            </w:r>
            <w:r>
              <w:rPr>
                <w:rFonts w:hint="eastAsia"/>
              </w:rPr>
              <w:t xml:space="preserve"> 2025年1-6月福州市水环境质量状况</w:t>
            </w:r>
            <w:r>
              <w:rPr>
                <w:rFonts w:hint="eastAsia"/>
                <w:color w:val="auto"/>
              </w:rPr>
              <w:t>（截图）</w:t>
            </w:r>
          </w:p>
          <w:p>
            <w:bookmarkStart w:id="34" w:name="_Toc23545"/>
            <w:bookmarkStart w:id="35" w:name="_Toc19976"/>
            <w:bookmarkStart w:id="36" w:name="_Toc27769"/>
            <w:r>
              <w:rPr>
                <w:rFonts w:hint="eastAsia"/>
              </w:rPr>
              <w:t>（2）</w:t>
            </w:r>
            <w:r>
              <w:t>引用数据的有效性分析</w:t>
            </w:r>
          </w:p>
          <w:p>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的要求：</w:t>
            </w:r>
            <w:r>
              <w:rPr>
                <w:rFonts w:hint="eastAsia"/>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t>。本评价引用福建省生态环境厅网站</w:t>
            </w:r>
            <w:r>
              <w:rPr>
                <w:rFonts w:hint="eastAsia"/>
              </w:rPr>
              <w:t>发布的水质周报，</w:t>
            </w:r>
            <w:r>
              <w:t>符合《建设项目环境影响报告表编制技术指南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的要求。</w:t>
            </w:r>
          </w:p>
          <w:p>
            <w:pPr>
              <w:pStyle w:val="4"/>
            </w:pPr>
            <w:r>
              <w:t>声环境质量现状</w:t>
            </w:r>
            <w:bookmarkEnd w:id="34"/>
            <w:bookmarkEnd w:id="35"/>
            <w:bookmarkEnd w:id="36"/>
          </w:p>
          <w:p>
            <w:pPr>
              <w:pStyle w:val="5"/>
              <w:spacing w:before="120"/>
            </w:pPr>
            <w:r>
              <w:t>声环境功能区</w:t>
            </w:r>
          </w:p>
          <w:p>
            <w:r>
              <w:t>本项目所在区域声环境功能区划为</w:t>
            </w:r>
            <w:r>
              <w:rPr>
                <w:rFonts w:hint="eastAsia"/>
              </w:rPr>
              <w:t>2</w:t>
            </w:r>
            <w:r>
              <w:t>类区，声环境质量执行《声环境质量标准》</w:t>
            </w:r>
            <w:r>
              <w:rPr>
                <w:rFonts w:hint="eastAsia"/>
              </w:rPr>
              <w:t>（</w:t>
            </w:r>
            <w:r>
              <w:t>GB3096-2008</w:t>
            </w:r>
            <w:r>
              <w:rPr>
                <w:rFonts w:hint="eastAsia"/>
              </w:rPr>
              <w:t>）2</w:t>
            </w:r>
            <w:r>
              <w:t>类标准。具体标准值见表3.3-</w:t>
            </w:r>
            <w:r>
              <w:rPr>
                <w:rFonts w:hint="eastAsia"/>
              </w:rPr>
              <w:t>1</w:t>
            </w:r>
            <w:r>
              <w:t>。</w:t>
            </w:r>
          </w:p>
          <w:p>
            <w:pPr>
              <w:pStyle w:val="96"/>
            </w:pPr>
            <w:r>
              <w:t>表3.3-</w:t>
            </w:r>
            <w:r>
              <w:rPr>
                <w:rFonts w:hint="eastAsia"/>
              </w:rPr>
              <w:t>1  《声环境质量标准》（GB3096-2008）（摘录）</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4521"/>
              <w:gridCol w:w="1361"/>
              <w:gridCol w:w="14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pct"/>
                  <w:vMerge w:val="restart"/>
                  <w:tcBorders>
                    <w:tl2br w:val="nil"/>
                    <w:tr2bl w:val="nil"/>
                  </w:tcBorders>
                  <w:vAlign w:val="center"/>
                </w:tcPr>
                <w:p>
                  <w:pPr>
                    <w:pStyle w:val="53"/>
                  </w:pPr>
                  <w:r>
                    <w:t>标准类别</w:t>
                  </w:r>
                </w:p>
              </w:tc>
              <w:tc>
                <w:tcPr>
                  <w:tcW w:w="2685" w:type="pct"/>
                  <w:vMerge w:val="restart"/>
                  <w:tcBorders>
                    <w:tl2br w:val="nil"/>
                    <w:tr2bl w:val="nil"/>
                  </w:tcBorders>
                  <w:vAlign w:val="center"/>
                </w:tcPr>
                <w:p>
                  <w:pPr>
                    <w:pStyle w:val="53"/>
                  </w:pPr>
                  <w:r>
                    <w:t>适用区域</w:t>
                  </w:r>
                </w:p>
              </w:tc>
              <w:tc>
                <w:tcPr>
                  <w:tcW w:w="1667" w:type="pct"/>
                  <w:gridSpan w:val="2"/>
                  <w:tcBorders>
                    <w:tl2br w:val="nil"/>
                    <w:tr2bl w:val="nil"/>
                  </w:tcBorders>
                  <w:vAlign w:val="center"/>
                </w:tcPr>
                <w:p>
                  <w:pPr>
                    <w:pStyle w:val="53"/>
                  </w:pPr>
                  <w:r>
                    <w:t>等效声级Leq</w:t>
                  </w:r>
                  <w:r>
                    <w:rPr>
                      <w:rFonts w:hint="eastAsia"/>
                    </w:rPr>
                    <w:t>（</w:t>
                  </w:r>
                  <w:r>
                    <w:t>dB</w:t>
                  </w:r>
                  <w:r>
                    <w:rPr>
                      <w:rFonts w:hint="eastAsia"/>
                    </w:rPr>
                    <w:t>（</w:t>
                  </w:r>
                  <w:r>
                    <w:t>A</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pct"/>
                  <w:vMerge w:val="continue"/>
                  <w:tcBorders>
                    <w:tl2br w:val="nil"/>
                    <w:tr2bl w:val="nil"/>
                  </w:tcBorders>
                  <w:vAlign w:val="center"/>
                </w:tcPr>
                <w:p>
                  <w:pPr>
                    <w:pStyle w:val="53"/>
                  </w:pPr>
                </w:p>
              </w:tc>
              <w:tc>
                <w:tcPr>
                  <w:tcW w:w="2685" w:type="pct"/>
                  <w:vMerge w:val="continue"/>
                  <w:tcBorders>
                    <w:tl2br w:val="nil"/>
                    <w:tr2bl w:val="nil"/>
                  </w:tcBorders>
                  <w:vAlign w:val="center"/>
                </w:tcPr>
                <w:p>
                  <w:pPr>
                    <w:pStyle w:val="53"/>
                  </w:pPr>
                </w:p>
              </w:tc>
              <w:tc>
                <w:tcPr>
                  <w:tcW w:w="808" w:type="pct"/>
                  <w:tcBorders>
                    <w:tl2br w:val="nil"/>
                    <w:tr2bl w:val="nil"/>
                  </w:tcBorders>
                  <w:vAlign w:val="center"/>
                </w:tcPr>
                <w:p>
                  <w:pPr>
                    <w:pStyle w:val="53"/>
                  </w:pPr>
                  <w:r>
                    <w:t>昼间</w:t>
                  </w:r>
                </w:p>
              </w:tc>
              <w:tc>
                <w:tcPr>
                  <w:tcW w:w="858" w:type="pct"/>
                  <w:tcBorders>
                    <w:tl2br w:val="nil"/>
                    <w:tr2bl w:val="nil"/>
                  </w:tcBorders>
                  <w:vAlign w:val="center"/>
                </w:tcPr>
                <w:p>
                  <w:pPr>
                    <w:pStyle w:val="53"/>
                  </w:pPr>
                  <w:r>
                    <w:rPr>
                      <w:rFonts w:hint="eastAsia"/>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pct"/>
                  <w:tcBorders>
                    <w:tl2br w:val="nil"/>
                    <w:tr2bl w:val="nil"/>
                  </w:tcBorders>
                  <w:vAlign w:val="center"/>
                </w:tcPr>
                <w:p>
                  <w:pPr>
                    <w:pStyle w:val="53"/>
                  </w:pPr>
                  <w:r>
                    <w:rPr>
                      <w:rFonts w:hint="eastAsia"/>
                    </w:rPr>
                    <w:t>2类</w:t>
                  </w:r>
                </w:p>
              </w:tc>
              <w:tc>
                <w:tcPr>
                  <w:tcW w:w="2685" w:type="pct"/>
                  <w:tcBorders>
                    <w:tl2br w:val="nil"/>
                    <w:tr2bl w:val="nil"/>
                  </w:tcBorders>
                  <w:vAlign w:val="center"/>
                </w:tcPr>
                <w:p>
                  <w:pPr>
                    <w:pStyle w:val="53"/>
                  </w:pPr>
                  <w:r>
                    <w:t>以商业金融、集市贸易为主要功能，或者居住、商业、工业混杂，需要维护住宅安静的区域。</w:t>
                  </w:r>
                </w:p>
              </w:tc>
              <w:tc>
                <w:tcPr>
                  <w:tcW w:w="808" w:type="pct"/>
                  <w:tcBorders>
                    <w:tl2br w:val="nil"/>
                    <w:tr2bl w:val="nil"/>
                  </w:tcBorders>
                  <w:vAlign w:val="center"/>
                </w:tcPr>
                <w:p>
                  <w:pPr>
                    <w:pStyle w:val="53"/>
                  </w:pPr>
                  <w:r>
                    <w:t>≤</w:t>
                  </w:r>
                  <w:r>
                    <w:rPr>
                      <w:rFonts w:hint="eastAsia"/>
                    </w:rPr>
                    <w:t>60</w:t>
                  </w:r>
                </w:p>
              </w:tc>
              <w:tc>
                <w:tcPr>
                  <w:tcW w:w="858" w:type="pct"/>
                  <w:tcBorders>
                    <w:tl2br w:val="nil"/>
                    <w:tr2bl w:val="nil"/>
                  </w:tcBorders>
                  <w:vAlign w:val="center"/>
                </w:tcPr>
                <w:p>
                  <w:pPr>
                    <w:pStyle w:val="53"/>
                  </w:pPr>
                  <w:r>
                    <w:t>≤</w:t>
                  </w:r>
                  <w:r>
                    <w:rPr>
                      <w:rFonts w:hint="eastAsia"/>
                    </w:rPr>
                    <w:t>50</w:t>
                  </w:r>
                </w:p>
              </w:tc>
            </w:tr>
          </w:tbl>
          <w:p>
            <w:pPr>
              <w:pStyle w:val="5"/>
              <w:spacing w:before="120"/>
            </w:pPr>
            <w:r>
              <w:t>声环境质量现状</w:t>
            </w:r>
          </w:p>
          <w:p>
            <w:r>
              <w:rPr>
                <w:rFonts w:hint="eastAsia"/>
              </w:rPr>
              <w:t>根据生态环境部办公厅关于印发《建设项目环境影响报告表编制技术指南》（环办环评【2020】33 号）中规定：“厂界外周边 50 米范围内存在声环境保护目标的建设项目，应监测保护目标声环境质量现状并评价达标情况”。</w:t>
            </w:r>
          </w:p>
          <w:p>
            <w:pPr>
              <w:rPr>
                <w:rFonts w:hint="eastAsia"/>
              </w:rPr>
            </w:pPr>
            <w:r>
              <w:t>根据现场踏勘可知，</w:t>
            </w:r>
            <w:r>
              <w:rPr>
                <w:rFonts w:hint="eastAsia"/>
              </w:rPr>
              <w:t>本项目一厂区西侧有约</w:t>
            </w:r>
            <w:r>
              <w:rPr>
                <w:rFonts w:hint="eastAsia"/>
                <w:lang w:eastAsia="zh-CN"/>
              </w:rPr>
              <w:t>48m</w:t>
            </w:r>
            <w:r>
              <w:rPr>
                <w:rFonts w:hint="eastAsia"/>
              </w:rPr>
              <w:t>处有零散居民</w:t>
            </w:r>
            <w:r>
              <w:rPr>
                <w:rStyle w:val="47"/>
                <w:rFonts w:hint="eastAsia"/>
                <w:kern w:val="0"/>
                <w:szCs w:val="20"/>
                <w:lang w:eastAsia="zh-CN"/>
              </w:rPr>
              <w:t>（</w:t>
            </w:r>
            <w:r>
              <w:rPr>
                <w:rStyle w:val="47"/>
                <w:rFonts w:hint="eastAsia"/>
                <w:kern w:val="0"/>
                <w:szCs w:val="20"/>
                <w:lang w:val="en-US" w:eastAsia="zh-CN"/>
              </w:rPr>
              <w:t>详见图3.3-1</w:t>
            </w:r>
            <w:r>
              <w:rPr>
                <w:rStyle w:val="47"/>
                <w:rFonts w:hint="eastAsia"/>
                <w:kern w:val="0"/>
                <w:szCs w:val="20"/>
                <w:lang w:eastAsia="zh-CN"/>
              </w:rPr>
              <w:t>）</w:t>
            </w:r>
            <w:r>
              <w:rPr>
                <w:rFonts w:hint="eastAsia"/>
              </w:rPr>
              <w:t>，为了解敏感点所在地声环境现状，本次建设单位委托福建华远检测有限公司于2025年9月17日～2025年9月20日对该项目所在地的声环境质量现状监测。检测结果见下表3.3-2。</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rPr>
            </w:pPr>
            <w:r>
              <w:drawing>
                <wp:inline distT="0" distB="0" distL="114300" distR="114300">
                  <wp:extent cx="4185920" cy="2685415"/>
                  <wp:effectExtent l="0" t="0" r="508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4185920" cy="2685415"/>
                          </a:xfrm>
                          <a:prstGeom prst="rect">
                            <a:avLst/>
                          </a:prstGeom>
                          <a:noFill/>
                          <a:ln>
                            <a:noFill/>
                          </a:ln>
                        </pic:spPr>
                      </pic:pic>
                    </a:graphicData>
                  </a:graphic>
                </wp:inline>
              </w:drawing>
            </w:r>
          </w:p>
          <w:p>
            <w:pPr>
              <w:pStyle w:val="96"/>
              <w:rPr>
                <w:rFonts w:hint="eastAsia" w:eastAsia="宋体"/>
                <w:lang w:eastAsia="zh-CN"/>
              </w:rPr>
            </w:pPr>
            <w:r>
              <w:rPr>
                <w:rFonts w:hint="eastAsia"/>
                <w:lang w:val="en-US" w:eastAsia="zh-CN"/>
              </w:rPr>
              <w:t>图</w:t>
            </w:r>
            <w:r>
              <w:rPr>
                <w:rFonts w:hint="eastAsia"/>
              </w:rPr>
              <w:t>3.3-</w:t>
            </w:r>
            <w:r>
              <w:rPr>
                <w:rFonts w:hint="eastAsia"/>
                <w:lang w:val="en-US" w:eastAsia="zh-CN"/>
              </w:rPr>
              <w:t>1</w:t>
            </w:r>
            <w:r>
              <w:rPr>
                <w:rFonts w:hint="eastAsia"/>
              </w:rPr>
              <w:t xml:space="preserve">  环境噪声</w:t>
            </w:r>
            <w:r>
              <w:rPr>
                <w:rFonts w:hint="eastAsia"/>
                <w:lang w:val="en-US" w:eastAsia="zh-CN"/>
              </w:rPr>
              <w:t>敏感点</w:t>
            </w:r>
          </w:p>
          <w:p>
            <w:pPr>
              <w:pStyle w:val="96"/>
            </w:pPr>
            <w:r>
              <w:rPr>
                <w:rFonts w:hint="eastAsia"/>
              </w:rPr>
              <w:t>表3.3-2  环境噪声检测结果</w:t>
            </w:r>
          </w:p>
          <w:tbl>
            <w:tblPr>
              <w:tblStyle w:val="36"/>
              <w:tblW w:w="0" w:type="auto"/>
              <w:jc w:val="center"/>
              <w:tblLayout w:type="autofit"/>
              <w:tblCellMar>
                <w:top w:w="0" w:type="dxa"/>
                <w:left w:w="108" w:type="dxa"/>
                <w:bottom w:w="0" w:type="dxa"/>
                <w:right w:w="108" w:type="dxa"/>
              </w:tblCellMar>
            </w:tblPr>
            <w:tblGrid>
              <w:gridCol w:w="1056"/>
              <w:gridCol w:w="2206"/>
              <w:gridCol w:w="1143"/>
              <w:gridCol w:w="1144"/>
              <w:gridCol w:w="1056"/>
              <w:gridCol w:w="1056"/>
            </w:tblGrid>
            <w:tr>
              <w:tblPrEx>
                <w:tblCellMar>
                  <w:top w:w="0" w:type="dxa"/>
                  <w:left w:w="108" w:type="dxa"/>
                  <w:bottom w:w="0" w:type="dxa"/>
                  <w:right w:w="108" w:type="dxa"/>
                </w:tblCellMar>
              </w:tblPrEx>
              <w:trPr>
                <w:trHeight w:val="407" w:hRule="atLeast"/>
                <w:jc w:val="center"/>
              </w:trPr>
              <w:tc>
                <w:tcPr>
                  <w:tcW w:w="0" w:type="auto"/>
                  <w:vMerge w:val="restart"/>
                  <w:tcBorders>
                    <w:top w:val="single" w:color="000000" w:sz="12" w:space="0"/>
                    <w:left w:val="nil"/>
                    <w:bottom w:val="single" w:color="auto" w:sz="4" w:space="0"/>
                    <w:right w:val="single" w:color="auto" w:sz="4" w:space="0"/>
                    <w:tl2br w:val="nil"/>
                  </w:tcBorders>
                  <w:shd w:val="clear" w:color="auto" w:fill="auto"/>
                  <w:vAlign w:val="center"/>
                </w:tcPr>
                <w:p>
                  <w:pPr>
                    <w:pStyle w:val="53"/>
                    <w:rPr>
                      <w:b w:val="0"/>
                    </w:rPr>
                  </w:pPr>
                  <w:r>
                    <w:rPr>
                      <w:rFonts w:hint="eastAsia"/>
                      <w:b w:val="0"/>
                    </w:rPr>
                    <w:t>测试时段</w:t>
                  </w:r>
                </w:p>
              </w:tc>
              <w:tc>
                <w:tcPr>
                  <w:tcW w:w="0" w:type="auto"/>
                  <w:vMerge w:val="restart"/>
                  <w:tcBorders>
                    <w:top w:val="single" w:color="000000" w:sz="12" w:space="0"/>
                    <w:left w:val="single" w:color="auto" w:sz="4" w:space="0"/>
                    <w:bottom w:val="single" w:color="auto" w:sz="4" w:space="0"/>
                    <w:right w:val="single" w:color="auto" w:sz="4" w:space="0"/>
                  </w:tcBorders>
                  <w:shd w:val="clear" w:color="auto" w:fill="auto"/>
                  <w:vAlign w:val="center"/>
                </w:tcPr>
                <w:p>
                  <w:pPr>
                    <w:pStyle w:val="53"/>
                    <w:rPr>
                      <w:b w:val="0"/>
                    </w:rPr>
                  </w:pPr>
                  <w:r>
                    <w:rPr>
                      <w:rFonts w:hint="eastAsia"/>
                      <w:b w:val="0"/>
                    </w:rPr>
                    <w:t>测点位置</w:t>
                  </w:r>
                </w:p>
              </w:tc>
              <w:tc>
                <w:tcPr>
                  <w:tcW w:w="2287" w:type="dxa"/>
                  <w:gridSpan w:val="2"/>
                  <w:tcBorders>
                    <w:top w:val="single" w:color="000000" w:sz="12" w:space="0"/>
                    <w:left w:val="single" w:color="auto" w:sz="4" w:space="0"/>
                    <w:bottom w:val="single" w:color="auto" w:sz="4" w:space="0"/>
                    <w:right w:val="single" w:color="auto" w:sz="4" w:space="0"/>
                  </w:tcBorders>
                  <w:shd w:val="clear" w:color="auto" w:fill="auto"/>
                  <w:vAlign w:val="center"/>
                </w:tcPr>
                <w:p>
                  <w:pPr>
                    <w:pStyle w:val="53"/>
                    <w:rPr>
                      <w:rFonts w:hint="eastAsia" w:eastAsia="宋体"/>
                      <w:b w:val="0"/>
                      <w:lang w:eastAsia="zh-CN"/>
                    </w:rPr>
                  </w:pPr>
                  <w:r>
                    <w:rPr>
                      <w:rFonts w:hint="eastAsia"/>
                      <w:b w:val="0"/>
                    </w:rPr>
                    <w:t>检测结果</w:t>
                  </w:r>
                  <w:r>
                    <w:rPr>
                      <w:b w:val="0"/>
                    </w:rPr>
                    <w:t>Leq</w:t>
                  </w:r>
                  <w:r>
                    <w:rPr>
                      <w:rFonts w:hint="eastAsia"/>
                      <w:b w:val="0"/>
                    </w:rPr>
                    <w:t xml:space="preserve">， </w:t>
                  </w:r>
                  <w:r>
                    <w:rPr>
                      <w:b w:val="0"/>
                    </w:rPr>
                    <w:t>dB</w:t>
                  </w:r>
                  <w:r>
                    <w:rPr>
                      <w:rFonts w:hint="eastAsia"/>
                      <w:b w:val="0"/>
                      <w:lang w:eastAsia="zh-CN"/>
                    </w:rPr>
                    <w:t>（</w:t>
                  </w:r>
                  <w:r>
                    <w:rPr>
                      <w:b w:val="0"/>
                    </w:rPr>
                    <w:t>A</w:t>
                  </w:r>
                  <w:r>
                    <w:rPr>
                      <w:rFonts w:hint="eastAsia"/>
                      <w:b w:val="0"/>
                      <w:lang w:eastAsia="zh-CN"/>
                    </w:rPr>
                    <w:t>）</w:t>
                  </w:r>
                </w:p>
              </w:tc>
              <w:tc>
                <w:tcPr>
                  <w:tcW w:w="1056" w:type="dxa"/>
                  <w:vMerge w:val="restart"/>
                  <w:tcBorders>
                    <w:top w:val="single" w:color="000000" w:sz="12" w:space="0"/>
                    <w:left w:val="single" w:color="auto" w:sz="4" w:space="0"/>
                    <w:bottom w:val="single" w:color="auto" w:sz="4" w:space="0"/>
                    <w:right w:val="single" w:color="auto" w:sz="4" w:space="0"/>
                  </w:tcBorders>
                  <w:shd w:val="clear" w:color="auto" w:fill="auto"/>
                  <w:vAlign w:val="center"/>
                </w:tcPr>
                <w:p>
                  <w:pPr>
                    <w:pStyle w:val="53"/>
                    <w:rPr>
                      <w:b w:val="0"/>
                    </w:rPr>
                  </w:pPr>
                  <w:r>
                    <w:rPr>
                      <w:rFonts w:hint="eastAsia"/>
                      <w:b w:val="0"/>
                    </w:rPr>
                    <w:t>标准限值</w:t>
                  </w:r>
                </w:p>
              </w:tc>
              <w:tc>
                <w:tcPr>
                  <w:tcW w:w="0" w:type="auto"/>
                  <w:vMerge w:val="restart"/>
                  <w:tcBorders>
                    <w:top w:val="single" w:color="000000" w:sz="12" w:space="0"/>
                    <w:left w:val="single" w:color="auto" w:sz="4" w:space="0"/>
                    <w:bottom w:val="single" w:color="auto" w:sz="4" w:space="0"/>
                    <w:right w:val="nil"/>
                  </w:tcBorders>
                  <w:shd w:val="clear" w:color="auto" w:fill="auto"/>
                  <w:vAlign w:val="center"/>
                </w:tcPr>
                <w:p>
                  <w:pPr>
                    <w:pStyle w:val="53"/>
                    <w:rPr>
                      <w:b w:val="0"/>
                    </w:rPr>
                  </w:pPr>
                  <w:r>
                    <w:rPr>
                      <w:rFonts w:hint="eastAsia"/>
                      <w:b w:val="0"/>
                    </w:rPr>
                    <w:t>达标情况</w:t>
                  </w:r>
                </w:p>
              </w:tc>
            </w:tr>
            <w:tr>
              <w:tblPrEx>
                <w:tblCellMar>
                  <w:top w:w="0" w:type="dxa"/>
                  <w:left w:w="108" w:type="dxa"/>
                  <w:bottom w:w="0" w:type="dxa"/>
                  <w:right w:w="108" w:type="dxa"/>
                </w:tblCellMar>
              </w:tblPrEx>
              <w:trPr>
                <w:trHeight w:val="407" w:hRule="atLeast"/>
                <w:jc w:val="center"/>
              </w:trPr>
              <w:tc>
                <w:tcPr>
                  <w:tcW w:w="0" w:type="auto"/>
                  <w:vMerge w:val="continue"/>
                  <w:tcBorders>
                    <w:top w:val="single" w:color="auto" w:sz="4" w:space="0"/>
                    <w:left w:val="nil"/>
                    <w:bottom w:val="single" w:color="auto" w:sz="4" w:space="0"/>
                    <w:right w:val="single" w:color="auto" w:sz="4" w:space="0"/>
                    <w:tl2br w:val="nil"/>
                  </w:tcBorders>
                  <w:shd w:val="clear" w:color="auto" w:fill="auto"/>
                  <w:vAlign w:val="center"/>
                </w:tcPr>
                <w:p>
                  <w:pPr>
                    <w:pStyle w:val="53"/>
                    <w:rPr>
                      <w:b w:val="0"/>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3"/>
                    <w:rPr>
                      <w:b w:val="0"/>
                    </w:rPr>
                  </w:pP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rFonts w:hint="default" w:eastAsia="宋体"/>
                      <w:b w:val="0"/>
                      <w:lang w:val="en-US" w:eastAsia="zh-CN"/>
                    </w:rPr>
                  </w:pPr>
                  <w:r>
                    <w:rPr>
                      <w:rFonts w:hint="eastAsia"/>
                      <w:b w:val="0"/>
                      <w:lang w:val="en-US" w:eastAsia="zh-CN"/>
                    </w:rPr>
                    <w:t>2025年9月18日</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ind w:firstLine="0" w:firstLineChars="0"/>
                    <w:rPr>
                      <w:rFonts w:hint="default" w:ascii="Times New Roman" w:hAnsi="Times New Roman" w:eastAsia="宋体" w:cs="Times New Roman"/>
                      <w:b w:val="0"/>
                      <w:color w:val="000000"/>
                      <w:kern w:val="2"/>
                      <w:sz w:val="21"/>
                      <w:szCs w:val="21"/>
                      <w:lang w:val="en-US" w:eastAsia="zh-CN" w:bidi="ar-SA"/>
                    </w:rPr>
                  </w:pPr>
                  <w:r>
                    <w:rPr>
                      <w:rFonts w:hint="eastAsia"/>
                      <w:b w:val="0"/>
                      <w:lang w:val="en-US" w:eastAsia="zh-CN"/>
                    </w:rPr>
                    <w:t>2025年9月19日</w:t>
                  </w:r>
                </w:p>
              </w:tc>
              <w:tc>
                <w:tcPr>
                  <w:tcW w:w="10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3"/>
                    <w:rPr>
                      <w:b w:val="0"/>
                    </w:rPr>
                  </w:pPr>
                </w:p>
              </w:tc>
              <w:tc>
                <w:tcPr>
                  <w:tcW w:w="0" w:type="auto"/>
                  <w:vMerge w:val="continue"/>
                  <w:tcBorders>
                    <w:top w:val="single" w:color="auto" w:sz="4" w:space="0"/>
                    <w:left w:val="single" w:color="auto" w:sz="4" w:space="0"/>
                    <w:bottom w:val="single" w:color="auto" w:sz="4" w:space="0"/>
                    <w:right w:val="nil"/>
                  </w:tcBorders>
                  <w:shd w:val="clear" w:color="auto" w:fill="auto"/>
                  <w:vAlign w:val="center"/>
                </w:tcPr>
                <w:p>
                  <w:pPr>
                    <w:pStyle w:val="53"/>
                    <w:rPr>
                      <w:b w:val="0"/>
                    </w:rPr>
                  </w:pPr>
                </w:p>
              </w:tc>
            </w:tr>
            <w:tr>
              <w:tblPrEx>
                <w:tblCellMar>
                  <w:top w:w="0" w:type="dxa"/>
                  <w:left w:w="108" w:type="dxa"/>
                  <w:bottom w:w="0" w:type="dxa"/>
                  <w:right w:w="108" w:type="dxa"/>
                </w:tblCellMar>
              </w:tblPrEx>
              <w:trPr>
                <w:trHeight w:val="434" w:hRule="atLeast"/>
                <w:jc w:val="center"/>
              </w:trPr>
              <w:tc>
                <w:tcPr>
                  <w:tcW w:w="0" w:type="auto"/>
                  <w:vMerge w:val="restart"/>
                  <w:tcBorders>
                    <w:top w:val="single" w:color="auto" w:sz="4" w:space="0"/>
                    <w:left w:val="nil"/>
                    <w:bottom w:val="single" w:color="auto" w:sz="4" w:space="0"/>
                    <w:right w:val="single" w:color="auto" w:sz="4" w:space="0"/>
                  </w:tcBorders>
                  <w:shd w:val="clear" w:color="auto" w:fill="auto"/>
                  <w:vAlign w:val="center"/>
                </w:tcPr>
                <w:p>
                  <w:pPr>
                    <w:pStyle w:val="53"/>
                    <w:rPr>
                      <w:b w:val="0"/>
                    </w:rPr>
                  </w:pPr>
                  <w:r>
                    <w:rPr>
                      <w:rFonts w:hint="eastAsia"/>
                      <w:b w:val="0"/>
                    </w:rPr>
                    <w:t>昼间</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3"/>
                    <w:rPr>
                      <w:b w:val="0"/>
                    </w:rPr>
                  </w:pPr>
                  <w:r>
                    <w:rPr>
                      <w:rFonts w:hint="eastAsia"/>
                      <w:b w:val="0"/>
                    </w:rPr>
                    <w:t>东侧厂界外</w:t>
                  </w:r>
                  <w:r>
                    <w:rPr>
                      <w:b w:val="0"/>
                    </w:rPr>
                    <w:t>1</w:t>
                  </w:r>
                  <w:r>
                    <w:rPr>
                      <w:rFonts w:hint="eastAsia"/>
                      <w:b w:val="0"/>
                    </w:rPr>
                    <w:t>米处</w:t>
                  </w:r>
                  <w:r>
                    <w:rPr>
                      <w:b w:val="0"/>
                    </w:rPr>
                    <w:t>N1</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rFonts w:hint="default" w:eastAsia="宋体"/>
                      <w:b w:val="0"/>
                      <w:lang w:val="en-US" w:eastAsia="zh-CN"/>
                    </w:rPr>
                  </w:pPr>
                  <w:r>
                    <w:rPr>
                      <w:b w:val="0"/>
                    </w:rPr>
                    <w:t>5</w:t>
                  </w:r>
                  <w:r>
                    <w:rPr>
                      <w:rFonts w:hint="eastAsia"/>
                      <w:b w:val="0"/>
                      <w:lang w:val="en-US" w:eastAsia="zh-CN"/>
                    </w:rPr>
                    <w:t>5.3</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rFonts w:hint="default" w:eastAsia="宋体"/>
                      <w:b w:val="0"/>
                      <w:lang w:val="en-US" w:eastAsia="zh-CN"/>
                    </w:rPr>
                  </w:pPr>
                  <w:r>
                    <w:rPr>
                      <w:rFonts w:hint="eastAsia"/>
                      <w:b w:val="0"/>
                      <w:lang w:val="en-US" w:eastAsia="zh-CN"/>
                    </w:rPr>
                    <w:t>54.6</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b w:val="0"/>
                    </w:rPr>
                  </w:pPr>
                  <w:r>
                    <w:rPr>
                      <w:b w:val="0"/>
                    </w:rPr>
                    <w:t>60</w:t>
                  </w:r>
                </w:p>
              </w:tc>
              <w:tc>
                <w:tcPr>
                  <w:tcW w:w="0" w:type="auto"/>
                  <w:tcBorders>
                    <w:top w:val="single" w:color="auto" w:sz="4" w:space="0"/>
                    <w:left w:val="single" w:color="auto" w:sz="4" w:space="0"/>
                    <w:bottom w:val="single" w:color="auto" w:sz="4" w:space="0"/>
                    <w:right w:val="nil"/>
                  </w:tcBorders>
                  <w:shd w:val="clear" w:color="auto" w:fill="auto"/>
                  <w:vAlign w:val="center"/>
                </w:tcPr>
                <w:p>
                  <w:pPr>
                    <w:pStyle w:val="53"/>
                    <w:rPr>
                      <w:b w:val="0"/>
                    </w:rPr>
                  </w:pPr>
                  <w:r>
                    <w:rPr>
                      <w:b w:val="0"/>
                    </w:rPr>
                    <w:t>达标</w:t>
                  </w:r>
                </w:p>
              </w:tc>
            </w:tr>
            <w:tr>
              <w:tblPrEx>
                <w:tblCellMar>
                  <w:top w:w="0" w:type="dxa"/>
                  <w:left w:w="108" w:type="dxa"/>
                  <w:bottom w:w="0" w:type="dxa"/>
                  <w:right w:w="108" w:type="dxa"/>
                </w:tblCellMar>
              </w:tblPrEx>
              <w:trPr>
                <w:trHeight w:val="434" w:hRule="atLeast"/>
                <w:jc w:val="center"/>
              </w:trPr>
              <w:tc>
                <w:tcPr>
                  <w:tcW w:w="0" w:type="auto"/>
                  <w:vMerge w:val="continue"/>
                  <w:tcBorders>
                    <w:top w:val="single" w:color="auto" w:sz="4" w:space="0"/>
                    <w:left w:val="nil"/>
                    <w:bottom w:val="single" w:color="auto" w:sz="4" w:space="0"/>
                    <w:right w:val="single" w:color="auto" w:sz="4" w:space="0"/>
                  </w:tcBorders>
                  <w:shd w:val="clear" w:color="auto" w:fill="auto"/>
                  <w:vAlign w:val="center"/>
                </w:tcPr>
                <w:p>
                  <w:pPr>
                    <w:pStyle w:val="53"/>
                    <w:rPr>
                      <w:b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3"/>
                    <w:rPr>
                      <w:b w:val="0"/>
                    </w:rPr>
                  </w:pPr>
                  <w:r>
                    <w:rPr>
                      <w:rFonts w:hint="eastAsia"/>
                      <w:b w:val="0"/>
                    </w:rPr>
                    <w:t>南侧厂界外</w:t>
                  </w:r>
                  <w:r>
                    <w:rPr>
                      <w:b w:val="0"/>
                    </w:rPr>
                    <w:t>1</w:t>
                  </w:r>
                  <w:r>
                    <w:rPr>
                      <w:rFonts w:hint="eastAsia"/>
                      <w:b w:val="0"/>
                    </w:rPr>
                    <w:t>米处</w:t>
                  </w:r>
                  <w:r>
                    <w:rPr>
                      <w:b w:val="0"/>
                    </w:rPr>
                    <w:t>N2</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rFonts w:hint="default" w:eastAsia="宋体"/>
                      <w:b w:val="0"/>
                      <w:lang w:val="en-US" w:eastAsia="zh-CN"/>
                    </w:rPr>
                  </w:pPr>
                  <w:r>
                    <w:rPr>
                      <w:b w:val="0"/>
                    </w:rPr>
                    <w:t>5</w:t>
                  </w:r>
                  <w:r>
                    <w:rPr>
                      <w:rFonts w:hint="eastAsia"/>
                      <w:b w:val="0"/>
                      <w:lang w:val="en-US" w:eastAsia="zh-CN"/>
                    </w:rPr>
                    <w:t>6.4</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rFonts w:hint="default" w:eastAsia="宋体"/>
                      <w:b w:val="0"/>
                      <w:lang w:val="en-US" w:eastAsia="zh-CN"/>
                    </w:rPr>
                  </w:pPr>
                  <w:r>
                    <w:rPr>
                      <w:rFonts w:hint="eastAsia"/>
                      <w:b w:val="0"/>
                      <w:lang w:val="en-US" w:eastAsia="zh-CN"/>
                    </w:rPr>
                    <w:t>54.1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b w:val="0"/>
                    </w:rPr>
                  </w:pPr>
                  <w:r>
                    <w:rPr>
                      <w:b w:val="0"/>
                    </w:rPr>
                    <w:t>60</w:t>
                  </w:r>
                </w:p>
              </w:tc>
              <w:tc>
                <w:tcPr>
                  <w:tcW w:w="0" w:type="auto"/>
                  <w:tcBorders>
                    <w:top w:val="single" w:color="auto" w:sz="4" w:space="0"/>
                    <w:left w:val="single" w:color="auto" w:sz="4" w:space="0"/>
                    <w:bottom w:val="single" w:color="auto" w:sz="4" w:space="0"/>
                    <w:right w:val="nil"/>
                  </w:tcBorders>
                  <w:shd w:val="clear" w:color="auto" w:fill="auto"/>
                  <w:vAlign w:val="center"/>
                </w:tcPr>
                <w:p>
                  <w:pPr>
                    <w:pStyle w:val="53"/>
                    <w:rPr>
                      <w:b w:val="0"/>
                    </w:rPr>
                  </w:pPr>
                  <w:r>
                    <w:rPr>
                      <w:b w:val="0"/>
                    </w:rPr>
                    <w:t>达标</w:t>
                  </w:r>
                </w:p>
              </w:tc>
            </w:tr>
            <w:tr>
              <w:tblPrEx>
                <w:tblCellMar>
                  <w:top w:w="0" w:type="dxa"/>
                  <w:left w:w="108" w:type="dxa"/>
                  <w:bottom w:w="0" w:type="dxa"/>
                  <w:right w:w="108" w:type="dxa"/>
                </w:tblCellMar>
              </w:tblPrEx>
              <w:trPr>
                <w:trHeight w:val="434" w:hRule="atLeast"/>
                <w:jc w:val="center"/>
              </w:trPr>
              <w:tc>
                <w:tcPr>
                  <w:tcW w:w="0" w:type="auto"/>
                  <w:vMerge w:val="continue"/>
                  <w:tcBorders>
                    <w:top w:val="single" w:color="auto" w:sz="4" w:space="0"/>
                    <w:left w:val="nil"/>
                    <w:bottom w:val="single" w:color="auto" w:sz="4" w:space="0"/>
                    <w:right w:val="single" w:color="auto" w:sz="4" w:space="0"/>
                  </w:tcBorders>
                  <w:shd w:val="clear" w:color="auto" w:fill="auto"/>
                  <w:vAlign w:val="center"/>
                </w:tcPr>
                <w:p>
                  <w:pPr>
                    <w:pStyle w:val="53"/>
                    <w:rPr>
                      <w:b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3"/>
                    <w:rPr>
                      <w:b w:val="0"/>
                    </w:rPr>
                  </w:pPr>
                  <w:r>
                    <w:rPr>
                      <w:rFonts w:hint="eastAsia"/>
                      <w:b w:val="0"/>
                    </w:rPr>
                    <w:t>西侧厂界外</w:t>
                  </w:r>
                  <w:r>
                    <w:rPr>
                      <w:b w:val="0"/>
                    </w:rPr>
                    <w:t>1</w:t>
                  </w:r>
                  <w:r>
                    <w:rPr>
                      <w:rFonts w:hint="eastAsia"/>
                      <w:b w:val="0"/>
                    </w:rPr>
                    <w:t>米处</w:t>
                  </w:r>
                  <w:r>
                    <w:rPr>
                      <w:b w:val="0"/>
                    </w:rPr>
                    <w:t>N3</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rFonts w:hint="default" w:eastAsia="宋体"/>
                      <w:b w:val="0"/>
                      <w:lang w:val="en-US" w:eastAsia="zh-CN"/>
                    </w:rPr>
                  </w:pPr>
                  <w:r>
                    <w:rPr>
                      <w:b w:val="0"/>
                    </w:rPr>
                    <w:t>5</w:t>
                  </w:r>
                  <w:r>
                    <w:rPr>
                      <w:rFonts w:hint="eastAsia"/>
                      <w:b w:val="0"/>
                      <w:lang w:val="en-US" w:eastAsia="zh-CN"/>
                    </w:rPr>
                    <w:t>6.7</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rFonts w:hint="default" w:eastAsia="宋体"/>
                      <w:b w:val="0"/>
                      <w:lang w:val="en-US" w:eastAsia="zh-CN"/>
                    </w:rPr>
                  </w:pPr>
                  <w:r>
                    <w:rPr>
                      <w:rFonts w:hint="eastAsia"/>
                      <w:b w:val="0"/>
                      <w:lang w:val="en-US" w:eastAsia="zh-CN"/>
                    </w:rPr>
                    <w:t>54.6</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b w:val="0"/>
                    </w:rPr>
                  </w:pPr>
                  <w:r>
                    <w:rPr>
                      <w:b w:val="0"/>
                    </w:rPr>
                    <w:t>60</w:t>
                  </w:r>
                </w:p>
              </w:tc>
              <w:tc>
                <w:tcPr>
                  <w:tcW w:w="0" w:type="auto"/>
                  <w:tcBorders>
                    <w:top w:val="single" w:color="auto" w:sz="4" w:space="0"/>
                    <w:left w:val="single" w:color="auto" w:sz="4" w:space="0"/>
                    <w:bottom w:val="single" w:color="auto" w:sz="4" w:space="0"/>
                    <w:right w:val="nil"/>
                  </w:tcBorders>
                  <w:shd w:val="clear" w:color="auto" w:fill="auto"/>
                  <w:vAlign w:val="center"/>
                </w:tcPr>
                <w:p>
                  <w:pPr>
                    <w:pStyle w:val="53"/>
                    <w:rPr>
                      <w:b w:val="0"/>
                    </w:rPr>
                  </w:pPr>
                  <w:r>
                    <w:rPr>
                      <w:b w:val="0"/>
                    </w:rPr>
                    <w:t>达标</w:t>
                  </w:r>
                </w:p>
              </w:tc>
            </w:tr>
            <w:tr>
              <w:tblPrEx>
                <w:tblCellMar>
                  <w:top w:w="0" w:type="dxa"/>
                  <w:left w:w="108" w:type="dxa"/>
                  <w:bottom w:w="0" w:type="dxa"/>
                  <w:right w:w="108" w:type="dxa"/>
                </w:tblCellMar>
              </w:tblPrEx>
              <w:trPr>
                <w:trHeight w:val="434" w:hRule="atLeast"/>
                <w:jc w:val="center"/>
              </w:trPr>
              <w:tc>
                <w:tcPr>
                  <w:tcW w:w="0" w:type="auto"/>
                  <w:vMerge w:val="continue"/>
                  <w:tcBorders>
                    <w:top w:val="single" w:color="auto" w:sz="4" w:space="0"/>
                    <w:left w:val="nil"/>
                    <w:bottom w:val="single" w:color="auto" w:sz="4" w:space="0"/>
                    <w:right w:val="single" w:color="auto" w:sz="4" w:space="0"/>
                  </w:tcBorders>
                  <w:shd w:val="clear" w:color="auto" w:fill="auto"/>
                  <w:vAlign w:val="center"/>
                </w:tcPr>
                <w:p>
                  <w:pPr>
                    <w:pStyle w:val="53"/>
                    <w:rPr>
                      <w:b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3"/>
                    <w:rPr>
                      <w:b w:val="0"/>
                    </w:rPr>
                  </w:pPr>
                  <w:r>
                    <w:rPr>
                      <w:rFonts w:hint="eastAsia"/>
                      <w:b w:val="0"/>
                    </w:rPr>
                    <w:t>北侧厂界外</w:t>
                  </w:r>
                  <w:r>
                    <w:rPr>
                      <w:b w:val="0"/>
                    </w:rPr>
                    <w:t>1</w:t>
                  </w:r>
                  <w:r>
                    <w:rPr>
                      <w:rFonts w:hint="eastAsia"/>
                      <w:b w:val="0"/>
                    </w:rPr>
                    <w:t>米处</w:t>
                  </w:r>
                  <w:r>
                    <w:rPr>
                      <w:b w:val="0"/>
                    </w:rPr>
                    <w:t>N4</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rFonts w:hint="default" w:eastAsia="宋体"/>
                      <w:b w:val="0"/>
                      <w:lang w:val="en-US" w:eastAsia="zh-CN"/>
                    </w:rPr>
                  </w:pPr>
                  <w:r>
                    <w:rPr>
                      <w:b w:val="0"/>
                    </w:rPr>
                    <w:t>5</w:t>
                  </w:r>
                  <w:r>
                    <w:rPr>
                      <w:rFonts w:hint="eastAsia"/>
                      <w:b w:val="0"/>
                      <w:lang w:val="en-US" w:eastAsia="zh-CN"/>
                    </w:rPr>
                    <w:t>4.5</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rFonts w:hint="default" w:eastAsia="宋体"/>
                      <w:b w:val="0"/>
                      <w:lang w:val="en-US" w:eastAsia="zh-CN"/>
                    </w:rPr>
                  </w:pPr>
                  <w:r>
                    <w:rPr>
                      <w:rFonts w:hint="eastAsia"/>
                      <w:b w:val="0"/>
                      <w:lang w:val="en-US" w:eastAsia="zh-CN"/>
                    </w:rPr>
                    <w:t>56.1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rPr>
                      <w:b w:val="0"/>
                    </w:rPr>
                  </w:pPr>
                  <w:r>
                    <w:rPr>
                      <w:b w:val="0"/>
                    </w:rPr>
                    <w:t>60</w:t>
                  </w:r>
                </w:p>
              </w:tc>
              <w:tc>
                <w:tcPr>
                  <w:tcW w:w="0" w:type="auto"/>
                  <w:tcBorders>
                    <w:top w:val="single" w:color="auto" w:sz="4" w:space="0"/>
                    <w:left w:val="single" w:color="auto" w:sz="4" w:space="0"/>
                    <w:bottom w:val="single" w:color="auto" w:sz="4" w:space="0"/>
                    <w:right w:val="nil"/>
                  </w:tcBorders>
                  <w:shd w:val="clear" w:color="auto" w:fill="auto"/>
                  <w:vAlign w:val="center"/>
                </w:tcPr>
                <w:p>
                  <w:pPr>
                    <w:pStyle w:val="53"/>
                    <w:rPr>
                      <w:b w:val="0"/>
                    </w:rPr>
                  </w:pPr>
                  <w:r>
                    <w:rPr>
                      <w:b w:val="0"/>
                    </w:rPr>
                    <w:t>达标</w:t>
                  </w:r>
                </w:p>
              </w:tc>
            </w:tr>
            <w:tr>
              <w:tblPrEx>
                <w:tblCellMar>
                  <w:top w:w="0" w:type="dxa"/>
                  <w:left w:w="108" w:type="dxa"/>
                  <w:bottom w:w="0" w:type="dxa"/>
                  <w:right w:w="108" w:type="dxa"/>
                </w:tblCellMar>
              </w:tblPrEx>
              <w:trPr>
                <w:trHeight w:val="234" w:hRule="atLeast"/>
                <w:jc w:val="center"/>
              </w:trPr>
              <w:tc>
                <w:tcPr>
                  <w:tcW w:w="0" w:type="auto"/>
                  <w:vMerge w:val="continue"/>
                  <w:tcBorders>
                    <w:top w:val="single" w:color="auto" w:sz="4" w:space="0"/>
                    <w:left w:val="nil"/>
                    <w:bottom w:val="single" w:color="000000" w:sz="12" w:space="0"/>
                    <w:right w:val="single" w:color="auto" w:sz="4" w:space="0"/>
                  </w:tcBorders>
                  <w:shd w:val="clear" w:color="auto" w:fill="auto"/>
                  <w:vAlign w:val="center"/>
                </w:tcPr>
                <w:p>
                  <w:pPr>
                    <w:pStyle w:val="53"/>
                    <w:rPr>
                      <w:b w:val="0"/>
                    </w:rPr>
                  </w:pPr>
                </w:p>
              </w:tc>
              <w:tc>
                <w:tcPr>
                  <w:tcW w:w="0" w:type="auto"/>
                  <w:tcBorders>
                    <w:top w:val="single" w:color="auto" w:sz="4" w:space="0"/>
                    <w:left w:val="single" w:color="auto" w:sz="4" w:space="0"/>
                    <w:bottom w:val="single" w:color="000000" w:sz="12" w:space="0"/>
                    <w:right w:val="single" w:color="auto" w:sz="4" w:space="0"/>
                  </w:tcBorders>
                  <w:shd w:val="clear" w:color="auto" w:fill="auto"/>
                  <w:vAlign w:val="center"/>
                </w:tcPr>
                <w:p>
                  <w:pPr>
                    <w:pStyle w:val="53"/>
                    <w:rPr>
                      <w:b w:val="0"/>
                    </w:rPr>
                  </w:pPr>
                  <w:r>
                    <w:rPr>
                      <w:rFonts w:hint="eastAsia"/>
                      <w:b w:val="0"/>
                      <w:lang w:val="en-US" w:eastAsia="zh-CN"/>
                    </w:rPr>
                    <w:t>洪塘</w:t>
                  </w:r>
                  <w:r>
                    <w:rPr>
                      <w:rFonts w:hint="eastAsia"/>
                      <w:b w:val="0"/>
                    </w:rPr>
                    <w:t>村</w:t>
                  </w:r>
                  <w:r>
                    <w:rPr>
                      <w:b w:val="0"/>
                    </w:rPr>
                    <w:t>N5</w:t>
                  </w:r>
                </w:p>
              </w:tc>
              <w:tc>
                <w:tcPr>
                  <w:tcW w:w="1143" w:type="dxa"/>
                  <w:tcBorders>
                    <w:top w:val="single" w:color="auto" w:sz="4" w:space="0"/>
                    <w:left w:val="single" w:color="auto" w:sz="4" w:space="0"/>
                    <w:bottom w:val="single" w:color="000000" w:sz="12" w:space="0"/>
                    <w:right w:val="single" w:color="auto" w:sz="4" w:space="0"/>
                  </w:tcBorders>
                  <w:shd w:val="clear" w:color="auto" w:fill="auto"/>
                  <w:vAlign w:val="center"/>
                </w:tcPr>
                <w:p>
                  <w:pPr>
                    <w:pStyle w:val="53"/>
                    <w:rPr>
                      <w:rFonts w:hint="eastAsia" w:eastAsia="宋体"/>
                      <w:b w:val="0"/>
                      <w:lang w:val="en-US" w:eastAsia="zh-CN"/>
                    </w:rPr>
                  </w:pPr>
                  <w:r>
                    <w:rPr>
                      <w:b w:val="0"/>
                    </w:rPr>
                    <w:t>53.</w:t>
                  </w:r>
                  <w:r>
                    <w:rPr>
                      <w:rFonts w:hint="eastAsia"/>
                      <w:b w:val="0"/>
                      <w:lang w:val="en-US" w:eastAsia="zh-CN"/>
                    </w:rPr>
                    <w:t>5</w:t>
                  </w:r>
                </w:p>
              </w:tc>
              <w:tc>
                <w:tcPr>
                  <w:tcW w:w="1144" w:type="dxa"/>
                  <w:tcBorders>
                    <w:top w:val="single" w:color="auto" w:sz="4" w:space="0"/>
                    <w:left w:val="single" w:color="auto" w:sz="4" w:space="0"/>
                    <w:bottom w:val="single" w:color="000000" w:sz="12" w:space="0"/>
                    <w:right w:val="single" w:color="auto" w:sz="4" w:space="0"/>
                  </w:tcBorders>
                  <w:shd w:val="clear" w:color="auto" w:fill="auto"/>
                  <w:vAlign w:val="center"/>
                </w:tcPr>
                <w:p>
                  <w:pPr>
                    <w:pStyle w:val="53"/>
                    <w:rPr>
                      <w:rFonts w:hint="default" w:eastAsia="宋体"/>
                      <w:b w:val="0"/>
                      <w:lang w:val="en-US" w:eastAsia="zh-CN"/>
                    </w:rPr>
                  </w:pPr>
                  <w:r>
                    <w:rPr>
                      <w:rFonts w:hint="eastAsia"/>
                      <w:b w:val="0"/>
                      <w:lang w:val="en-US" w:eastAsia="zh-CN"/>
                    </w:rPr>
                    <w:t>54.3</w:t>
                  </w:r>
                </w:p>
              </w:tc>
              <w:tc>
                <w:tcPr>
                  <w:tcW w:w="1056" w:type="dxa"/>
                  <w:tcBorders>
                    <w:top w:val="single" w:color="auto" w:sz="4" w:space="0"/>
                    <w:left w:val="single" w:color="auto" w:sz="4" w:space="0"/>
                    <w:bottom w:val="single" w:color="000000" w:sz="12" w:space="0"/>
                    <w:right w:val="single" w:color="auto" w:sz="4" w:space="0"/>
                  </w:tcBorders>
                  <w:shd w:val="clear" w:color="auto" w:fill="auto"/>
                  <w:vAlign w:val="center"/>
                </w:tcPr>
                <w:p>
                  <w:pPr>
                    <w:pStyle w:val="53"/>
                    <w:rPr>
                      <w:b w:val="0"/>
                    </w:rPr>
                  </w:pPr>
                  <w:r>
                    <w:rPr>
                      <w:b w:val="0"/>
                    </w:rPr>
                    <w:t>60</w:t>
                  </w:r>
                </w:p>
              </w:tc>
              <w:tc>
                <w:tcPr>
                  <w:tcW w:w="0" w:type="auto"/>
                  <w:tcBorders>
                    <w:top w:val="single" w:color="auto" w:sz="4" w:space="0"/>
                    <w:left w:val="single" w:color="auto" w:sz="4" w:space="0"/>
                    <w:bottom w:val="single" w:color="000000" w:sz="12" w:space="0"/>
                    <w:right w:val="nil"/>
                  </w:tcBorders>
                  <w:shd w:val="clear" w:color="auto" w:fill="auto"/>
                  <w:vAlign w:val="center"/>
                </w:tcPr>
                <w:p>
                  <w:pPr>
                    <w:pStyle w:val="53"/>
                    <w:rPr>
                      <w:b w:val="0"/>
                    </w:rPr>
                  </w:pPr>
                  <w:r>
                    <w:rPr>
                      <w:b w:val="0"/>
                    </w:rPr>
                    <w:t>达标</w:t>
                  </w:r>
                </w:p>
              </w:tc>
            </w:tr>
          </w:tbl>
          <w:p>
            <w:r>
              <w:t>由表3.3-</w:t>
            </w:r>
            <w:r>
              <w:rPr>
                <w:rFonts w:hint="eastAsia"/>
              </w:rPr>
              <w:t>2</w:t>
            </w:r>
            <w:r>
              <w:t>可知，项目区域声环境</w:t>
            </w:r>
            <w:r>
              <w:rPr>
                <w:rFonts w:hint="eastAsia"/>
                <w:lang w:val="en-US" w:eastAsia="zh-CN"/>
              </w:rPr>
              <w:t>现状</w:t>
            </w:r>
            <w:r>
              <w:t>可满足《声环境</w:t>
            </w:r>
            <w:r>
              <w:rPr>
                <w:rFonts w:hint="eastAsia"/>
                <w:lang w:val="en-US" w:eastAsia="zh-CN"/>
              </w:rPr>
              <w:t>质量</w:t>
            </w:r>
            <w:r>
              <w:t>标准》</w:t>
            </w:r>
            <w:r>
              <w:rPr>
                <w:rFonts w:hint="eastAsia"/>
                <w:lang w:eastAsia="zh-CN"/>
              </w:rPr>
              <w:t>（</w:t>
            </w:r>
            <w:r>
              <w:t>GB3096-2008</w:t>
            </w:r>
            <w:r>
              <w:rPr>
                <w:rFonts w:hint="eastAsia"/>
                <w:lang w:eastAsia="zh-CN"/>
              </w:rPr>
              <w:t>）</w:t>
            </w:r>
            <w:r>
              <w:t>中</w:t>
            </w:r>
            <w:r>
              <w:rPr>
                <w:rFonts w:hint="eastAsia"/>
              </w:rPr>
              <w:t>2</w:t>
            </w:r>
            <w:r>
              <w:t>类要求</w:t>
            </w:r>
          </w:p>
          <w:p>
            <w:pPr>
              <w:pStyle w:val="4"/>
            </w:pPr>
            <w:bookmarkStart w:id="37" w:name="_Toc24652"/>
            <w:bookmarkStart w:id="38" w:name="_Toc13206"/>
            <w:bookmarkStart w:id="39" w:name="_Toc30959"/>
            <w:r>
              <w:t>生态环境现状调查</w:t>
            </w:r>
            <w:bookmarkEnd w:id="37"/>
            <w:bookmarkEnd w:id="38"/>
            <w:bookmarkEnd w:id="39"/>
          </w:p>
          <w:p>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产业园区外建设项目新增用地且用地范围内含生态环境保护目标时，应进行生态现状调查</w:t>
            </w:r>
            <w:r>
              <w:rPr>
                <w:rFonts w:hint="eastAsia"/>
              </w:rPr>
              <w:t>”</w:t>
            </w:r>
            <w:r>
              <w:t>。本项目位于</w:t>
            </w:r>
            <w:r>
              <w:rPr>
                <w:rFonts w:hint="eastAsia"/>
                <w:lang w:eastAsia="zh-CN"/>
              </w:rPr>
              <w:t>福建省福州市马尾区亭江镇亭江路66号福州（马尾）万洋众创（三期）B22#楼1层02厂房</w:t>
            </w:r>
            <w:r>
              <w:t>，项目厂房主体均已建成</w:t>
            </w:r>
            <w:r>
              <w:rPr>
                <w:rFonts w:hint="eastAsia"/>
              </w:rPr>
              <w:t>，无新增用地，且</w:t>
            </w:r>
            <w:r>
              <w:t>项目用地范围内无生态环境保护目标，不需要开展生态环境现状调查</w:t>
            </w:r>
            <w:r>
              <w:rPr>
                <w:rFonts w:hint="eastAsia"/>
              </w:rPr>
              <w:t>。</w:t>
            </w:r>
          </w:p>
          <w:p>
            <w:pPr>
              <w:pStyle w:val="4"/>
            </w:pPr>
            <w:bookmarkStart w:id="40" w:name="_Toc8259"/>
            <w:bookmarkStart w:id="41" w:name="_Toc27026"/>
            <w:bookmarkStart w:id="42" w:name="_Toc393"/>
            <w:r>
              <w:t>地下水、土壤环境质量现状</w:t>
            </w:r>
            <w:bookmarkEnd w:id="40"/>
            <w:bookmarkEnd w:id="41"/>
            <w:bookmarkEnd w:id="42"/>
          </w:p>
          <w:p>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规定，</w:t>
            </w:r>
            <w:r>
              <w:rPr>
                <w:rFonts w:hint="eastAsia"/>
              </w:rPr>
              <w:t>“</w:t>
            </w:r>
            <w:r>
              <w:t>原则上不开展环境质量现状调查。建设项目存在土壤、地下水环境污染途径的，应结合污染源、保护目标分布情况开展现状调查以留作背景值。</w:t>
            </w:r>
            <w:r>
              <w:rPr>
                <w:rFonts w:hint="eastAsia"/>
              </w:rPr>
              <w:t>”</w:t>
            </w:r>
          </w:p>
          <w:p>
            <w:pPr>
              <w:rPr>
                <w:color w:val="000000"/>
                <w:kern w:val="0"/>
                <w:szCs w:val="21"/>
              </w:rPr>
            </w:pPr>
            <w:r>
              <w:t>项目位于</w:t>
            </w:r>
            <w:r>
              <w:rPr>
                <w:rFonts w:hint="eastAsia"/>
              </w:rPr>
              <w:t>福州市马尾区亭江镇万洋众创城内</w:t>
            </w:r>
            <w:r>
              <w:t>，根据现场勘查，周边以工业企业为主；项目周边地下水、土壤环境相对不敏感，采取有效的防渗措施后，项目对地下水、土壤环境影响很小，基本不存在土壤、地下水环境污染途径，因此，本评价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425" w:type="dxa"/>
            <w:vAlign w:val="center"/>
          </w:tcPr>
          <w:p>
            <w:pPr>
              <w:pStyle w:val="53"/>
            </w:pPr>
            <w:r>
              <w:rPr>
                <w:rFonts w:hint="eastAsia"/>
              </w:rPr>
              <w:t>环</w:t>
            </w:r>
            <w:r>
              <w:t>境保护目标</w:t>
            </w:r>
          </w:p>
        </w:tc>
        <w:tc>
          <w:tcPr>
            <w:tcW w:w="8620" w:type="dxa"/>
            <w:vAlign w:val="center"/>
          </w:tcPr>
          <w:p>
            <w:pPr>
              <w:pStyle w:val="4"/>
            </w:pPr>
            <w:bookmarkStart w:id="43" w:name="_Toc32675"/>
            <w:bookmarkStart w:id="44" w:name="_Toc19480"/>
            <w:bookmarkStart w:id="45" w:name="_Toc18394"/>
            <w:r>
              <w:t>环境保护目标</w:t>
            </w:r>
            <w:bookmarkEnd w:id="43"/>
            <w:bookmarkEnd w:id="44"/>
            <w:bookmarkEnd w:id="45"/>
          </w:p>
          <w:p>
            <w:pPr>
              <w:pStyle w:val="5"/>
              <w:spacing w:before="120"/>
            </w:pPr>
            <w:r>
              <w:t>大气环境、地表水环境、声环境</w:t>
            </w:r>
          </w:p>
          <w:p>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要求以及对项目周边环境的调查，本项目大气环境</w:t>
            </w:r>
            <w:r>
              <w:rPr>
                <w:rFonts w:hint="eastAsia"/>
              </w:rPr>
              <w:t>（</w:t>
            </w:r>
            <w:r>
              <w:t>厂界外500m范围内</w:t>
            </w:r>
            <w:r>
              <w:rPr>
                <w:rFonts w:hint="eastAsia"/>
              </w:rPr>
              <w:t>）</w:t>
            </w:r>
            <w:r>
              <w:t>、地表水环境、声环境</w:t>
            </w:r>
            <w:r>
              <w:rPr>
                <w:rFonts w:hint="eastAsia"/>
              </w:rPr>
              <w:t>（</w:t>
            </w:r>
            <w:r>
              <w:t>厂界外50m范围内</w:t>
            </w:r>
            <w:r>
              <w:rPr>
                <w:rFonts w:hint="eastAsia"/>
              </w:rPr>
              <w:t>）</w:t>
            </w:r>
            <w:r>
              <w:t>保护目标见表3.6-1和</w:t>
            </w:r>
            <w:r>
              <w:fldChar w:fldCharType="begin"/>
            </w:r>
            <w:r>
              <w:instrText xml:space="preserve"> REF _Ref31766 \h </w:instrText>
            </w:r>
            <w:r>
              <w:fldChar w:fldCharType="separate"/>
            </w:r>
            <w:r>
              <w:t>附图 2</w:t>
            </w:r>
            <w:r>
              <w:fldChar w:fldCharType="end"/>
            </w:r>
            <w:r>
              <w:t>。</w:t>
            </w:r>
          </w:p>
          <w:p>
            <w:pPr>
              <w:pStyle w:val="96"/>
            </w:pPr>
            <w:r>
              <w:t>表3.6-1 环境保护目标一览表</w:t>
            </w:r>
          </w:p>
          <w:tbl>
            <w:tblPr>
              <w:tblStyle w:val="1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00"/>
              <w:gridCol w:w="1253"/>
              <w:gridCol w:w="709"/>
              <w:gridCol w:w="1499"/>
              <w:gridCol w:w="1125"/>
              <w:gridCol w:w="3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pct"/>
                  <w:vAlign w:val="center"/>
                </w:tcPr>
                <w:p>
                  <w:pPr>
                    <w:pStyle w:val="53"/>
                    <w:bidi w:val="0"/>
                  </w:pPr>
                  <w:r>
                    <w:t>环境类别</w:t>
                  </w:r>
                </w:p>
              </w:tc>
              <w:tc>
                <w:tcPr>
                  <w:tcW w:w="744" w:type="pct"/>
                  <w:vAlign w:val="center"/>
                </w:tcPr>
                <w:p>
                  <w:pPr>
                    <w:pStyle w:val="53"/>
                    <w:bidi w:val="0"/>
                  </w:pPr>
                  <w:r>
                    <w:t>环境保护目标</w:t>
                  </w:r>
                </w:p>
              </w:tc>
              <w:tc>
                <w:tcPr>
                  <w:tcW w:w="421" w:type="pct"/>
                  <w:vAlign w:val="center"/>
                </w:tcPr>
                <w:p>
                  <w:pPr>
                    <w:pStyle w:val="53"/>
                    <w:bidi w:val="0"/>
                  </w:pPr>
                  <w:r>
                    <w:t>方位</w:t>
                  </w:r>
                </w:p>
              </w:tc>
              <w:tc>
                <w:tcPr>
                  <w:tcW w:w="890" w:type="pct"/>
                  <w:vAlign w:val="center"/>
                </w:tcPr>
                <w:p>
                  <w:pPr>
                    <w:pStyle w:val="53"/>
                    <w:bidi w:val="0"/>
                  </w:pPr>
                  <w:r>
                    <w:t>距项目边界最近距离</w:t>
                  </w:r>
                  <w:r>
                    <w:rPr>
                      <w:rFonts w:hint="eastAsia"/>
                    </w:rPr>
                    <w:t>（</w:t>
                  </w:r>
                  <w:r>
                    <w:t>m</w:t>
                  </w:r>
                  <w:r>
                    <w:rPr>
                      <w:rFonts w:hint="eastAsia"/>
                    </w:rPr>
                    <w:t>）</w:t>
                  </w:r>
                </w:p>
              </w:tc>
              <w:tc>
                <w:tcPr>
                  <w:tcW w:w="668" w:type="pct"/>
                  <w:vAlign w:val="center"/>
                </w:tcPr>
                <w:p>
                  <w:pPr>
                    <w:pStyle w:val="53"/>
                    <w:bidi w:val="0"/>
                  </w:pPr>
                  <w:r>
                    <w:t>规模</w:t>
                  </w:r>
                </w:p>
              </w:tc>
              <w:tc>
                <w:tcPr>
                  <w:tcW w:w="1859" w:type="pct"/>
                  <w:vAlign w:val="center"/>
                </w:tcPr>
                <w:p>
                  <w:pPr>
                    <w:pStyle w:val="53"/>
                    <w:bidi w:val="0"/>
                  </w:pPr>
                  <w:r>
                    <w:t>保护级别及要求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pct"/>
                  <w:vAlign w:val="center"/>
                </w:tcPr>
                <w:p>
                  <w:pPr>
                    <w:pStyle w:val="53"/>
                    <w:bidi w:val="0"/>
                  </w:pPr>
                  <w:r>
                    <w:rPr>
                      <w:rFonts w:hint="eastAsia"/>
                    </w:rPr>
                    <w:t>地表</w:t>
                  </w:r>
                  <w:r>
                    <w:t>水环境</w:t>
                  </w:r>
                </w:p>
              </w:tc>
              <w:tc>
                <w:tcPr>
                  <w:tcW w:w="744" w:type="pct"/>
                  <w:vAlign w:val="center"/>
                </w:tcPr>
                <w:p>
                  <w:pPr>
                    <w:pStyle w:val="53"/>
                    <w:bidi w:val="0"/>
                  </w:pPr>
                  <w:r>
                    <w:rPr>
                      <w:rFonts w:hint="eastAsia"/>
                    </w:rPr>
                    <w:t>闽江</w:t>
                  </w:r>
                </w:p>
              </w:tc>
              <w:tc>
                <w:tcPr>
                  <w:tcW w:w="421" w:type="pct"/>
                  <w:vAlign w:val="center"/>
                </w:tcPr>
                <w:p>
                  <w:pPr>
                    <w:pStyle w:val="53"/>
                    <w:bidi w:val="0"/>
                  </w:pPr>
                  <w:r>
                    <w:rPr>
                      <w:rFonts w:hint="eastAsia"/>
                    </w:rPr>
                    <w:t>东南</w:t>
                  </w:r>
                  <w:r>
                    <w:t>侧</w:t>
                  </w:r>
                </w:p>
              </w:tc>
              <w:tc>
                <w:tcPr>
                  <w:tcW w:w="890" w:type="pct"/>
                  <w:vAlign w:val="center"/>
                </w:tcPr>
                <w:p>
                  <w:pPr>
                    <w:pStyle w:val="53"/>
                    <w:bidi w:val="0"/>
                  </w:pPr>
                  <w:r>
                    <w:rPr>
                      <w:rFonts w:hint="eastAsia"/>
                    </w:rPr>
                    <w:t>1800</w:t>
                  </w:r>
                </w:p>
              </w:tc>
              <w:tc>
                <w:tcPr>
                  <w:tcW w:w="668" w:type="pct"/>
                  <w:vAlign w:val="center"/>
                </w:tcPr>
                <w:p>
                  <w:pPr>
                    <w:pStyle w:val="53"/>
                    <w:bidi w:val="0"/>
                  </w:pPr>
                  <w:r>
                    <w:rPr>
                      <w:rFonts w:hint="eastAsia"/>
                    </w:rPr>
                    <w:t>/</w:t>
                  </w:r>
                </w:p>
              </w:tc>
              <w:tc>
                <w:tcPr>
                  <w:tcW w:w="1859" w:type="pct"/>
                  <w:vAlign w:val="center"/>
                </w:tcPr>
                <w:p>
                  <w:pPr>
                    <w:pStyle w:val="53"/>
                    <w:bidi w:val="0"/>
                  </w:pPr>
                  <w:r>
                    <w:t>《地表水环境质量标准》</w:t>
                  </w:r>
                  <w:r>
                    <w:rPr>
                      <w:rFonts w:hint="eastAsia"/>
                    </w:rPr>
                    <w:t>（</w:t>
                  </w:r>
                  <w:r>
                    <w:t>GB3838-2002</w:t>
                  </w:r>
                  <w:r>
                    <w:rPr>
                      <w:rFonts w:hint="eastAsia"/>
                    </w:rPr>
                    <w:t>）</w:t>
                  </w:r>
                  <w:r>
                    <w:t>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pct"/>
                  <w:vAlign w:val="center"/>
                </w:tcPr>
                <w:p>
                  <w:pPr>
                    <w:pStyle w:val="53"/>
                    <w:bidi w:val="0"/>
                  </w:pPr>
                  <w:r>
                    <w:t>声环境</w:t>
                  </w:r>
                </w:p>
              </w:tc>
              <w:tc>
                <w:tcPr>
                  <w:tcW w:w="744" w:type="pct"/>
                  <w:vAlign w:val="center"/>
                </w:tcPr>
                <w:p>
                  <w:pPr>
                    <w:pStyle w:val="53"/>
                    <w:bidi w:val="0"/>
                  </w:pPr>
                  <w:r>
                    <w:rPr>
                      <w:rFonts w:hint="eastAsia"/>
                      <w:lang w:val="en-US" w:eastAsia="zh-CN"/>
                    </w:rPr>
                    <w:t>行政村</w:t>
                  </w:r>
                  <w:r>
                    <w:rPr>
                      <w:rFonts w:hint="eastAsia"/>
                      <w:lang w:eastAsia="zh-CN"/>
                    </w:rPr>
                    <w:t>洪塘</w:t>
                  </w:r>
                  <w:r>
                    <w:rPr>
                      <w:rFonts w:hint="eastAsia"/>
                    </w:rPr>
                    <w:t>村零散居民</w:t>
                  </w:r>
                </w:p>
              </w:tc>
              <w:tc>
                <w:tcPr>
                  <w:tcW w:w="421" w:type="pct"/>
                  <w:vAlign w:val="center"/>
                </w:tcPr>
                <w:p>
                  <w:pPr>
                    <w:pStyle w:val="53"/>
                    <w:bidi w:val="0"/>
                  </w:pPr>
                  <w:r>
                    <w:rPr>
                      <w:rFonts w:hint="eastAsia"/>
                    </w:rPr>
                    <w:t>西南侧</w:t>
                  </w:r>
                </w:p>
              </w:tc>
              <w:tc>
                <w:tcPr>
                  <w:tcW w:w="890" w:type="pct"/>
                  <w:vAlign w:val="center"/>
                </w:tcPr>
                <w:p>
                  <w:pPr>
                    <w:pStyle w:val="53"/>
                    <w:bidi w:val="0"/>
                  </w:pPr>
                  <w:r>
                    <w:rPr>
                      <w:rFonts w:hint="eastAsia"/>
                    </w:rPr>
                    <w:t>33</w:t>
                  </w:r>
                </w:p>
              </w:tc>
              <w:tc>
                <w:tcPr>
                  <w:tcW w:w="668" w:type="pct"/>
                  <w:vAlign w:val="center"/>
                </w:tcPr>
                <w:p>
                  <w:pPr>
                    <w:pStyle w:val="53"/>
                    <w:bidi w:val="0"/>
                  </w:pPr>
                  <w:r>
                    <w:rPr>
                      <w:rFonts w:hint="eastAsia"/>
                    </w:rPr>
                    <w:t>10</w:t>
                  </w:r>
                  <w:r>
                    <w:t>人</w:t>
                  </w:r>
                </w:p>
              </w:tc>
              <w:tc>
                <w:tcPr>
                  <w:tcW w:w="1859" w:type="pct"/>
                  <w:vAlign w:val="center"/>
                </w:tcPr>
                <w:p>
                  <w:pPr>
                    <w:pStyle w:val="53"/>
                    <w:bidi w:val="0"/>
                  </w:pPr>
                  <w:r>
                    <w:rPr>
                      <w:rFonts w:hint="eastAsia"/>
                    </w:rPr>
                    <w:t>《声环境质量标准》（GB3096－2008）2类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2" w:hRule="atLeast"/>
              </w:trPr>
              <w:tc>
                <w:tcPr>
                  <w:tcW w:w="416" w:type="pct"/>
                  <w:vMerge w:val="restart"/>
                  <w:vAlign w:val="center"/>
                </w:tcPr>
                <w:p>
                  <w:pPr>
                    <w:pStyle w:val="53"/>
                    <w:bidi w:val="0"/>
                  </w:pPr>
                  <w:r>
                    <w:t>环境空气</w:t>
                  </w:r>
                </w:p>
              </w:tc>
              <w:tc>
                <w:tcPr>
                  <w:tcW w:w="744" w:type="pct"/>
                  <w:vAlign w:val="center"/>
                </w:tcPr>
                <w:p>
                  <w:pPr>
                    <w:pStyle w:val="53"/>
                    <w:bidi w:val="0"/>
                  </w:pPr>
                  <w:r>
                    <w:rPr>
                      <w:rFonts w:hint="eastAsia"/>
                      <w:lang w:eastAsia="zh-CN"/>
                    </w:rPr>
                    <w:t>洪塘</w:t>
                  </w:r>
                  <w:r>
                    <w:rPr>
                      <w:rFonts w:hint="eastAsia"/>
                    </w:rPr>
                    <w:t>村</w:t>
                  </w:r>
                </w:p>
              </w:tc>
              <w:tc>
                <w:tcPr>
                  <w:tcW w:w="421" w:type="pct"/>
                  <w:vAlign w:val="center"/>
                </w:tcPr>
                <w:p>
                  <w:pPr>
                    <w:pStyle w:val="53"/>
                    <w:bidi w:val="0"/>
                  </w:pPr>
                  <w:r>
                    <w:rPr>
                      <w:rFonts w:hint="eastAsia"/>
                    </w:rPr>
                    <w:t>西南侧</w:t>
                  </w:r>
                </w:p>
              </w:tc>
              <w:tc>
                <w:tcPr>
                  <w:tcW w:w="890" w:type="pct"/>
                  <w:vAlign w:val="center"/>
                </w:tcPr>
                <w:p>
                  <w:pPr>
                    <w:pStyle w:val="53"/>
                    <w:bidi w:val="0"/>
                  </w:pPr>
                  <w:r>
                    <w:rPr>
                      <w:rFonts w:hint="eastAsia"/>
                    </w:rPr>
                    <w:t>58</w:t>
                  </w:r>
                </w:p>
              </w:tc>
              <w:tc>
                <w:tcPr>
                  <w:tcW w:w="668" w:type="pct"/>
                  <w:vAlign w:val="center"/>
                </w:tcPr>
                <w:p>
                  <w:pPr>
                    <w:pStyle w:val="53"/>
                    <w:bidi w:val="0"/>
                  </w:pPr>
                  <w:r>
                    <w:rPr>
                      <w:rFonts w:hint="eastAsia"/>
                    </w:rPr>
                    <w:t>1500</w:t>
                  </w:r>
                  <w:r>
                    <w:t>人</w:t>
                  </w:r>
                </w:p>
              </w:tc>
              <w:tc>
                <w:tcPr>
                  <w:tcW w:w="1859" w:type="pct"/>
                  <w:vMerge w:val="restart"/>
                  <w:vAlign w:val="center"/>
                </w:tcPr>
                <w:p>
                  <w:pPr>
                    <w:pStyle w:val="53"/>
                    <w:bidi w:val="0"/>
                  </w:pPr>
                  <w:r>
                    <w:t>《环境空气质量标准》</w:t>
                  </w:r>
                  <w:r>
                    <w:rPr>
                      <w:rFonts w:hint="eastAsia"/>
                    </w:rPr>
                    <w:t>（</w:t>
                  </w:r>
                  <w:r>
                    <w:t>GB3095-2012</w:t>
                  </w:r>
                  <w:r>
                    <w:rPr>
                      <w:rFonts w:hint="eastAsia"/>
                    </w:rPr>
                    <w:t>）</w:t>
                  </w:r>
                  <w:r>
                    <w:t>及其修改单中的二级标准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2" w:hRule="atLeast"/>
              </w:trPr>
              <w:tc>
                <w:tcPr>
                  <w:tcW w:w="416" w:type="pct"/>
                  <w:vMerge w:val="continue"/>
                  <w:vAlign w:val="center"/>
                </w:tcPr>
                <w:p>
                  <w:pPr>
                    <w:pStyle w:val="53"/>
                    <w:bidi w:val="0"/>
                  </w:pPr>
                </w:p>
              </w:tc>
              <w:tc>
                <w:tcPr>
                  <w:tcW w:w="744" w:type="pct"/>
                  <w:vAlign w:val="center"/>
                </w:tcPr>
                <w:p>
                  <w:pPr>
                    <w:pStyle w:val="53"/>
                    <w:bidi w:val="0"/>
                  </w:pPr>
                  <w:r>
                    <w:rPr>
                      <w:rFonts w:hint="eastAsia"/>
                    </w:rPr>
                    <w:t>西亭康城</w:t>
                  </w:r>
                </w:p>
              </w:tc>
              <w:tc>
                <w:tcPr>
                  <w:tcW w:w="421" w:type="pct"/>
                  <w:vAlign w:val="center"/>
                </w:tcPr>
                <w:p>
                  <w:pPr>
                    <w:pStyle w:val="53"/>
                    <w:bidi w:val="0"/>
                  </w:pPr>
                  <w:r>
                    <w:rPr>
                      <w:rFonts w:hint="eastAsia"/>
                    </w:rPr>
                    <w:t>东侧</w:t>
                  </w:r>
                </w:p>
              </w:tc>
              <w:tc>
                <w:tcPr>
                  <w:tcW w:w="890" w:type="pct"/>
                  <w:vAlign w:val="center"/>
                </w:tcPr>
                <w:p>
                  <w:pPr>
                    <w:pStyle w:val="53"/>
                    <w:bidi w:val="0"/>
                  </w:pPr>
                  <w:r>
                    <w:rPr>
                      <w:rFonts w:hint="eastAsia"/>
                    </w:rPr>
                    <w:t>311</w:t>
                  </w:r>
                </w:p>
              </w:tc>
              <w:tc>
                <w:tcPr>
                  <w:tcW w:w="668" w:type="pct"/>
                  <w:vAlign w:val="center"/>
                </w:tcPr>
                <w:p>
                  <w:pPr>
                    <w:pStyle w:val="53"/>
                    <w:bidi w:val="0"/>
                  </w:pPr>
                  <w:r>
                    <w:rPr>
                      <w:rFonts w:hint="eastAsia"/>
                    </w:rPr>
                    <w:t>4000户</w:t>
                  </w:r>
                </w:p>
              </w:tc>
              <w:tc>
                <w:tcPr>
                  <w:tcW w:w="1859" w:type="pct"/>
                  <w:vMerge w:val="continue"/>
                  <w:vAlign w:val="center"/>
                </w:tcPr>
                <w:p>
                  <w:pPr>
                    <w:pStyle w:val="53"/>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2" w:hRule="atLeast"/>
              </w:trPr>
              <w:tc>
                <w:tcPr>
                  <w:tcW w:w="416" w:type="pct"/>
                  <w:vMerge w:val="continue"/>
                  <w:vAlign w:val="center"/>
                </w:tcPr>
                <w:p>
                  <w:pPr>
                    <w:pStyle w:val="53"/>
                    <w:bidi w:val="0"/>
                  </w:pPr>
                </w:p>
              </w:tc>
              <w:tc>
                <w:tcPr>
                  <w:tcW w:w="744" w:type="pct"/>
                  <w:vAlign w:val="center"/>
                </w:tcPr>
                <w:p>
                  <w:pPr>
                    <w:pStyle w:val="53"/>
                    <w:bidi w:val="0"/>
                  </w:pPr>
                  <w:r>
                    <w:rPr>
                      <w:rFonts w:hint="eastAsia"/>
                    </w:rPr>
                    <w:t>福建商学院（马尾校区）</w:t>
                  </w:r>
                </w:p>
              </w:tc>
              <w:tc>
                <w:tcPr>
                  <w:tcW w:w="421" w:type="pct"/>
                  <w:vAlign w:val="center"/>
                </w:tcPr>
                <w:p>
                  <w:pPr>
                    <w:pStyle w:val="53"/>
                    <w:bidi w:val="0"/>
                  </w:pPr>
                  <w:r>
                    <w:rPr>
                      <w:rFonts w:hint="eastAsia"/>
                    </w:rPr>
                    <w:t>东北侧</w:t>
                  </w:r>
                </w:p>
              </w:tc>
              <w:tc>
                <w:tcPr>
                  <w:tcW w:w="890" w:type="pct"/>
                  <w:vAlign w:val="center"/>
                </w:tcPr>
                <w:p>
                  <w:pPr>
                    <w:pStyle w:val="53"/>
                    <w:bidi w:val="0"/>
                  </w:pPr>
                  <w:r>
                    <w:rPr>
                      <w:rFonts w:hint="eastAsia"/>
                    </w:rPr>
                    <w:t>467</w:t>
                  </w:r>
                </w:p>
              </w:tc>
              <w:tc>
                <w:tcPr>
                  <w:tcW w:w="668" w:type="pct"/>
                  <w:vAlign w:val="center"/>
                </w:tcPr>
                <w:p>
                  <w:pPr>
                    <w:pStyle w:val="53"/>
                    <w:bidi w:val="0"/>
                  </w:pPr>
                  <w:r>
                    <w:rPr>
                      <w:rFonts w:hint="eastAsia"/>
                    </w:rPr>
                    <w:t>9000人</w:t>
                  </w:r>
                </w:p>
              </w:tc>
              <w:tc>
                <w:tcPr>
                  <w:tcW w:w="1859" w:type="pct"/>
                  <w:vMerge w:val="continue"/>
                  <w:vAlign w:val="center"/>
                </w:tcPr>
                <w:p>
                  <w:pPr>
                    <w:pStyle w:val="53"/>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2" w:hRule="atLeast"/>
              </w:trPr>
              <w:tc>
                <w:tcPr>
                  <w:tcW w:w="416" w:type="pct"/>
                  <w:vAlign w:val="center"/>
                </w:tcPr>
                <w:p>
                  <w:pPr>
                    <w:pStyle w:val="53"/>
                    <w:bidi w:val="0"/>
                  </w:pPr>
                  <w:r>
                    <w:rPr>
                      <w:rFonts w:hint="eastAsia"/>
                    </w:rPr>
                    <w:t>地下水环境</w:t>
                  </w:r>
                </w:p>
              </w:tc>
              <w:tc>
                <w:tcPr>
                  <w:tcW w:w="4583" w:type="pct"/>
                  <w:gridSpan w:val="5"/>
                  <w:vAlign w:val="center"/>
                </w:tcPr>
                <w:p>
                  <w:pPr>
                    <w:pStyle w:val="53"/>
                    <w:bidi w:val="0"/>
                  </w:pPr>
                  <w:r>
                    <w:t>厂界外500米范围内的地下水集中式饮用水水源和热水、矿泉水、温泉等特殊地下水资源</w:t>
                  </w:r>
                </w:p>
              </w:tc>
            </w:tr>
          </w:tbl>
          <w:p>
            <w:pPr>
              <w:pStyle w:val="5"/>
              <w:spacing w:before="120"/>
            </w:pPr>
            <w:r>
              <w:t>生态环境保护目标</w:t>
            </w:r>
          </w:p>
          <w:p>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rPr>
                <w:rFonts w:hint="eastAsia" w:cs="宋体"/>
              </w:rPr>
              <w:t>“</w:t>
            </w:r>
            <w:r>
              <w:t>产业园区外建设项目新增用地的，应明确新增用地范围内生态环境保护目标</w:t>
            </w:r>
            <w:r>
              <w:rPr>
                <w:rFonts w:hint="eastAsia"/>
              </w:rPr>
              <w:t>”</w:t>
            </w:r>
            <w:r>
              <w:t>。本项目</w:t>
            </w:r>
            <w:r>
              <w:rPr>
                <w:rFonts w:hint="eastAsia"/>
              </w:rPr>
              <w:t>位于</w:t>
            </w:r>
            <w:r>
              <w:rPr>
                <w:rFonts w:hint="eastAsia"/>
                <w:lang w:eastAsia="zh-CN"/>
              </w:rPr>
              <w:t>福建省福州市马尾区亭江镇亭江路66号福州（马尾）万洋众创（三期）B22#楼1层02厂房</w:t>
            </w:r>
            <w:r>
              <w:t>，</w:t>
            </w:r>
            <w:r>
              <w:rPr>
                <w:rFonts w:hint="eastAsia"/>
              </w:rPr>
              <w:t>属于</w:t>
            </w:r>
            <w:r>
              <w:t>产业园区内，且无新增用地，因此无需进行生态环境保护目标调查。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5" w:type="dxa"/>
            <w:tcMar>
              <w:left w:w="28" w:type="dxa"/>
              <w:right w:w="28" w:type="dxa"/>
            </w:tcMar>
            <w:vAlign w:val="center"/>
          </w:tcPr>
          <w:p>
            <w:pPr>
              <w:pStyle w:val="53"/>
            </w:pPr>
            <w:r>
              <w:t>污染物排放控制标准</w:t>
            </w:r>
          </w:p>
          <w:p>
            <w:pPr>
              <w:pStyle w:val="53"/>
            </w:pPr>
          </w:p>
        </w:tc>
        <w:tc>
          <w:tcPr>
            <w:tcW w:w="8620" w:type="dxa"/>
            <w:vAlign w:val="center"/>
          </w:tcPr>
          <w:p>
            <w:pPr>
              <w:pStyle w:val="4"/>
            </w:pPr>
            <w:bookmarkStart w:id="46" w:name="_Toc6164"/>
            <w:bookmarkStart w:id="47" w:name="_Toc30540"/>
            <w:bookmarkStart w:id="48" w:name="_Toc9799"/>
            <w:r>
              <w:t>污染物排放标准</w:t>
            </w:r>
            <w:bookmarkEnd w:id="46"/>
            <w:bookmarkEnd w:id="47"/>
            <w:bookmarkEnd w:id="48"/>
          </w:p>
          <w:p>
            <w:pPr>
              <w:pStyle w:val="5"/>
              <w:spacing w:before="120"/>
            </w:pPr>
            <w:r>
              <w:t>水污染物排放标准</w:t>
            </w:r>
          </w:p>
          <w:p>
            <w:r>
              <w:t>项目冷却水循环使用，不外排。</w:t>
            </w:r>
            <w:r>
              <w:rPr>
                <w:rFonts w:hint="eastAsia"/>
                <w:color w:val="000000"/>
                <w:szCs w:val="22"/>
              </w:rPr>
              <w:t>项目无其他生产废水排放，只有少量的职工生活污水；根据现场勘查，项目所在地属于长安污水处理厂的服务范围，项目生活污水依托万洋众创城内化粪池处理达标后，经市政污水管网进入长安污水处理厂处理达标后排放。污水污染物排放执行《污水综合排放标准》（GB8978-1996）表4中三级排放标准（其中氨氮参照执行《污水排入城镇下水道水质标准》（GB/T 31962-2015）表1中B级标准）</w:t>
            </w:r>
            <w:r>
              <w:t>。排放标准详见表3.7-1。</w:t>
            </w:r>
          </w:p>
          <w:p>
            <w:pPr>
              <w:pStyle w:val="96"/>
            </w:pPr>
            <w:r>
              <w:t>表3.7-1 项目水污染物排放标准</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975"/>
              <w:gridCol w:w="4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dxa"/>
                  <w:vAlign w:val="center"/>
                </w:tcPr>
                <w:p>
                  <w:pPr>
                    <w:pStyle w:val="53"/>
                  </w:pPr>
                  <w:r>
                    <w:t>污染物名称</w:t>
                  </w:r>
                </w:p>
              </w:tc>
              <w:tc>
                <w:tcPr>
                  <w:tcW w:w="1975" w:type="dxa"/>
                  <w:vAlign w:val="center"/>
                </w:tcPr>
                <w:p>
                  <w:pPr>
                    <w:pStyle w:val="53"/>
                  </w:pPr>
                  <w:r>
                    <w:t>标准值</w:t>
                  </w:r>
                </w:p>
              </w:tc>
              <w:tc>
                <w:tcPr>
                  <w:tcW w:w="4444" w:type="dxa"/>
                  <w:vAlign w:val="center"/>
                </w:tcPr>
                <w:p>
                  <w:pPr>
                    <w:pStyle w:val="53"/>
                  </w:pPr>
                  <w: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dxa"/>
                  <w:vAlign w:val="center"/>
                </w:tcPr>
                <w:p>
                  <w:pPr>
                    <w:pStyle w:val="53"/>
                  </w:pPr>
                  <w:r>
                    <w:t>pH</w:t>
                  </w:r>
                </w:p>
              </w:tc>
              <w:tc>
                <w:tcPr>
                  <w:tcW w:w="1975" w:type="dxa"/>
                  <w:vAlign w:val="center"/>
                </w:tcPr>
                <w:p>
                  <w:pPr>
                    <w:pStyle w:val="53"/>
                  </w:pPr>
                  <w:r>
                    <w:t>6～9</w:t>
                  </w:r>
                  <w:r>
                    <w:rPr>
                      <w:rFonts w:hint="eastAsia"/>
                    </w:rPr>
                    <w:t>（</w:t>
                  </w:r>
                  <w:r>
                    <w:t>无量纲</w:t>
                  </w:r>
                  <w:r>
                    <w:rPr>
                      <w:rFonts w:hint="eastAsia"/>
                    </w:rPr>
                    <w:t>）</w:t>
                  </w:r>
                  <w:r>
                    <w:t xml:space="preserve"> </w:t>
                  </w:r>
                </w:p>
              </w:tc>
              <w:tc>
                <w:tcPr>
                  <w:tcW w:w="4444" w:type="dxa"/>
                  <w:vMerge w:val="restart"/>
                  <w:vAlign w:val="center"/>
                </w:tcPr>
                <w:p>
                  <w:pPr>
                    <w:pStyle w:val="53"/>
                  </w:pPr>
                  <w:r>
                    <w:t>《污水综合排放标准》</w:t>
                  </w:r>
                  <w:r>
                    <w:rPr>
                      <w:rFonts w:hint="eastAsia"/>
                    </w:rPr>
                    <w:t>（</w:t>
                  </w:r>
                  <w:r>
                    <w:t>GB8978-1996</w:t>
                  </w:r>
                  <w:r>
                    <w:rPr>
                      <w:rFonts w:hint="eastAsia"/>
                    </w:rPr>
                    <w:t>）</w:t>
                  </w:r>
                </w:p>
                <w:p>
                  <w:pPr>
                    <w:pStyle w:val="53"/>
                  </w:pPr>
                  <w:r>
                    <w:t>中表4三级标准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44" w:type="dxa"/>
                  <w:vAlign w:val="center"/>
                </w:tcPr>
                <w:p>
                  <w:pPr>
                    <w:pStyle w:val="53"/>
                  </w:pPr>
                  <w:r>
                    <w:t>COD</w:t>
                  </w:r>
                </w:p>
              </w:tc>
              <w:tc>
                <w:tcPr>
                  <w:tcW w:w="1975" w:type="dxa"/>
                  <w:vAlign w:val="center"/>
                </w:tcPr>
                <w:p>
                  <w:pPr>
                    <w:pStyle w:val="53"/>
                  </w:pPr>
                  <w:r>
                    <w:t>500mg/L</w:t>
                  </w:r>
                </w:p>
              </w:tc>
              <w:tc>
                <w:tcPr>
                  <w:tcW w:w="4444" w:type="dxa"/>
                  <w:vMerge w:val="continue"/>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dxa"/>
                  <w:vAlign w:val="center"/>
                </w:tcPr>
                <w:p>
                  <w:pPr>
                    <w:pStyle w:val="53"/>
                  </w:pPr>
                  <w:r>
                    <w:t>BOD</w:t>
                  </w:r>
                  <w:r>
                    <w:rPr>
                      <w:vertAlign w:val="subscript"/>
                    </w:rPr>
                    <w:t>5</w:t>
                  </w:r>
                </w:p>
              </w:tc>
              <w:tc>
                <w:tcPr>
                  <w:tcW w:w="1975" w:type="dxa"/>
                  <w:vAlign w:val="center"/>
                </w:tcPr>
                <w:p>
                  <w:pPr>
                    <w:pStyle w:val="53"/>
                  </w:pPr>
                  <w:r>
                    <w:t>300mg/L</w:t>
                  </w:r>
                </w:p>
              </w:tc>
              <w:tc>
                <w:tcPr>
                  <w:tcW w:w="4444" w:type="dxa"/>
                  <w:vMerge w:val="continue"/>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44" w:type="dxa"/>
                  <w:vAlign w:val="center"/>
                </w:tcPr>
                <w:p>
                  <w:pPr>
                    <w:pStyle w:val="53"/>
                  </w:pPr>
                  <w:r>
                    <w:t>SS</w:t>
                  </w:r>
                </w:p>
              </w:tc>
              <w:tc>
                <w:tcPr>
                  <w:tcW w:w="1975" w:type="dxa"/>
                  <w:vAlign w:val="center"/>
                </w:tcPr>
                <w:p>
                  <w:pPr>
                    <w:pStyle w:val="53"/>
                  </w:pPr>
                  <w:r>
                    <w:t>40</w:t>
                  </w:r>
                  <w:r>
                    <w:cr/>
                  </w:r>
                  <w:r>
                    <w:t>mg/L</w:t>
                  </w:r>
                </w:p>
              </w:tc>
              <w:tc>
                <w:tcPr>
                  <w:tcW w:w="4444" w:type="dxa"/>
                  <w:vMerge w:val="continue"/>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44" w:type="dxa"/>
                  <w:vAlign w:val="center"/>
                </w:tcPr>
                <w:p>
                  <w:pPr>
                    <w:pStyle w:val="53"/>
                  </w:pPr>
                  <w:r>
                    <w:t>NH</w:t>
                  </w:r>
                  <w:r>
                    <w:rPr>
                      <w:vertAlign w:val="subscript"/>
                    </w:rPr>
                    <w:t>3</w:t>
                  </w:r>
                  <w:r>
                    <w:t>-N</w:t>
                  </w:r>
                </w:p>
              </w:tc>
              <w:tc>
                <w:tcPr>
                  <w:tcW w:w="1975" w:type="dxa"/>
                  <w:vAlign w:val="center"/>
                </w:tcPr>
                <w:p>
                  <w:pPr>
                    <w:pStyle w:val="53"/>
                  </w:pPr>
                  <w:r>
                    <w:t>45mg/L</w:t>
                  </w:r>
                </w:p>
              </w:tc>
              <w:tc>
                <w:tcPr>
                  <w:tcW w:w="4444" w:type="dxa"/>
                  <w:vAlign w:val="center"/>
                </w:tcPr>
                <w:p>
                  <w:pPr>
                    <w:pStyle w:val="53"/>
                  </w:pPr>
                  <w:r>
                    <w:t>参照执行《污水排入城镇下水道水质标准》</w:t>
                  </w:r>
                  <w:r>
                    <w:rPr>
                      <w:rFonts w:hint="eastAsia"/>
                    </w:rPr>
                    <w:t>（</w:t>
                  </w:r>
                  <w:r>
                    <w:t>GB/T 31962-2015</w:t>
                  </w:r>
                  <w:r>
                    <w:rPr>
                      <w:rFonts w:hint="eastAsia"/>
                    </w:rPr>
                    <w:t>）</w:t>
                  </w:r>
                  <w:r>
                    <w:t>表1中B级标准</w:t>
                  </w:r>
                </w:p>
              </w:tc>
            </w:tr>
          </w:tbl>
          <w:p>
            <w:r>
              <w:t>根据调查，</w:t>
            </w:r>
            <w:r>
              <w:rPr>
                <w:rFonts w:hint="eastAsia"/>
              </w:rPr>
              <w:t>长安污水处理厂</w:t>
            </w:r>
            <w:r>
              <w:t>尾水排放执行《城镇污水处理厂污染物排放标准》</w:t>
            </w:r>
            <w:r>
              <w:rPr>
                <w:rFonts w:hint="eastAsia"/>
              </w:rPr>
              <w:t>（</w:t>
            </w:r>
            <w:r>
              <w:t>GB18918-2002</w:t>
            </w:r>
            <w:r>
              <w:rPr>
                <w:rFonts w:hint="eastAsia"/>
              </w:rPr>
              <w:t>）</w:t>
            </w:r>
            <w:r>
              <w:t>及其修改单表1的一级标准A标准，具体详见表3.7-</w:t>
            </w:r>
            <w:r>
              <w:rPr>
                <w:rFonts w:hint="eastAsia"/>
              </w:rPr>
              <w:t>2</w:t>
            </w:r>
            <w:r>
              <w:t>。</w:t>
            </w:r>
          </w:p>
          <w:p>
            <w:pPr>
              <w:pStyle w:val="96"/>
            </w:pPr>
            <w:r>
              <w:t>表3.7-</w:t>
            </w:r>
            <w:r>
              <w:rPr>
                <w:rFonts w:hint="eastAsia"/>
              </w:rPr>
              <w:t>2</w:t>
            </w:r>
            <w:r>
              <w:t xml:space="preserve">  污水处理厂污水排放标准</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9"/>
              <w:gridCol w:w="2596"/>
              <w:gridCol w:w="3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pPr>
                    <w:pStyle w:val="53"/>
                  </w:pPr>
                  <w:r>
                    <w:t>污染物名称</w:t>
                  </w:r>
                </w:p>
              </w:tc>
              <w:tc>
                <w:tcPr>
                  <w:tcW w:w="2596" w:type="dxa"/>
                  <w:vAlign w:val="center"/>
                </w:tcPr>
                <w:p>
                  <w:pPr>
                    <w:pStyle w:val="53"/>
                  </w:pPr>
                  <w:r>
                    <w:t>一级标准A标准限值</w:t>
                  </w:r>
                </w:p>
              </w:tc>
              <w:tc>
                <w:tcPr>
                  <w:tcW w:w="3816" w:type="dxa"/>
                  <w:vAlign w:val="center"/>
                </w:tcPr>
                <w:p>
                  <w:pPr>
                    <w:pStyle w:val="53"/>
                  </w:pPr>
                  <w: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pPr>
                    <w:pStyle w:val="53"/>
                  </w:pPr>
                  <w:r>
                    <w:t>pH</w:t>
                  </w:r>
                </w:p>
              </w:tc>
              <w:tc>
                <w:tcPr>
                  <w:tcW w:w="2596" w:type="dxa"/>
                  <w:vAlign w:val="center"/>
                </w:tcPr>
                <w:p>
                  <w:pPr>
                    <w:pStyle w:val="53"/>
                  </w:pPr>
                  <w:r>
                    <w:t xml:space="preserve">6～9 </w:t>
                  </w:r>
                  <w:r>
                    <w:rPr>
                      <w:rFonts w:hint="eastAsia"/>
                    </w:rPr>
                    <w:t>（</w:t>
                  </w:r>
                  <w:r>
                    <w:t>无量纲</w:t>
                  </w:r>
                  <w:r>
                    <w:rPr>
                      <w:rFonts w:hint="eastAsia"/>
                    </w:rPr>
                    <w:t>）</w:t>
                  </w:r>
                </w:p>
              </w:tc>
              <w:tc>
                <w:tcPr>
                  <w:tcW w:w="3816" w:type="dxa"/>
                  <w:vMerge w:val="restart"/>
                  <w:vAlign w:val="center"/>
                </w:tcPr>
                <w:p>
                  <w:pPr>
                    <w:pStyle w:val="53"/>
                  </w:pPr>
                  <w:r>
                    <w:t>《城镇污水处理厂污染物排放标准》</w:t>
                  </w:r>
                  <w:r>
                    <w:rPr>
                      <w:rFonts w:hint="eastAsia"/>
                    </w:rPr>
                    <w:t>（</w:t>
                  </w:r>
                  <w:r>
                    <w:t>GB18918-2002</w:t>
                  </w:r>
                  <w:r>
                    <w:rPr>
                      <w:rFonts w:hint="eastAsia"/>
                    </w:rPr>
                    <w:t>）</w:t>
                  </w:r>
                  <w:r>
                    <w:t>及其修改单表1的一级标准A标准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pPr>
                    <w:pStyle w:val="53"/>
                  </w:pPr>
                  <w:r>
                    <w:t>COD</w:t>
                  </w:r>
                </w:p>
              </w:tc>
              <w:tc>
                <w:tcPr>
                  <w:tcW w:w="2596" w:type="dxa"/>
                  <w:vAlign w:val="center"/>
                </w:tcPr>
                <w:p>
                  <w:pPr>
                    <w:pStyle w:val="53"/>
                  </w:pPr>
                  <w:r>
                    <w:t>50mg/L</w:t>
                  </w:r>
                </w:p>
              </w:tc>
              <w:tc>
                <w:tcPr>
                  <w:tcW w:w="3816" w:type="dxa"/>
                  <w:vMerge w:val="continue"/>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pPr>
                    <w:pStyle w:val="53"/>
                  </w:pPr>
                  <w:r>
                    <w:t>BOD</w:t>
                  </w:r>
                  <w:r>
                    <w:rPr>
                      <w:vertAlign w:val="subscript"/>
                    </w:rPr>
                    <w:t>5</w:t>
                  </w:r>
                </w:p>
              </w:tc>
              <w:tc>
                <w:tcPr>
                  <w:tcW w:w="2596" w:type="dxa"/>
                  <w:vAlign w:val="center"/>
                </w:tcPr>
                <w:p>
                  <w:pPr>
                    <w:pStyle w:val="53"/>
                  </w:pPr>
                  <w:r>
                    <w:t>10mg/L</w:t>
                  </w:r>
                </w:p>
              </w:tc>
              <w:tc>
                <w:tcPr>
                  <w:tcW w:w="3816" w:type="dxa"/>
                  <w:vMerge w:val="continue"/>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pPr>
                    <w:pStyle w:val="53"/>
                  </w:pPr>
                  <w:r>
                    <w:t>SS</w:t>
                  </w:r>
                </w:p>
              </w:tc>
              <w:tc>
                <w:tcPr>
                  <w:tcW w:w="2596" w:type="dxa"/>
                  <w:vAlign w:val="center"/>
                </w:tcPr>
                <w:p>
                  <w:pPr>
                    <w:pStyle w:val="53"/>
                  </w:pPr>
                  <w:r>
                    <w:t>10mg/L</w:t>
                  </w:r>
                </w:p>
              </w:tc>
              <w:tc>
                <w:tcPr>
                  <w:tcW w:w="3816" w:type="dxa"/>
                  <w:vMerge w:val="continue"/>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pPr>
                    <w:pStyle w:val="53"/>
                  </w:pPr>
                  <w:r>
                    <w:t>NH</w:t>
                  </w:r>
                  <w:r>
                    <w:rPr>
                      <w:vertAlign w:val="subscript"/>
                    </w:rPr>
                    <w:t>3</w:t>
                  </w:r>
                  <w:r>
                    <w:t>-N</w:t>
                  </w:r>
                </w:p>
              </w:tc>
              <w:tc>
                <w:tcPr>
                  <w:tcW w:w="2596" w:type="dxa"/>
                  <w:vAlign w:val="center"/>
                </w:tcPr>
                <w:p>
                  <w:pPr>
                    <w:pStyle w:val="53"/>
                  </w:pPr>
                  <w:r>
                    <w:t>5mg/L</w:t>
                  </w:r>
                </w:p>
              </w:tc>
              <w:tc>
                <w:tcPr>
                  <w:tcW w:w="3816" w:type="dxa"/>
                  <w:vMerge w:val="continue"/>
                  <w:vAlign w:val="center"/>
                </w:tcPr>
                <w:p>
                  <w:pPr>
                    <w:pStyle w:val="53"/>
                  </w:pPr>
                </w:p>
              </w:tc>
            </w:tr>
          </w:tbl>
          <w:p>
            <w:pPr>
              <w:pStyle w:val="5"/>
              <w:spacing w:before="120"/>
            </w:pPr>
            <w:r>
              <w:t>大气污染物排放标准</w:t>
            </w:r>
          </w:p>
          <w:p>
            <w:pPr>
              <w:snapToGrid w:val="0"/>
              <w:rPr>
                <w:shd w:val="clear" w:color="auto" w:fill="FFFFFF"/>
              </w:rPr>
            </w:pPr>
            <w:r>
              <w:rPr>
                <w:rFonts w:hint="eastAsia"/>
                <w:shd w:val="clear" w:color="auto" w:fill="FFFFFF"/>
              </w:rPr>
              <w:t>项目废气主要来自于注塑工序产生的非甲烷总烃、颗粒物。</w:t>
            </w:r>
          </w:p>
          <w:p>
            <w:pPr>
              <w:rPr>
                <w:shd w:val="clear" w:color="auto" w:fill="FFFFFF"/>
              </w:rPr>
            </w:pPr>
            <w:r>
              <w:rPr>
                <w:shd w:val="clear" w:color="auto" w:fill="FFFFFF"/>
              </w:rPr>
              <w:t>项目</w:t>
            </w:r>
            <w:r>
              <w:rPr>
                <w:rFonts w:hint="eastAsia"/>
                <w:shd w:val="clear" w:color="auto" w:fill="FFFFFF"/>
              </w:rPr>
              <w:t>注塑成型</w:t>
            </w:r>
            <w:r>
              <w:rPr>
                <w:shd w:val="clear" w:color="auto" w:fill="FFFFFF"/>
              </w:rPr>
              <w:t>工序产生的非甲烷总烃</w:t>
            </w:r>
            <w:r>
              <w:rPr>
                <w:rFonts w:hint="eastAsia"/>
                <w:shd w:val="clear" w:color="auto" w:fill="FFFFFF"/>
              </w:rPr>
              <w:t>和颗粒物</w:t>
            </w:r>
            <w:r>
              <w:rPr>
                <w:shd w:val="clear" w:color="auto" w:fill="FFFFFF"/>
              </w:rPr>
              <w:t>有组织排放执行</w:t>
            </w:r>
            <w:r>
              <w:t>《合成树脂工业污染物排放标准》</w:t>
            </w:r>
            <w:r>
              <w:rPr>
                <w:rFonts w:hint="eastAsia"/>
              </w:rPr>
              <w:t>（</w:t>
            </w:r>
            <w:r>
              <w:t>GB31572-2015</w:t>
            </w:r>
            <w:r>
              <w:rPr>
                <w:rFonts w:hint="eastAsia"/>
              </w:rPr>
              <w:t>）（含 2024 年修改单，生态环境部公告 2024年第11号）</w:t>
            </w:r>
            <w:r>
              <w:rPr>
                <w:shd w:val="clear" w:color="auto" w:fill="FFFFFF"/>
              </w:rPr>
              <w:t>表</w:t>
            </w:r>
            <w:r>
              <w:rPr>
                <w:rFonts w:hint="eastAsia"/>
                <w:shd w:val="clear" w:color="auto" w:fill="FFFFFF"/>
              </w:rPr>
              <w:t>4</w:t>
            </w:r>
            <w:r>
              <w:rPr>
                <w:shd w:val="clear" w:color="auto" w:fill="FFFFFF"/>
              </w:rPr>
              <w:t>的大气污染物</w:t>
            </w:r>
            <w:r>
              <w:rPr>
                <w:rFonts w:hint="eastAsia"/>
                <w:shd w:val="clear" w:color="auto" w:fill="FFFFFF"/>
                <w:lang w:val="en-US" w:eastAsia="zh-CN"/>
              </w:rPr>
              <w:t>排</w:t>
            </w:r>
            <w:r>
              <w:rPr>
                <w:shd w:val="clear" w:color="auto" w:fill="FFFFFF"/>
              </w:rPr>
              <w:t>放限值</w:t>
            </w:r>
            <w:r>
              <w:rPr>
                <w:rFonts w:hint="eastAsia"/>
                <w:shd w:val="clear" w:color="auto" w:fill="FFFFFF"/>
              </w:rPr>
              <w:t>，无组织的非甲烷总烃和颗粒物（拌料和下料工序产生的）排放执行</w:t>
            </w:r>
            <w:r>
              <w:t>《合成树脂工业污染物排放标准》</w:t>
            </w:r>
            <w:r>
              <w:rPr>
                <w:rFonts w:hint="eastAsia"/>
              </w:rPr>
              <w:t>（</w:t>
            </w:r>
            <w:r>
              <w:t>GB31572-2015</w:t>
            </w:r>
            <w:r>
              <w:rPr>
                <w:rFonts w:hint="eastAsia"/>
              </w:rPr>
              <w:t>）（含 2024 年修改单，生态环境部公告 2024年第11号）</w:t>
            </w:r>
            <w:r>
              <w:rPr>
                <w:rFonts w:hint="eastAsia"/>
                <w:shd w:val="clear" w:color="auto" w:fill="FFFFFF"/>
              </w:rPr>
              <w:t>表9中“企业边界大气污染物浓度限值”。</w:t>
            </w:r>
          </w:p>
          <w:p>
            <w:r>
              <w:t>同时，根据《福建省生态环境厅关于国家和地方相关大气污染物排放标准执行有关事项的通知》</w:t>
            </w:r>
            <w:r>
              <w:rPr>
                <w:rFonts w:hint="eastAsia"/>
              </w:rPr>
              <w:t>（</w:t>
            </w:r>
            <w:r>
              <w:t>闽环保大气〔2019〕6号</w:t>
            </w:r>
            <w:r>
              <w:rPr>
                <w:rFonts w:hint="eastAsia"/>
              </w:rPr>
              <w:t>）</w:t>
            </w:r>
            <w:r>
              <w:t>文中要求，在非甲烷总烃无组织排放控制上，增加</w:t>
            </w:r>
            <w:r>
              <w:rPr>
                <w:rFonts w:hint="eastAsia"/>
              </w:rPr>
              <w:t>“</w:t>
            </w:r>
            <w:r>
              <w:t>厂区内监控点处任意一次NMHC浓度值</w:t>
            </w:r>
            <w:r>
              <w:rPr>
                <w:rFonts w:hint="eastAsia"/>
              </w:rPr>
              <w:t>”</w:t>
            </w:r>
            <w:r>
              <w:t>的控制要求，排放浓度应符合《挥发性有机物无组织排放控制标准》</w:t>
            </w:r>
            <w:r>
              <w:rPr>
                <w:rFonts w:hint="eastAsia"/>
              </w:rPr>
              <w:t>（</w:t>
            </w:r>
            <w:r>
              <w:t>GB37822-2019</w:t>
            </w:r>
            <w:r>
              <w:rPr>
                <w:rFonts w:hint="eastAsia"/>
              </w:rPr>
              <w:t>）</w:t>
            </w:r>
            <w:r>
              <w:t>中表A.1排放限值要求。</w:t>
            </w:r>
          </w:p>
          <w:p>
            <w:pPr>
              <w:pStyle w:val="96"/>
            </w:pPr>
            <w:r>
              <w:t>表3.7-2 项目废气污染物排放标准</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256"/>
              <w:gridCol w:w="928"/>
              <w:gridCol w:w="1862"/>
              <w:gridCol w:w="687"/>
              <w:gridCol w:w="30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pct"/>
                  <w:gridSpan w:val="2"/>
                  <w:tcBorders>
                    <w:tl2br w:val="nil"/>
                    <w:tr2bl w:val="nil"/>
                  </w:tcBorders>
                  <w:vAlign w:val="center"/>
                </w:tcPr>
                <w:p>
                  <w:pPr>
                    <w:pStyle w:val="53"/>
                  </w:pPr>
                  <w:r>
                    <w:t>污染源</w:t>
                  </w:r>
                </w:p>
              </w:tc>
              <w:tc>
                <w:tcPr>
                  <w:tcW w:w="551" w:type="pct"/>
                  <w:tcBorders>
                    <w:tl2br w:val="nil"/>
                    <w:tr2bl w:val="nil"/>
                  </w:tcBorders>
                  <w:vAlign w:val="center"/>
                </w:tcPr>
                <w:p>
                  <w:pPr>
                    <w:pStyle w:val="53"/>
                  </w:pPr>
                  <w:r>
                    <w:t>污染物</w:t>
                  </w:r>
                </w:p>
              </w:tc>
              <w:tc>
                <w:tcPr>
                  <w:tcW w:w="1514" w:type="pct"/>
                  <w:gridSpan w:val="2"/>
                  <w:tcBorders>
                    <w:tl2br w:val="nil"/>
                    <w:tr2bl w:val="nil"/>
                  </w:tcBorders>
                  <w:vAlign w:val="center"/>
                </w:tcPr>
                <w:p>
                  <w:pPr>
                    <w:pStyle w:val="53"/>
                  </w:pPr>
                  <w:r>
                    <w:t>排放限值</w:t>
                  </w:r>
                  <w:r>
                    <w:rPr>
                      <w:rFonts w:hint="eastAsia"/>
                    </w:rPr>
                    <w:t>（</w:t>
                  </w:r>
                  <w:r>
                    <w:t>mg/m</w:t>
                  </w:r>
                  <w:r>
                    <w:rPr>
                      <w:vertAlign w:val="superscript"/>
                    </w:rPr>
                    <w:t>3</w:t>
                  </w:r>
                  <w:r>
                    <w:rPr>
                      <w:rFonts w:hint="eastAsia"/>
                    </w:rPr>
                    <w:t>）</w:t>
                  </w:r>
                </w:p>
              </w:tc>
              <w:tc>
                <w:tcPr>
                  <w:tcW w:w="1820" w:type="pct"/>
                  <w:tcBorders>
                    <w:tl2br w:val="nil"/>
                    <w:tr2bl w:val="nil"/>
                  </w:tcBorders>
                  <w:vAlign w:val="center"/>
                </w:tcPr>
                <w:p>
                  <w:pPr>
                    <w:pStyle w:val="53"/>
                  </w:pPr>
                  <w: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67" w:type="pct"/>
                  <w:vMerge w:val="restart"/>
                  <w:tcBorders>
                    <w:tl2br w:val="nil"/>
                    <w:tr2bl w:val="nil"/>
                  </w:tcBorders>
                  <w:vAlign w:val="center"/>
                </w:tcPr>
                <w:p>
                  <w:pPr>
                    <w:pStyle w:val="53"/>
                  </w:pPr>
                  <w:r>
                    <w:rPr>
                      <w:rFonts w:hint="eastAsia"/>
                    </w:rPr>
                    <w:t>有组织排放</w:t>
                  </w:r>
                </w:p>
              </w:tc>
              <w:tc>
                <w:tcPr>
                  <w:tcW w:w="746" w:type="pct"/>
                  <w:vMerge w:val="restart"/>
                  <w:tcBorders>
                    <w:tl2br w:val="nil"/>
                    <w:tr2bl w:val="nil"/>
                  </w:tcBorders>
                  <w:vAlign w:val="center"/>
                </w:tcPr>
                <w:p>
                  <w:pPr>
                    <w:pStyle w:val="53"/>
                    <w:rPr>
                      <w:color w:val="000000" w:themeColor="text1"/>
                      <w14:textFill>
                        <w14:solidFill>
                          <w14:schemeClr w14:val="tx1"/>
                        </w14:solidFill>
                      </w14:textFill>
                    </w:rPr>
                  </w:pPr>
                  <w:r>
                    <w:rPr>
                      <w:rFonts w:hint="eastAsia"/>
                      <w:color w:val="000000" w:themeColor="text1"/>
                      <w14:textFill>
                        <w14:solidFill>
                          <w14:schemeClr w14:val="tx1"/>
                        </w14:solidFill>
                      </w14:textFill>
                    </w:rPr>
                    <w:t>注塑工序（DA001）</w:t>
                  </w:r>
                </w:p>
              </w:tc>
              <w:tc>
                <w:tcPr>
                  <w:tcW w:w="551" w:type="pct"/>
                  <w:tcBorders>
                    <w:tl2br w:val="nil"/>
                    <w:tr2bl w:val="nil"/>
                  </w:tcBorders>
                  <w:vAlign w:val="center"/>
                </w:tcPr>
                <w:p>
                  <w:pPr>
                    <w:pStyle w:val="53"/>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514" w:type="pct"/>
                  <w:gridSpan w:val="2"/>
                  <w:tcBorders>
                    <w:tl2br w:val="nil"/>
                    <w:tr2bl w:val="nil"/>
                  </w:tcBorders>
                  <w:vAlign w:val="center"/>
                </w:tcPr>
                <w:p>
                  <w:pPr>
                    <w:pStyle w:val="53"/>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820" w:type="pct"/>
                  <w:vMerge w:val="restart"/>
                  <w:tcBorders>
                    <w:tl2br w:val="nil"/>
                    <w:tr2bl w:val="nil"/>
                  </w:tcBorders>
                  <w:vAlign w:val="center"/>
                </w:tcPr>
                <w:p>
                  <w:pPr>
                    <w:pStyle w:val="53"/>
                  </w:pPr>
                  <w:r>
                    <w:t>《合成树脂工业污染物排放标准》</w:t>
                  </w:r>
                  <w:r>
                    <w:rPr>
                      <w:rFonts w:hint="eastAsia"/>
                    </w:rPr>
                    <w:t>（</w:t>
                  </w:r>
                  <w:r>
                    <w:t>GB31572-2015</w:t>
                  </w:r>
                  <w:r>
                    <w:rPr>
                      <w:rFonts w:hint="eastAsia"/>
                    </w:rPr>
                    <w:t>）（含 2024 年修改单，生态环境部公告 2024年第11号）</w:t>
                  </w:r>
                  <w:r>
                    <w:t>表</w:t>
                  </w:r>
                  <w:r>
                    <w:rPr>
                      <w:rFonts w:hint="eastAsia"/>
                    </w:rPr>
                    <w:t>4排放</w:t>
                  </w:r>
                  <w: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67" w:type="pct"/>
                  <w:vMerge w:val="continue"/>
                  <w:tcBorders>
                    <w:tl2br w:val="nil"/>
                    <w:tr2bl w:val="nil"/>
                  </w:tcBorders>
                  <w:vAlign w:val="center"/>
                </w:tcPr>
                <w:p>
                  <w:pPr>
                    <w:pStyle w:val="53"/>
                  </w:pPr>
                </w:p>
              </w:tc>
              <w:tc>
                <w:tcPr>
                  <w:tcW w:w="746" w:type="pct"/>
                  <w:vMerge w:val="continue"/>
                  <w:tcBorders>
                    <w:tl2br w:val="nil"/>
                    <w:tr2bl w:val="nil"/>
                  </w:tcBorders>
                  <w:vAlign w:val="center"/>
                </w:tcPr>
                <w:p>
                  <w:pPr>
                    <w:pStyle w:val="53"/>
                    <w:rPr>
                      <w:color w:val="000000" w:themeColor="text1"/>
                      <w14:textFill>
                        <w14:solidFill>
                          <w14:schemeClr w14:val="tx1"/>
                        </w14:solidFill>
                      </w14:textFill>
                    </w:rPr>
                  </w:pPr>
                </w:p>
              </w:tc>
              <w:tc>
                <w:tcPr>
                  <w:tcW w:w="551" w:type="pct"/>
                  <w:tcBorders>
                    <w:tl2br w:val="nil"/>
                    <w:tr2bl w:val="nil"/>
                  </w:tcBorders>
                  <w:vAlign w:val="center"/>
                </w:tcPr>
                <w:p>
                  <w:pPr>
                    <w:pStyle w:val="53"/>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514" w:type="pct"/>
                  <w:gridSpan w:val="2"/>
                  <w:tcBorders>
                    <w:tl2br w:val="nil"/>
                    <w:tr2bl w:val="nil"/>
                  </w:tcBorders>
                  <w:vAlign w:val="center"/>
                </w:tcPr>
                <w:p>
                  <w:pPr>
                    <w:pStyle w:val="53"/>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820" w:type="pct"/>
                  <w:vMerge w:val="continue"/>
                  <w:tcBorders>
                    <w:tl2br w:val="nil"/>
                    <w:tr2bl w:val="nil"/>
                  </w:tcBorders>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67" w:type="pct"/>
                  <w:vMerge w:val="continue"/>
                  <w:tcBorders>
                    <w:tl2br w:val="nil"/>
                    <w:tr2bl w:val="nil"/>
                  </w:tcBorders>
                  <w:vAlign w:val="center"/>
                </w:tcPr>
                <w:p>
                  <w:pPr>
                    <w:pStyle w:val="53"/>
                  </w:pPr>
                </w:p>
              </w:tc>
              <w:tc>
                <w:tcPr>
                  <w:tcW w:w="746" w:type="pct"/>
                  <w:vMerge w:val="continue"/>
                  <w:tcBorders>
                    <w:tl2br w:val="nil"/>
                    <w:tr2bl w:val="nil"/>
                  </w:tcBorders>
                  <w:vAlign w:val="center"/>
                </w:tcPr>
                <w:p>
                  <w:pPr>
                    <w:pStyle w:val="53"/>
                    <w:rPr>
                      <w:color w:val="000000" w:themeColor="text1"/>
                      <w14:textFill>
                        <w14:solidFill>
                          <w14:schemeClr w14:val="tx1"/>
                        </w14:solidFill>
                      </w14:textFill>
                    </w:rPr>
                  </w:pPr>
                </w:p>
              </w:tc>
              <w:tc>
                <w:tcPr>
                  <w:tcW w:w="551" w:type="pct"/>
                  <w:tcBorders>
                    <w:tl2br w:val="nil"/>
                    <w:tr2bl w:val="nil"/>
                  </w:tcBorders>
                  <w:vAlign w:val="center"/>
                </w:tcPr>
                <w:p>
                  <w:pPr>
                    <w:pStyle w:val="53"/>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苯乙烯</w:t>
                  </w:r>
                </w:p>
              </w:tc>
              <w:tc>
                <w:tcPr>
                  <w:tcW w:w="1514" w:type="pct"/>
                  <w:gridSpan w:val="2"/>
                  <w:tcBorders>
                    <w:tl2br w:val="nil"/>
                    <w:tr2bl w:val="nil"/>
                  </w:tcBorders>
                  <w:vAlign w:val="center"/>
                </w:tcPr>
                <w:p>
                  <w:pPr>
                    <w:pStyle w:val="53"/>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1820" w:type="pct"/>
                  <w:vMerge w:val="continue"/>
                  <w:tcBorders>
                    <w:tl2br w:val="nil"/>
                    <w:tr2bl w:val="nil"/>
                  </w:tcBorders>
                  <w:vAlign w:val="center"/>
                </w:tcPr>
                <w:p>
                  <w:pPr>
                    <w:pStyle w:val="53"/>
                    <w:rPr>
                      <w:rFonts w:hint="eastAsia"/>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pct"/>
                  <w:gridSpan w:val="2"/>
                  <w:vMerge w:val="restart"/>
                  <w:tcBorders>
                    <w:tl2br w:val="nil"/>
                    <w:tr2bl w:val="nil"/>
                  </w:tcBorders>
                  <w:vAlign w:val="center"/>
                </w:tcPr>
                <w:p>
                  <w:pPr>
                    <w:pStyle w:val="53"/>
                  </w:pPr>
                  <w:r>
                    <w:rPr>
                      <w:rFonts w:hint="eastAsia"/>
                    </w:rPr>
                    <w:t>无组织排放</w:t>
                  </w:r>
                </w:p>
              </w:tc>
              <w:tc>
                <w:tcPr>
                  <w:tcW w:w="551" w:type="pct"/>
                  <w:vMerge w:val="restart"/>
                  <w:tcBorders>
                    <w:tl2br w:val="nil"/>
                    <w:tr2bl w:val="nil"/>
                  </w:tcBorders>
                  <w:vAlign w:val="center"/>
                </w:tcPr>
                <w:p>
                  <w:pPr>
                    <w:pStyle w:val="53"/>
                  </w:pPr>
                  <w:r>
                    <w:rPr>
                      <w:rFonts w:hint="eastAsia"/>
                    </w:rPr>
                    <w:t>非甲烷总烃</w:t>
                  </w:r>
                </w:p>
              </w:tc>
              <w:tc>
                <w:tcPr>
                  <w:tcW w:w="1106" w:type="pct"/>
                  <w:tcBorders>
                    <w:tl2br w:val="nil"/>
                    <w:tr2bl w:val="nil"/>
                  </w:tcBorders>
                  <w:vAlign w:val="center"/>
                </w:tcPr>
                <w:p>
                  <w:pPr>
                    <w:pStyle w:val="53"/>
                  </w:pPr>
                  <w:r>
                    <w:t>厂区内1h监控点浓度限值</w:t>
                  </w:r>
                </w:p>
              </w:tc>
              <w:tc>
                <w:tcPr>
                  <w:tcW w:w="408" w:type="pct"/>
                  <w:tcBorders>
                    <w:tl2br w:val="nil"/>
                    <w:tr2bl w:val="nil"/>
                  </w:tcBorders>
                  <w:vAlign w:val="center"/>
                </w:tcPr>
                <w:p>
                  <w:pPr>
                    <w:pStyle w:val="53"/>
                  </w:pPr>
                  <w:r>
                    <w:rPr>
                      <w:rFonts w:hint="eastAsia"/>
                    </w:rPr>
                    <w:t>10</w:t>
                  </w:r>
                </w:p>
              </w:tc>
              <w:tc>
                <w:tcPr>
                  <w:tcW w:w="1820" w:type="pct"/>
                  <w:vMerge w:val="restart"/>
                  <w:tcBorders>
                    <w:tl2br w:val="nil"/>
                    <w:tr2bl w:val="nil"/>
                  </w:tcBorders>
                  <w:vAlign w:val="center"/>
                </w:tcPr>
                <w:p>
                  <w:pPr>
                    <w:pStyle w:val="53"/>
                  </w:pPr>
                  <w:r>
                    <w:t>《挥发性有机物无组织排放控制标准》</w:t>
                  </w:r>
                  <w:r>
                    <w:rPr>
                      <w:rFonts w:hint="eastAsia"/>
                    </w:rPr>
                    <w:t>（</w:t>
                  </w:r>
                  <w:r>
                    <w:t xml:space="preserve">GB </w:t>
                  </w:r>
                  <w:r>
                    <w:rPr>
                      <w:rFonts w:hint="eastAsia"/>
                    </w:rPr>
                    <w:t>3</w:t>
                  </w:r>
                  <w:r>
                    <w:cr/>
                  </w:r>
                  <w:r>
                    <w:t>7822-2019</w:t>
                  </w:r>
                  <w:r>
                    <w:rPr>
                      <w:rFonts w:hint="eastAsia"/>
                    </w:rPr>
                    <w:t>）</w:t>
                  </w:r>
                  <w:r>
                    <w:t>附录A表A.1</w:t>
                  </w:r>
                  <w:r>
                    <w:rPr>
                      <w:rFonts w:hint="eastAsia"/>
                    </w:rPr>
                    <w:t>排放</w:t>
                  </w:r>
                  <w: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pct"/>
                  <w:gridSpan w:val="2"/>
                  <w:vMerge w:val="continue"/>
                  <w:tcBorders>
                    <w:tl2br w:val="nil"/>
                    <w:tr2bl w:val="nil"/>
                  </w:tcBorders>
                  <w:vAlign w:val="center"/>
                </w:tcPr>
                <w:p>
                  <w:pPr>
                    <w:pStyle w:val="53"/>
                  </w:pPr>
                </w:p>
              </w:tc>
              <w:tc>
                <w:tcPr>
                  <w:tcW w:w="551" w:type="pct"/>
                  <w:vMerge w:val="continue"/>
                  <w:tcBorders>
                    <w:tl2br w:val="nil"/>
                    <w:tr2bl w:val="nil"/>
                  </w:tcBorders>
                  <w:vAlign w:val="center"/>
                </w:tcPr>
                <w:p>
                  <w:pPr>
                    <w:pStyle w:val="53"/>
                  </w:pPr>
                </w:p>
              </w:tc>
              <w:tc>
                <w:tcPr>
                  <w:tcW w:w="1106" w:type="pct"/>
                  <w:tcBorders>
                    <w:tl2br w:val="nil"/>
                    <w:tr2bl w:val="nil"/>
                  </w:tcBorders>
                  <w:vAlign w:val="center"/>
                </w:tcPr>
                <w:p>
                  <w:pPr>
                    <w:pStyle w:val="53"/>
                  </w:pPr>
                  <w:r>
                    <w:t>厂区内监控点处任意一次浓度值</w:t>
                  </w:r>
                </w:p>
              </w:tc>
              <w:tc>
                <w:tcPr>
                  <w:tcW w:w="408" w:type="pct"/>
                  <w:tcBorders>
                    <w:tl2br w:val="nil"/>
                    <w:tr2bl w:val="nil"/>
                  </w:tcBorders>
                  <w:vAlign w:val="center"/>
                </w:tcPr>
                <w:p>
                  <w:pPr>
                    <w:pStyle w:val="53"/>
                  </w:pPr>
                  <w:r>
                    <w:rPr>
                      <w:rFonts w:hint="eastAsia"/>
                    </w:rPr>
                    <w:t>30</w:t>
                  </w:r>
                </w:p>
              </w:tc>
              <w:tc>
                <w:tcPr>
                  <w:tcW w:w="1820" w:type="pct"/>
                  <w:vMerge w:val="continue"/>
                  <w:tcBorders>
                    <w:tl2br w:val="nil"/>
                    <w:tr2bl w:val="nil"/>
                  </w:tcBorders>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pct"/>
                  <w:gridSpan w:val="2"/>
                  <w:vMerge w:val="continue"/>
                  <w:tcBorders>
                    <w:tl2br w:val="nil"/>
                    <w:tr2bl w:val="nil"/>
                  </w:tcBorders>
                  <w:vAlign w:val="center"/>
                </w:tcPr>
                <w:p>
                  <w:pPr>
                    <w:pStyle w:val="53"/>
                  </w:pPr>
                </w:p>
              </w:tc>
              <w:tc>
                <w:tcPr>
                  <w:tcW w:w="551" w:type="pct"/>
                  <w:vMerge w:val="continue"/>
                  <w:tcBorders>
                    <w:tl2br w:val="nil"/>
                    <w:tr2bl w:val="nil"/>
                  </w:tcBorders>
                  <w:vAlign w:val="center"/>
                </w:tcPr>
                <w:p>
                  <w:pPr>
                    <w:pStyle w:val="53"/>
                  </w:pPr>
                </w:p>
              </w:tc>
              <w:tc>
                <w:tcPr>
                  <w:tcW w:w="1106" w:type="pct"/>
                  <w:tcBorders>
                    <w:tl2br w:val="nil"/>
                    <w:tr2bl w:val="nil"/>
                  </w:tcBorders>
                  <w:vAlign w:val="center"/>
                </w:tcPr>
                <w:p>
                  <w:pPr>
                    <w:pStyle w:val="53"/>
                  </w:pPr>
                  <w:r>
                    <w:rPr>
                      <w:rFonts w:hint="eastAsia"/>
                    </w:rPr>
                    <w:t>企业边界</w:t>
                  </w:r>
                </w:p>
              </w:tc>
              <w:tc>
                <w:tcPr>
                  <w:tcW w:w="408" w:type="pct"/>
                  <w:tcBorders>
                    <w:tl2br w:val="nil"/>
                    <w:tr2bl w:val="nil"/>
                  </w:tcBorders>
                  <w:vAlign w:val="center"/>
                </w:tcPr>
                <w:p>
                  <w:pPr>
                    <w:pStyle w:val="53"/>
                  </w:pPr>
                  <w:r>
                    <w:rPr>
                      <w:rFonts w:hint="eastAsia"/>
                    </w:rPr>
                    <w:t>4.0</w:t>
                  </w:r>
                </w:p>
              </w:tc>
              <w:tc>
                <w:tcPr>
                  <w:tcW w:w="1820" w:type="pct"/>
                  <w:vMerge w:val="restart"/>
                  <w:tcBorders>
                    <w:tl2br w:val="nil"/>
                    <w:tr2bl w:val="nil"/>
                  </w:tcBorders>
                  <w:vAlign w:val="center"/>
                </w:tcPr>
                <w:p>
                  <w:pPr>
                    <w:pStyle w:val="53"/>
                  </w:pPr>
                  <w:r>
                    <w:t>《合成树脂工业污染物排放标准》</w:t>
                  </w:r>
                  <w:r>
                    <w:rPr>
                      <w:rFonts w:hint="eastAsia"/>
                    </w:rPr>
                    <w:t>（</w:t>
                  </w:r>
                  <w:r>
                    <w:t>GB31572-2015</w:t>
                  </w:r>
                  <w:r>
                    <w:rPr>
                      <w:rFonts w:hint="eastAsia"/>
                    </w:rPr>
                    <w:t>）（含 2024 年修改单，生态环境部公告 2024年第11号）</w:t>
                  </w:r>
                  <w:r>
                    <w:rPr>
                      <w:rFonts w:hint="eastAsia"/>
                      <w:bCs/>
                      <w:kern w:val="0"/>
                    </w:rPr>
                    <w:t>表9企业边界大气污染物浓度限值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pct"/>
                  <w:gridSpan w:val="2"/>
                  <w:vMerge w:val="continue"/>
                  <w:tcBorders>
                    <w:tl2br w:val="nil"/>
                    <w:tr2bl w:val="nil"/>
                  </w:tcBorders>
                  <w:vAlign w:val="center"/>
                </w:tcPr>
                <w:p>
                  <w:pPr>
                    <w:pStyle w:val="53"/>
                  </w:pPr>
                </w:p>
              </w:tc>
              <w:tc>
                <w:tcPr>
                  <w:tcW w:w="551" w:type="pct"/>
                  <w:tcBorders>
                    <w:tl2br w:val="nil"/>
                    <w:tr2bl w:val="nil"/>
                  </w:tcBorders>
                  <w:vAlign w:val="center"/>
                </w:tcPr>
                <w:p>
                  <w:pPr>
                    <w:pStyle w:val="53"/>
                  </w:pPr>
                  <w:r>
                    <w:rPr>
                      <w:rFonts w:hint="eastAsia"/>
                    </w:rPr>
                    <w:t>颗粒物</w:t>
                  </w:r>
                </w:p>
              </w:tc>
              <w:tc>
                <w:tcPr>
                  <w:tcW w:w="1106" w:type="pct"/>
                  <w:tcBorders>
                    <w:tl2br w:val="nil"/>
                    <w:tr2bl w:val="nil"/>
                  </w:tcBorders>
                  <w:vAlign w:val="center"/>
                </w:tcPr>
                <w:p>
                  <w:pPr>
                    <w:pStyle w:val="53"/>
                  </w:pPr>
                  <w:r>
                    <w:rPr>
                      <w:rFonts w:hint="eastAsia"/>
                    </w:rPr>
                    <w:t>企业边界</w:t>
                  </w:r>
                </w:p>
              </w:tc>
              <w:tc>
                <w:tcPr>
                  <w:tcW w:w="408" w:type="pct"/>
                  <w:tcBorders>
                    <w:tl2br w:val="nil"/>
                    <w:tr2bl w:val="nil"/>
                  </w:tcBorders>
                  <w:vAlign w:val="center"/>
                </w:tcPr>
                <w:p>
                  <w:pPr>
                    <w:pStyle w:val="53"/>
                  </w:pPr>
                  <w:r>
                    <w:rPr>
                      <w:rFonts w:hint="eastAsia"/>
                    </w:rPr>
                    <w:t>1.0</w:t>
                  </w:r>
                </w:p>
              </w:tc>
              <w:tc>
                <w:tcPr>
                  <w:tcW w:w="1820" w:type="pct"/>
                  <w:vMerge w:val="continue"/>
                  <w:tcBorders>
                    <w:tl2br w:val="nil"/>
                    <w:tr2bl w:val="nil"/>
                  </w:tcBorders>
                  <w:vAlign w:val="center"/>
                </w:tcPr>
                <w:p>
                  <w:pPr>
                    <w:pStyle w:val="53"/>
                  </w:pPr>
                </w:p>
              </w:tc>
            </w:tr>
          </w:tbl>
          <w:p>
            <w:pPr>
              <w:pStyle w:val="5"/>
              <w:spacing w:before="120"/>
            </w:pPr>
            <w:r>
              <w:t>噪声排放标准</w:t>
            </w:r>
          </w:p>
          <w:p>
            <w:r>
              <w:t>项目运营期厂界噪声执行《工业企业厂界环境噪声排放标准》</w:t>
            </w:r>
            <w:r>
              <w:rPr>
                <w:rFonts w:hint="eastAsia"/>
              </w:rPr>
              <w:t>（</w:t>
            </w:r>
            <w:r>
              <w:t>GB12348-2008</w:t>
            </w:r>
            <w:r>
              <w:rPr>
                <w:rFonts w:hint="eastAsia"/>
              </w:rPr>
              <w:t>）</w:t>
            </w:r>
            <w:r>
              <w:t>中</w:t>
            </w:r>
            <w:r>
              <w:rPr>
                <w:rFonts w:hint="eastAsia"/>
              </w:rPr>
              <w:t>2</w:t>
            </w:r>
            <w:r>
              <w:t>类标准，</w:t>
            </w:r>
            <w:r>
              <w:rPr>
                <w:rFonts w:hint="eastAsia"/>
              </w:rPr>
              <w:t>夜间不生产，</w:t>
            </w:r>
            <w:r>
              <w:t>具体详见表3.7-</w:t>
            </w:r>
            <w:r>
              <w:rPr>
                <w:rFonts w:hint="eastAsia"/>
              </w:rPr>
              <w:t>3</w:t>
            </w:r>
            <w:r>
              <w:t>。</w:t>
            </w:r>
          </w:p>
          <w:p>
            <w:pPr>
              <w:pStyle w:val="96"/>
            </w:pPr>
            <w:r>
              <w:t>表3.7-</w:t>
            </w:r>
            <w:r>
              <w:rPr>
                <w:rFonts w:hint="eastAsia"/>
              </w:rPr>
              <w:t>3</w:t>
            </w:r>
            <w:r>
              <w:t xml:space="preserve"> </w:t>
            </w:r>
            <w:r>
              <w:rPr>
                <w:rFonts w:hint="eastAsia"/>
              </w:rPr>
              <w:t>项目</w:t>
            </w:r>
            <w:r>
              <w:t>厂界噪声排放标准</w:t>
            </w:r>
          </w:p>
          <w:tbl>
            <w:tblPr>
              <w:tblStyle w:val="36"/>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3603"/>
              <w:gridCol w:w="1060"/>
              <w:gridCol w:w="17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1" w:hRule="atLeast"/>
                <w:jc w:val="center"/>
              </w:trPr>
              <w:tc>
                <w:tcPr>
                  <w:tcW w:w="1532" w:type="dxa"/>
                  <w:vAlign w:val="center"/>
                </w:tcPr>
                <w:p>
                  <w:pPr>
                    <w:pStyle w:val="53"/>
                  </w:pPr>
                  <w:r>
                    <w:t>类别</w:t>
                  </w:r>
                </w:p>
              </w:tc>
              <w:tc>
                <w:tcPr>
                  <w:tcW w:w="3603" w:type="dxa"/>
                  <w:vAlign w:val="center"/>
                </w:tcPr>
                <w:p>
                  <w:pPr>
                    <w:pStyle w:val="53"/>
                  </w:pPr>
                  <w:r>
                    <w:t>标准名称</w:t>
                  </w:r>
                </w:p>
              </w:tc>
              <w:tc>
                <w:tcPr>
                  <w:tcW w:w="1060" w:type="dxa"/>
                  <w:vAlign w:val="center"/>
                </w:tcPr>
                <w:p>
                  <w:pPr>
                    <w:pStyle w:val="53"/>
                  </w:pPr>
                  <w:r>
                    <w:t>项目</w:t>
                  </w:r>
                </w:p>
              </w:tc>
              <w:tc>
                <w:tcPr>
                  <w:tcW w:w="1783" w:type="dxa"/>
                  <w:vAlign w:val="center"/>
                </w:tcPr>
                <w:p>
                  <w:pPr>
                    <w:pStyle w:val="53"/>
                  </w:pPr>
                  <w: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532" w:type="dxa"/>
                  <w:vAlign w:val="center"/>
                </w:tcPr>
                <w:p>
                  <w:pPr>
                    <w:pStyle w:val="53"/>
                  </w:pPr>
                  <w:r>
                    <w:t>厂界噪声</w:t>
                  </w:r>
                </w:p>
              </w:tc>
              <w:tc>
                <w:tcPr>
                  <w:tcW w:w="3603" w:type="dxa"/>
                  <w:vAlign w:val="center"/>
                </w:tcPr>
                <w:p>
                  <w:pPr>
                    <w:pStyle w:val="53"/>
                  </w:pPr>
                  <w:r>
                    <w:t>《工业企业厂界环境噪声排放标准》</w:t>
                  </w:r>
                  <w:r>
                    <w:rPr>
                      <w:rFonts w:hint="eastAsia"/>
                    </w:rPr>
                    <w:t>（</w:t>
                  </w:r>
                  <w:r>
                    <w:t>GB12348-2008</w:t>
                  </w:r>
                  <w:r>
                    <w:rPr>
                      <w:rFonts w:hint="eastAsia"/>
                    </w:rPr>
                    <w:t>）2</w:t>
                  </w:r>
                  <w:r>
                    <w:t>类标准</w:t>
                  </w:r>
                </w:p>
              </w:tc>
              <w:tc>
                <w:tcPr>
                  <w:tcW w:w="1060" w:type="dxa"/>
                  <w:vAlign w:val="center"/>
                </w:tcPr>
                <w:p>
                  <w:pPr>
                    <w:pStyle w:val="53"/>
                  </w:pPr>
                  <w:r>
                    <w:t>昼间</w:t>
                  </w:r>
                </w:p>
              </w:tc>
              <w:tc>
                <w:tcPr>
                  <w:tcW w:w="1783" w:type="dxa"/>
                  <w:vAlign w:val="center"/>
                </w:tcPr>
                <w:p>
                  <w:pPr>
                    <w:pStyle w:val="53"/>
                  </w:pPr>
                  <w:r>
                    <w:rPr>
                      <w:rFonts w:hint="eastAsia"/>
                    </w:rPr>
                    <w:t>60</w:t>
                  </w:r>
                  <w:r>
                    <w:t>dB</w:t>
                  </w:r>
                  <w:r>
                    <w:rPr>
                      <w:rFonts w:hint="eastAsia"/>
                    </w:rPr>
                    <w:t>（</w:t>
                  </w:r>
                  <w:r>
                    <w:t>A</w:t>
                  </w:r>
                  <w:r>
                    <w:rPr>
                      <w:rFonts w:hint="eastAsia"/>
                    </w:rPr>
                    <w:t>）</w:t>
                  </w:r>
                </w:p>
              </w:tc>
            </w:tr>
          </w:tbl>
          <w:p>
            <w:pPr>
              <w:pStyle w:val="5"/>
              <w:spacing w:before="120"/>
            </w:pPr>
            <w:r>
              <w:rPr>
                <w:rStyle w:val="59"/>
                <w:b/>
                <w:bCs/>
              </w:rPr>
              <w:t>固体废物</w:t>
            </w:r>
          </w:p>
          <w:p>
            <w:pPr>
              <w:rPr>
                <w:color w:val="000000"/>
                <w:kern w:val="0"/>
                <w:szCs w:val="21"/>
              </w:rPr>
            </w:pPr>
            <w:r>
              <w:t>项目运营期产生的一般工业固废按照《一般工业固体废物贮存和填埋污染控制标准》</w:t>
            </w:r>
            <w:r>
              <w:rPr>
                <w:rFonts w:hint="eastAsia"/>
              </w:rPr>
              <w:t>（</w:t>
            </w:r>
            <w:r>
              <w:t>GB 18599-2020</w:t>
            </w:r>
            <w:r>
              <w:rPr>
                <w:rFonts w:hint="eastAsia"/>
              </w:rPr>
              <w:t>）</w:t>
            </w:r>
            <w:r>
              <w:t>的要求进行暂存管理；危险废物应按照《危险废物贮存污染控制标准》</w:t>
            </w:r>
            <w:r>
              <w:rPr>
                <w:rFonts w:hint="eastAsia"/>
              </w:rPr>
              <w:t>（</w:t>
            </w:r>
            <w:r>
              <w:t>GB18597-2023</w:t>
            </w:r>
            <w:r>
              <w:rPr>
                <w:rFonts w:hint="eastAsia"/>
              </w:rPr>
              <w:t>）</w:t>
            </w:r>
            <w:r>
              <w:t>中的要求进行暂存管理；生活垃圾处置执行《中华人民共和国固体废物污染环境防治法》</w:t>
            </w:r>
            <w:r>
              <w:rPr>
                <w:rFonts w:hint="eastAsia"/>
              </w:rPr>
              <w:t>（</w:t>
            </w:r>
            <w:r>
              <w:t>2020年4月29日修订版</w:t>
            </w:r>
            <w:r>
              <w:rPr>
                <w:rFonts w:hint="eastAsia"/>
              </w:rPr>
              <w:t>）</w:t>
            </w:r>
            <w:r>
              <w:t>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5" w:type="dxa"/>
            <w:tcMar>
              <w:left w:w="28" w:type="dxa"/>
              <w:right w:w="28" w:type="dxa"/>
            </w:tcMar>
            <w:vAlign w:val="center"/>
          </w:tcPr>
          <w:p>
            <w:pPr>
              <w:pStyle w:val="53"/>
            </w:pPr>
            <w:r>
              <w:rPr>
                <w:rFonts w:hint="eastAsia"/>
              </w:rPr>
              <w:t>总</w:t>
            </w:r>
            <w:r>
              <w:t>量控制指标</w:t>
            </w:r>
          </w:p>
        </w:tc>
        <w:tc>
          <w:tcPr>
            <w:tcW w:w="8620" w:type="dxa"/>
            <w:vAlign w:val="center"/>
          </w:tcPr>
          <w:p>
            <w:pPr>
              <w:pStyle w:val="4"/>
            </w:pPr>
            <w:r>
              <w:t>总量控制</w:t>
            </w:r>
          </w:p>
          <w:p>
            <w:pPr>
              <w:rPr>
                <w:rFonts w:cs="宋体"/>
              </w:rPr>
            </w:pPr>
            <w:r>
              <w:rPr>
                <w:rFonts w:cs="宋体"/>
              </w:rPr>
              <w:t>根据《福建省</w:t>
            </w:r>
            <w:r>
              <w:rPr>
                <w:rFonts w:hint="eastAsia" w:cs="宋体"/>
              </w:rPr>
              <w:t>“</w:t>
            </w:r>
            <w:r>
              <w:rPr>
                <w:rFonts w:cs="宋体"/>
              </w:rPr>
              <w:t>十四五</w:t>
            </w:r>
            <w:r>
              <w:rPr>
                <w:rFonts w:hint="eastAsia" w:cs="宋体"/>
              </w:rPr>
              <w:t>”</w:t>
            </w:r>
            <w:r>
              <w:rPr>
                <w:rFonts w:cs="宋体"/>
              </w:rPr>
              <w:t>生态环境保护规划》（闽政办〔2021〕59号）、《福 建省人民政府关于印发福建省</w:t>
            </w:r>
            <w:r>
              <w:rPr>
                <w:rFonts w:hint="eastAsia" w:cs="宋体"/>
              </w:rPr>
              <w:t>“十四五”</w:t>
            </w:r>
            <w:r>
              <w:rPr>
                <w:rFonts w:cs="宋体"/>
              </w:rPr>
              <w:t>节能减排综合性工作方案的通知》</w:t>
            </w:r>
            <w:r>
              <w:rPr>
                <w:rFonts w:hint="eastAsia" w:cs="宋体"/>
              </w:rPr>
              <w:t>（</w:t>
            </w:r>
            <w:r>
              <w:rPr>
                <w:rFonts w:cs="宋体"/>
              </w:rPr>
              <w:t>闽政 [2022]17号</w:t>
            </w:r>
            <w:r>
              <w:rPr>
                <w:rFonts w:hint="eastAsia" w:cs="宋体"/>
              </w:rPr>
              <w:t>）</w:t>
            </w:r>
            <w:r>
              <w:rPr>
                <w:rFonts w:cs="宋体"/>
              </w:rPr>
              <w:t>，有关主要污染物排放总量控制计划的要求，结合本项目排污特征，本环评建议对VOCs</w:t>
            </w:r>
            <w:r>
              <w:rPr>
                <w:rFonts w:hint="eastAsia" w:cs="宋体"/>
              </w:rPr>
              <w:t>（</w:t>
            </w:r>
            <w:r>
              <w:rPr>
                <w:rFonts w:cs="宋体"/>
              </w:rPr>
              <w:t>以非甲烷总烃计</w:t>
            </w:r>
            <w:r>
              <w:rPr>
                <w:rFonts w:hint="eastAsia" w:cs="宋体"/>
              </w:rPr>
              <w:t>）</w:t>
            </w:r>
            <w:r>
              <w:rPr>
                <w:rFonts w:cs="宋体"/>
              </w:rPr>
              <w:t xml:space="preserve">进行总量控制。 </w:t>
            </w:r>
          </w:p>
          <w:p>
            <w:pPr>
              <w:numPr>
                <w:ilvl w:val="0"/>
                <w:numId w:val="5"/>
              </w:numPr>
              <w:rPr>
                <w:rFonts w:cs="宋体"/>
              </w:rPr>
            </w:pPr>
            <w:r>
              <w:rPr>
                <w:rFonts w:cs="宋体"/>
              </w:rPr>
              <w:t>水污染排放总量控制</w:t>
            </w:r>
            <w:r>
              <w:rPr>
                <w:rFonts w:hint="eastAsia" w:cs="宋体"/>
              </w:rPr>
              <w:t>：</w:t>
            </w:r>
            <w:r>
              <w:rPr>
                <w:rFonts w:cs="宋体"/>
              </w:rPr>
              <w:t>根据《福建省环保厅关于进一步加快推进排污权有偿使用和交易工作的意见》（闽环发〔2015〕6号）中的相关规定，</w:t>
            </w:r>
            <w:r>
              <w:rPr>
                <w:rFonts w:hint="eastAsia" w:cs="宋体"/>
              </w:rPr>
              <w:t>“</w:t>
            </w:r>
            <w:r>
              <w:rPr>
                <w:rFonts w:cs="宋体"/>
              </w:rPr>
              <w:t>对水污染物，仅核定工业废水部分</w:t>
            </w:r>
            <w:r>
              <w:rPr>
                <w:rFonts w:hint="eastAsia" w:cs="宋体"/>
              </w:rPr>
              <w:t>”</w:t>
            </w:r>
            <w:r>
              <w:rPr>
                <w:rFonts w:cs="宋体"/>
              </w:rPr>
              <w:t>，</w:t>
            </w:r>
            <w:r>
              <w:rPr>
                <w:rFonts w:hint="eastAsia" w:cs="宋体"/>
              </w:rPr>
              <w:t>本项目无</w:t>
            </w:r>
            <w:r>
              <w:t>生产废水的排放</w:t>
            </w:r>
            <w:r>
              <w:rPr>
                <w:rFonts w:hint="eastAsia"/>
              </w:rPr>
              <w:t>，</w:t>
            </w:r>
            <w:r>
              <w:t>项目生活污水排放暂不需要购买相应的排污权指标</w:t>
            </w:r>
            <w:r>
              <w:rPr>
                <w:rFonts w:hint="eastAsia"/>
              </w:rPr>
              <w:t>，</w:t>
            </w:r>
            <w:r>
              <w:rPr>
                <w:rFonts w:cs="宋体"/>
              </w:rPr>
              <w:t>因此，无需购买总量。</w:t>
            </w:r>
          </w:p>
          <w:p>
            <w:r>
              <w:rPr>
                <w:rFonts w:hint="eastAsia" w:cs="宋体"/>
              </w:rPr>
              <w:t>（2）</w:t>
            </w:r>
            <w:r>
              <w:rPr>
                <w:rFonts w:cs="宋体"/>
              </w:rPr>
              <w:t>大气污染物总量控制</w:t>
            </w:r>
            <w:r>
              <w:rPr>
                <w:rFonts w:hint="eastAsia" w:cs="宋体"/>
              </w:rPr>
              <w:t>：</w:t>
            </w:r>
            <w:r>
              <w:rPr>
                <w:rFonts w:cs="宋体"/>
              </w:rPr>
              <w:t>本项目非甲烷总烃经活性炭处理设施处理后经</w:t>
            </w:r>
            <w:r>
              <w:rPr>
                <w:rFonts w:hint="eastAsia" w:cs="宋体"/>
              </w:rPr>
              <w:t>25</w:t>
            </w:r>
            <w:r>
              <w:rPr>
                <w:rFonts w:cs="宋体"/>
              </w:rPr>
              <w:t>m高排气筒排放，</w:t>
            </w:r>
            <w:r>
              <w:rPr>
                <w:rFonts w:hint="eastAsia" w:cs="宋体"/>
              </w:rPr>
              <w:t>有组织废气</w:t>
            </w:r>
            <w:r>
              <w:rPr>
                <w:rFonts w:cs="宋体"/>
              </w:rPr>
              <w:t>非甲烷总烃排放量为</w:t>
            </w:r>
            <w:r>
              <w:rPr>
                <w:rFonts w:hint="eastAsia"/>
              </w:rPr>
              <w:t>0.2916</w:t>
            </w:r>
            <w:r>
              <w:rPr>
                <w:rFonts w:cs="宋体"/>
              </w:rPr>
              <w:t>t/a，</w:t>
            </w:r>
            <w:r>
              <w:rPr>
                <w:rFonts w:hint="eastAsia" w:cs="宋体"/>
              </w:rPr>
              <w:t>无组织废气非甲烷总烃排放量0.108</w:t>
            </w:r>
            <w:r>
              <w:rPr>
                <w:rFonts w:cs="宋体"/>
              </w:rPr>
              <w:t>t/a</w:t>
            </w:r>
            <w:r>
              <w:rPr>
                <w:rFonts w:hint="eastAsia" w:cs="宋体"/>
              </w:rPr>
              <w:t>，</w:t>
            </w:r>
            <w:r>
              <w:rPr>
                <w:rFonts w:cs="宋体"/>
              </w:rPr>
              <w:t>项目所在福州地区实行区域内VOCs排放1.2及以上倍量替代，并将替代方案落实到企业排污许可证中，纳入环境执法管理，项目VOCs （非甲烷总烃计）控制指标向福州市马尾生态环境局申请调剂</w:t>
            </w:r>
            <w:r>
              <w:t>。</w:t>
            </w:r>
          </w:p>
          <w:p>
            <w:pPr>
              <w:pStyle w:val="96"/>
              <w:keepNext/>
            </w:pPr>
            <w:r>
              <w:t>表3.8-</w:t>
            </w:r>
            <w:r>
              <w:rPr>
                <w:rFonts w:hint="eastAsia"/>
              </w:rPr>
              <w:t>1</w:t>
            </w:r>
            <w:r>
              <w:t xml:space="preserve"> 本项目废气污染物建议性控制指标总量一览表  单位</w:t>
            </w:r>
            <w:r>
              <w:rPr>
                <w:rFonts w:hint="eastAsia"/>
              </w:rPr>
              <w:t>：</w:t>
            </w:r>
            <w:r>
              <w:t>t/a</w:t>
            </w:r>
          </w:p>
          <w:tbl>
            <w:tblPr>
              <w:tblStyle w:val="37"/>
              <w:tblW w:w="83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1624"/>
              <w:gridCol w:w="1591"/>
              <w:gridCol w:w="1386"/>
              <w:gridCol w:w="2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46" w:type="dxa"/>
                  <w:tcBorders>
                    <w:tl2br w:val="nil"/>
                    <w:tr2bl w:val="nil"/>
                  </w:tcBorders>
                  <w:vAlign w:val="center"/>
                </w:tcPr>
                <w:p>
                  <w:pPr>
                    <w:pStyle w:val="53"/>
                  </w:pPr>
                  <w:r>
                    <w:t>总量控制项目</w:t>
                  </w:r>
                </w:p>
              </w:tc>
              <w:tc>
                <w:tcPr>
                  <w:tcW w:w="1624" w:type="dxa"/>
                  <w:tcBorders>
                    <w:tl2br w:val="nil"/>
                    <w:tr2bl w:val="nil"/>
                  </w:tcBorders>
                  <w:vAlign w:val="center"/>
                </w:tcPr>
                <w:p>
                  <w:pPr>
                    <w:pStyle w:val="53"/>
                  </w:pPr>
                  <w:r>
                    <w:t>有组织排放量</w:t>
                  </w:r>
                </w:p>
              </w:tc>
              <w:tc>
                <w:tcPr>
                  <w:tcW w:w="1591" w:type="dxa"/>
                  <w:tcBorders>
                    <w:tl2br w:val="nil"/>
                    <w:tr2bl w:val="nil"/>
                  </w:tcBorders>
                  <w:vAlign w:val="center"/>
                </w:tcPr>
                <w:p>
                  <w:pPr>
                    <w:pStyle w:val="53"/>
                  </w:pPr>
                  <w:r>
                    <w:t>无组织排放量</w:t>
                  </w:r>
                </w:p>
              </w:tc>
              <w:tc>
                <w:tcPr>
                  <w:tcW w:w="1386" w:type="dxa"/>
                  <w:tcBorders>
                    <w:tl2br w:val="nil"/>
                    <w:tr2bl w:val="nil"/>
                  </w:tcBorders>
                  <w:vAlign w:val="center"/>
                </w:tcPr>
                <w:p>
                  <w:pPr>
                    <w:pStyle w:val="53"/>
                  </w:pPr>
                  <w:r>
                    <w:t>排放总量</w:t>
                  </w:r>
                </w:p>
              </w:tc>
              <w:tc>
                <w:tcPr>
                  <w:tcW w:w="2091" w:type="dxa"/>
                  <w:tcBorders>
                    <w:tl2br w:val="nil"/>
                    <w:tr2bl w:val="nil"/>
                  </w:tcBorders>
                  <w:vAlign w:val="center"/>
                </w:tcPr>
                <w:p>
                  <w:pPr>
                    <w:pStyle w:val="53"/>
                  </w:pPr>
                  <w:r>
                    <w:t>评价建议总量控制指标</w:t>
                  </w:r>
                  <w:r>
                    <w:rPr>
                      <w:rFonts w:hint="eastAsia"/>
                    </w:rPr>
                    <w:t>（污染物*1.2倍）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46" w:type="dxa"/>
                  <w:tcBorders>
                    <w:tl2br w:val="nil"/>
                    <w:tr2bl w:val="nil"/>
                  </w:tcBorders>
                  <w:vAlign w:val="center"/>
                </w:tcPr>
                <w:p>
                  <w:pPr>
                    <w:pStyle w:val="53"/>
                  </w:pPr>
                  <w:r>
                    <w:t>非甲烷总烃</w:t>
                  </w:r>
                </w:p>
              </w:tc>
              <w:tc>
                <w:tcPr>
                  <w:tcW w:w="1624" w:type="dxa"/>
                  <w:tcBorders>
                    <w:tl2br w:val="nil"/>
                    <w:tr2bl w:val="nil"/>
                  </w:tcBorders>
                  <w:shd w:val="clear" w:color="auto" w:fill="auto"/>
                  <w:vAlign w:val="center"/>
                </w:tcPr>
                <w:p>
                  <w:pPr>
                    <w:pStyle w:val="53"/>
                    <w:rPr>
                      <w:rFonts w:hint="default" w:eastAsia="宋体"/>
                      <w:lang w:val="en-US" w:eastAsia="zh-CN"/>
                    </w:rPr>
                  </w:pPr>
                  <w:r>
                    <w:rPr>
                      <w:rFonts w:hint="eastAsia"/>
                      <w:lang w:val="en-US" w:eastAsia="zh-CN"/>
                    </w:rPr>
                    <w:t>0.1555</w:t>
                  </w:r>
                </w:p>
              </w:tc>
              <w:tc>
                <w:tcPr>
                  <w:tcW w:w="1591" w:type="dxa"/>
                  <w:tcBorders>
                    <w:tl2br w:val="nil"/>
                    <w:tr2bl w:val="nil"/>
                  </w:tcBorders>
                  <w:vAlign w:val="center"/>
                </w:tcPr>
                <w:p>
                  <w:pPr>
                    <w:pStyle w:val="53"/>
                  </w:pPr>
                  <w:r>
                    <w:rPr>
                      <w:rFonts w:hint="eastAsia"/>
                    </w:rPr>
                    <w:t>0.108</w:t>
                  </w:r>
                </w:p>
              </w:tc>
              <w:tc>
                <w:tcPr>
                  <w:tcW w:w="1386" w:type="dxa"/>
                  <w:tcBorders>
                    <w:tl2br w:val="nil"/>
                    <w:tr2bl w:val="nil"/>
                  </w:tcBorders>
                  <w:vAlign w:val="center"/>
                </w:tcPr>
                <w:p>
                  <w:pPr>
                    <w:pStyle w:val="53"/>
                  </w:pPr>
                  <w:r>
                    <w:rPr>
                      <w:rFonts w:hint="eastAsia"/>
                    </w:rPr>
                    <w:t>0.2635</w:t>
                  </w:r>
                </w:p>
              </w:tc>
              <w:tc>
                <w:tcPr>
                  <w:tcW w:w="2091" w:type="dxa"/>
                  <w:tcBorders>
                    <w:tl2br w:val="nil"/>
                    <w:tr2bl w:val="nil"/>
                  </w:tcBorders>
                  <w:shd w:val="clear" w:color="auto" w:fill="auto"/>
                  <w:vAlign w:val="center"/>
                </w:tcPr>
                <w:p>
                  <w:pPr>
                    <w:pStyle w:val="53"/>
                    <w:rPr>
                      <w:rFonts w:hint="eastAsia" w:eastAsia="宋体"/>
                      <w:lang w:eastAsia="zh-CN"/>
                    </w:rPr>
                  </w:pPr>
                  <w:r>
                    <w:rPr>
                      <w:rFonts w:hint="eastAsia"/>
                      <w:lang w:val="en-US" w:eastAsia="zh-CN"/>
                    </w:rPr>
                    <w:t>0.3162</w:t>
                  </w:r>
                </w:p>
              </w:tc>
            </w:tr>
          </w:tbl>
          <w:p>
            <w:pPr>
              <w:rPr>
                <w:color w:val="000000"/>
              </w:rPr>
            </w:pPr>
            <w:r>
              <w:t>根据《福州市环境保护局关于印发福州市大气污染联防控联治工作方案的通知》榕环保综[2018]386号：VOCs排放实行区域内倍量替代，新、</w:t>
            </w:r>
            <w:r>
              <w:rPr>
                <w:rFonts w:hint="eastAsia"/>
              </w:rPr>
              <w:t>扩建</w:t>
            </w:r>
            <w:r>
              <w:t>涉VOCs排放项目，应从源头加强控制，使用低</w:t>
            </w:r>
            <w:r>
              <w:rPr>
                <w:rFonts w:hint="eastAsia"/>
              </w:rPr>
              <w:t>（</w:t>
            </w:r>
            <w:r>
              <w:t>无</w:t>
            </w:r>
            <w:r>
              <w:rPr>
                <w:rFonts w:hint="eastAsia"/>
              </w:rPr>
              <w:t>）</w:t>
            </w:r>
            <w:r>
              <w:t>VOCs含量的原辅材料，加强废气收集、安装高效治理设施。根据报告分析可知，本项目VOCs</w:t>
            </w:r>
            <w:r>
              <w:rPr>
                <w:rFonts w:hint="eastAsia"/>
              </w:rPr>
              <w:t>（</w:t>
            </w:r>
            <w:r>
              <w:t>以非甲烷总烃计</w:t>
            </w:r>
            <w:r>
              <w:rPr>
                <w:rFonts w:hint="eastAsia"/>
              </w:rPr>
              <w:t>）</w:t>
            </w:r>
            <w:r>
              <w:t>的排放总量为</w:t>
            </w:r>
            <w:r>
              <w:rPr>
                <w:rFonts w:hint="eastAsia"/>
              </w:rPr>
              <w:t>：0</w:t>
            </w:r>
            <w:r>
              <w:rPr>
                <w:rFonts w:hint="eastAsia"/>
                <w:lang w:val="en-US" w:eastAsia="zh-CN"/>
              </w:rPr>
              <w:t>.2635</w:t>
            </w:r>
            <w:r>
              <w:t>t/a</w:t>
            </w:r>
            <w:r>
              <w:rPr>
                <w:rFonts w:hint="eastAsia"/>
              </w:rPr>
              <w:t>。</w:t>
            </w:r>
            <w:r>
              <w:t>由建设单位向当地生态环境主管部门申请区域</w:t>
            </w:r>
            <w:r>
              <w:rPr>
                <w:rFonts w:hint="eastAsia"/>
              </w:rPr>
              <w:t>倍量调剂，调剂量为</w:t>
            </w:r>
            <w:r>
              <w:rPr>
                <w:rFonts w:hint="eastAsia"/>
                <w:lang w:val="en-US" w:eastAsia="zh-CN"/>
              </w:rPr>
              <w:t>0.3162</w:t>
            </w:r>
            <w:r>
              <w:t>t/a。</w:t>
            </w:r>
          </w:p>
        </w:tc>
      </w:tr>
    </w:tbl>
    <w:p>
      <w:pPr>
        <w:adjustRightInd w:val="0"/>
        <w:snapToGrid w:val="0"/>
        <w:rPr>
          <w:color w:val="000000"/>
          <w:kern w:val="0"/>
          <w:szCs w:val="21"/>
        </w:rPr>
        <w:sectPr>
          <w:pgSz w:w="11907" w:h="16840"/>
          <w:pgMar w:top="1701" w:right="1531" w:bottom="2127" w:left="1531" w:header="851" w:footer="851" w:gutter="0"/>
          <w:cols w:space="720" w:num="1"/>
          <w:docGrid w:linePitch="312" w:charSpace="0"/>
        </w:sectPr>
      </w:pPr>
    </w:p>
    <w:p>
      <w:pPr>
        <w:pStyle w:val="3"/>
      </w:pPr>
      <w:bookmarkStart w:id="49" w:name="_Toc2618"/>
      <w:bookmarkStart w:id="50" w:name="_Toc28243"/>
      <w:r>
        <w:t>主要环境影响和保护措施</w:t>
      </w:r>
      <w:bookmarkEnd w:id="49"/>
      <w:bookmarkEnd w:id="50"/>
    </w:p>
    <w:tbl>
      <w:tblPr>
        <w:tblStyle w:val="36"/>
        <w:tblW w:w="526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8"/>
        <w:gridCol w:w="8955"/>
        <w:gridCol w:w="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2" w:type="pct"/>
          <w:trHeight w:val="2307" w:hRule="atLeast"/>
          <w:jc w:val="center"/>
        </w:trPr>
        <w:tc>
          <w:tcPr>
            <w:tcW w:w="226" w:type="pct"/>
            <w:tcMar>
              <w:left w:w="28" w:type="dxa"/>
              <w:right w:w="28" w:type="dxa"/>
            </w:tcMar>
            <w:vAlign w:val="center"/>
          </w:tcPr>
          <w:p>
            <w:pPr>
              <w:pStyle w:val="53"/>
            </w:pPr>
            <w:r>
              <w:t>施工期环境保护措施</w:t>
            </w:r>
          </w:p>
        </w:tc>
        <w:tc>
          <w:tcPr>
            <w:tcW w:w="4731" w:type="pct"/>
            <w:vAlign w:val="center"/>
          </w:tcPr>
          <w:p>
            <w:r>
              <w:t>本项目厂址位于</w:t>
            </w:r>
            <w:r>
              <w:rPr>
                <w:rFonts w:hint="eastAsia"/>
                <w:lang w:eastAsia="zh-CN"/>
              </w:rPr>
              <w:t>福建省福州市马尾区亭江镇亭江路66号福州（马尾）万洋众创（三期）B22#楼1层02厂房</w:t>
            </w:r>
            <w:r>
              <w:t>，根据现场勘查，该厂房主体结构已经建成，因此不存在厂房等主体工程施工期环境影响。</w:t>
            </w:r>
            <w:r>
              <w:rPr>
                <w:rFonts w:hint="eastAsia"/>
              </w:rPr>
              <w:t>本项目按照车间的功能要求对建筑内部进行装修，无大规模施工，且装修均在室内进行，施工过程简单，时间较短，主要的环境影响因素为安装产生的噪声、废弃的包装箱、包装袋、废木块等。</w:t>
            </w:r>
          </w:p>
          <w:p>
            <w:r>
              <w:rPr>
                <w:rFonts w:hint="eastAsia"/>
              </w:rPr>
              <w:t>噪声环境：要求安装人员使用电钻等工具时应注意关窗，避免噪声通过门窗发散，尽量缩短使用时间。同时要求进出汽车限速，禁止鸣笛以降低装卸料噪声及机动车的交通噪声的影响，经墙体隔声自然衰退，噪声不会对周边环境产生影响。</w:t>
            </w:r>
          </w:p>
          <w:p>
            <w:r>
              <w:rPr>
                <w:rFonts w:hint="eastAsia"/>
              </w:rPr>
              <w:t>大气环境，要求卸货时轻放，防止扬尘的产生，同时要求进出汽车限速减少运输扬尘的产生。采取措施后粉尘产生量很少，对周边环境影响较小。</w:t>
            </w:r>
          </w:p>
          <w:p>
            <w:r>
              <w:rPr>
                <w:rFonts w:hint="eastAsia"/>
              </w:rPr>
              <w:t>固体废物：安装设备过程中，废弃的包装箱、包装袋、废木块等不能随意堆放，要集中收集至垃圾箱，交由环卫部门统一清运处理不会对周边环境造成影响。</w:t>
            </w:r>
          </w:p>
          <w:p>
            <w:pPr>
              <w:rPr>
                <w:bCs/>
                <w:color w:val="000000"/>
                <w:spacing w:val="-10"/>
              </w:rPr>
            </w:pPr>
            <w:r>
              <w:rPr>
                <w:rFonts w:hint="eastAsia"/>
              </w:rPr>
              <w:t>因此，随着设备安装、调试完毕后，项目施工期也将结束，施工期环境影响也随之消失，不会对周边环境噪声影响。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3" w:hRule="atLeast"/>
          <w:jc w:val="center"/>
        </w:trPr>
        <w:tc>
          <w:tcPr>
            <w:tcW w:w="226" w:type="pct"/>
            <w:tcMar>
              <w:left w:w="28" w:type="dxa"/>
              <w:right w:w="28" w:type="dxa"/>
            </w:tcMar>
            <w:vAlign w:val="center"/>
          </w:tcPr>
          <w:p>
            <w:pPr>
              <w:pStyle w:val="53"/>
            </w:pPr>
            <w:r>
              <w:t>运营期环境影响和保护措施</w:t>
            </w:r>
          </w:p>
        </w:tc>
        <w:tc>
          <w:tcPr>
            <w:tcW w:w="4773" w:type="pct"/>
            <w:gridSpan w:val="2"/>
            <w:vAlign w:val="center"/>
          </w:tcPr>
          <w:p>
            <w:pPr>
              <w:pStyle w:val="4"/>
            </w:pPr>
            <w:bookmarkStart w:id="51" w:name="_Toc2922"/>
            <w:bookmarkStart w:id="52" w:name="_Toc14251"/>
            <w:bookmarkStart w:id="53" w:name="_Toc23706"/>
            <w:r>
              <w:t>运营期大气环境影响分析和污染防治措施</w:t>
            </w:r>
            <w:bookmarkEnd w:id="51"/>
            <w:bookmarkEnd w:id="52"/>
            <w:bookmarkEnd w:id="53"/>
          </w:p>
          <w:p>
            <w:pPr>
              <w:pStyle w:val="5"/>
              <w:spacing w:before="120"/>
            </w:pPr>
            <w:bookmarkStart w:id="54" w:name="_Toc32388"/>
            <w:bookmarkStart w:id="55" w:name="_Toc29992"/>
            <w:bookmarkStart w:id="56" w:name="_Toc3939"/>
            <w:bookmarkStart w:id="57" w:name="_Toc19626"/>
            <w:bookmarkStart w:id="58" w:name="_Toc24459"/>
            <w:bookmarkStart w:id="59" w:name="_Toc11408"/>
            <w:bookmarkStart w:id="60" w:name="_Toc22789"/>
            <w:bookmarkStart w:id="61" w:name="_Toc21592"/>
            <w:r>
              <w:t>运营期废气源强核算</w:t>
            </w:r>
            <w:bookmarkEnd w:id="54"/>
            <w:bookmarkEnd w:id="55"/>
            <w:bookmarkEnd w:id="56"/>
            <w:bookmarkEnd w:id="57"/>
            <w:bookmarkEnd w:id="58"/>
            <w:bookmarkEnd w:id="59"/>
            <w:bookmarkEnd w:id="60"/>
            <w:bookmarkEnd w:id="61"/>
          </w:p>
          <w:p>
            <w:r>
              <w:rPr>
                <w:rFonts w:hint="eastAsia"/>
                <w:color w:val="000000"/>
              </w:rPr>
              <w:t>本项目废气主要来源于生产过程中加热颗粒产生的挥发性有机物（以非甲烷总烃计）和拌料以及下料工序产生的粉尘</w:t>
            </w:r>
            <w:r>
              <w:t>。</w:t>
            </w:r>
          </w:p>
          <w:p>
            <w:r>
              <w:t>本项</w:t>
            </w:r>
            <w:r>
              <w:rPr>
                <w:rFonts w:hint="eastAsia"/>
              </w:rPr>
              <w:t>注塑</w:t>
            </w:r>
            <w:r>
              <w:t>工序产生有机废气源强核算参照《污染源源强核算技术指南 准则》</w:t>
            </w:r>
            <w:r>
              <w:rPr>
                <w:rFonts w:hint="eastAsia"/>
              </w:rPr>
              <w:t>（</w:t>
            </w:r>
            <w:r>
              <w:t>HJ884-2018</w:t>
            </w:r>
            <w:r>
              <w:rPr>
                <w:rFonts w:hint="eastAsia"/>
              </w:rPr>
              <w:t>）、</w:t>
            </w:r>
            <w:r>
              <w:rPr>
                <w:rFonts w:hint="eastAsia" w:cs="宋体"/>
              </w:rPr>
              <w:t>《排放源统计产排污核算方法和系数手册》</w:t>
            </w:r>
            <w:r>
              <w:t>及《排污许可证申请与核发技术规范 总则》</w:t>
            </w:r>
            <w:r>
              <w:rPr>
                <w:rFonts w:hint="eastAsia"/>
              </w:rPr>
              <w:t>（</w:t>
            </w:r>
            <w:r>
              <w:t>HJ942-2018</w:t>
            </w:r>
            <w:r>
              <w:rPr>
                <w:rFonts w:hint="eastAsia"/>
              </w:rPr>
              <w:t>）</w:t>
            </w:r>
            <w:r>
              <w:t>等相关要求进行。项目废气污染源源强核算结果及相关参数一览表4.1-1。</w:t>
            </w:r>
          </w:p>
          <w:p>
            <w:pPr>
              <w:ind w:firstLine="0" w:firstLineChars="0"/>
            </w:pPr>
          </w:p>
        </w:tc>
      </w:tr>
    </w:tbl>
    <w:p>
      <w:pPr>
        <w:adjustRightInd w:val="0"/>
        <w:snapToGrid w:val="0"/>
        <w:ind w:firstLine="562"/>
        <w:rPr>
          <w:b/>
          <w:color w:val="000000"/>
          <w:kern w:val="0"/>
          <w:sz w:val="28"/>
          <w:szCs w:val="28"/>
        </w:rPr>
        <w:sectPr>
          <w:pgSz w:w="11907" w:h="16840"/>
          <w:pgMar w:top="1701" w:right="1531" w:bottom="2127" w:left="1531" w:header="851" w:footer="851" w:gutter="0"/>
          <w:cols w:space="720" w:num="1"/>
          <w:docGrid w:linePitch="312" w:charSpace="0"/>
        </w:sect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Align w:val="center"/>
          </w:tcPr>
          <w:p>
            <w:pPr>
              <w:pStyle w:val="53"/>
              <w:jc w:val="both"/>
            </w:pPr>
            <w:r>
              <w:t>运营期环境影响和</w:t>
            </w:r>
            <w:r>
              <w:rPr>
                <w:rFonts w:hint="eastAsia"/>
              </w:rPr>
              <w:t>保护措施</w:t>
            </w:r>
          </w:p>
        </w:tc>
        <w:tc>
          <w:tcPr>
            <w:tcW w:w="12803" w:type="dxa"/>
          </w:tcPr>
          <w:p>
            <w:pPr>
              <w:pStyle w:val="96"/>
              <w:rPr>
                <w:color w:val="auto"/>
              </w:rPr>
            </w:pPr>
            <w:r>
              <w:rPr>
                <w:color w:val="auto"/>
              </w:rPr>
              <w:t>表4.1-</w:t>
            </w:r>
            <w:r>
              <w:rPr>
                <w:rFonts w:hint="eastAsia"/>
                <w:color w:val="auto"/>
              </w:rPr>
              <w:t>1</w:t>
            </w:r>
            <w:r>
              <w:rPr>
                <w:color w:val="auto"/>
              </w:rPr>
              <w:t xml:space="preserve">  </w:t>
            </w:r>
            <w:r>
              <w:rPr>
                <w:rFonts w:hint="eastAsia"/>
                <w:color w:val="auto"/>
              </w:rPr>
              <w:t>项目</w:t>
            </w:r>
            <w:r>
              <w:rPr>
                <w:color w:val="auto"/>
              </w:rPr>
              <w:t>废气污染源源强核算结果及相关参数一览表</w:t>
            </w:r>
          </w:p>
          <w:tbl>
            <w:tblPr>
              <w:tblStyle w:val="36"/>
              <w:tblW w:w="0" w:type="auto"/>
              <w:tblInd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7"/>
              <w:gridCol w:w="427"/>
              <w:gridCol w:w="426"/>
              <w:gridCol w:w="584"/>
              <w:gridCol w:w="795"/>
              <w:gridCol w:w="752"/>
              <w:gridCol w:w="914"/>
              <w:gridCol w:w="689"/>
              <w:gridCol w:w="898"/>
              <w:gridCol w:w="640"/>
              <w:gridCol w:w="805"/>
              <w:gridCol w:w="1104"/>
              <w:gridCol w:w="832"/>
              <w:gridCol w:w="914"/>
              <w:gridCol w:w="845"/>
              <w:gridCol w:w="655"/>
              <w:gridCol w:w="77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427" w:type="dxa"/>
                  <w:vMerge w:val="restart"/>
                  <w:tcBorders>
                    <w:top w:val="single" w:color="000000" w:sz="12" w:space="0"/>
                    <w:left w:val="nil"/>
                    <w:tl2br w:val="nil"/>
                  </w:tcBorders>
                  <w:shd w:val="clear" w:color="auto" w:fill="auto"/>
                  <w:vAlign w:val="center"/>
                </w:tcPr>
                <w:p>
                  <w:pPr>
                    <w:pStyle w:val="53"/>
                    <w:bidi w:val="0"/>
                    <w:rPr>
                      <w:rFonts w:hint="eastAsia"/>
                      <w:b w:val="0"/>
                    </w:rPr>
                  </w:pPr>
                  <w:r>
                    <w:rPr>
                      <w:rFonts w:hint="eastAsia"/>
                      <w:b w:val="0"/>
                      <w:lang w:val="en-US" w:eastAsia="zh-CN"/>
                    </w:rPr>
                    <w:t>污染物来源</w:t>
                  </w:r>
                </w:p>
              </w:tc>
              <w:tc>
                <w:tcPr>
                  <w:tcW w:w="853" w:type="dxa"/>
                  <w:gridSpan w:val="2"/>
                  <w:vMerge w:val="restart"/>
                  <w:tcBorders>
                    <w:top w:val="single" w:color="000000" w:sz="12" w:space="0"/>
                  </w:tcBorders>
                  <w:shd w:val="clear" w:color="auto" w:fill="auto"/>
                  <w:vAlign w:val="center"/>
                </w:tcPr>
                <w:p>
                  <w:pPr>
                    <w:pStyle w:val="53"/>
                    <w:bidi w:val="0"/>
                    <w:rPr>
                      <w:rFonts w:hint="eastAsia"/>
                      <w:b w:val="0"/>
                    </w:rPr>
                  </w:pPr>
                  <w:r>
                    <w:rPr>
                      <w:rFonts w:hint="eastAsia"/>
                      <w:b w:val="0"/>
                      <w:lang w:val="en-US" w:eastAsia="zh-CN"/>
                    </w:rPr>
                    <w:t>污染物</w:t>
                  </w:r>
                </w:p>
              </w:tc>
              <w:tc>
                <w:tcPr>
                  <w:tcW w:w="584" w:type="dxa"/>
                  <w:vMerge w:val="restart"/>
                  <w:tcBorders>
                    <w:top w:val="single" w:color="000000" w:sz="12" w:space="0"/>
                  </w:tcBorders>
                  <w:shd w:val="clear" w:color="auto" w:fill="auto"/>
                  <w:vAlign w:val="center"/>
                </w:tcPr>
                <w:p>
                  <w:pPr>
                    <w:pStyle w:val="53"/>
                    <w:bidi w:val="0"/>
                    <w:rPr>
                      <w:rFonts w:hint="eastAsia"/>
                      <w:b w:val="0"/>
                    </w:rPr>
                  </w:pPr>
                  <w:r>
                    <w:rPr>
                      <w:rFonts w:hint="eastAsia"/>
                      <w:b w:val="0"/>
                      <w:lang w:val="en-US" w:eastAsia="zh-CN"/>
                    </w:rPr>
                    <w:t>产生量</w:t>
                  </w:r>
                  <w:r>
                    <w:rPr>
                      <w:rFonts w:hint="default"/>
                      <w:b w:val="0"/>
                      <w:lang w:val="en-US" w:eastAsia="zh-CN"/>
                    </w:rPr>
                    <w:t>t/a</w:t>
                  </w:r>
                </w:p>
              </w:tc>
              <w:tc>
                <w:tcPr>
                  <w:tcW w:w="795" w:type="dxa"/>
                  <w:vMerge w:val="restart"/>
                  <w:tcBorders>
                    <w:top w:val="single" w:color="000000" w:sz="12" w:space="0"/>
                  </w:tcBorders>
                  <w:shd w:val="clear" w:color="auto" w:fill="auto"/>
                  <w:vAlign w:val="center"/>
                </w:tcPr>
                <w:p>
                  <w:pPr>
                    <w:pStyle w:val="53"/>
                    <w:bidi w:val="0"/>
                    <w:rPr>
                      <w:rFonts w:hint="eastAsia"/>
                      <w:b w:val="0"/>
                    </w:rPr>
                  </w:pPr>
                  <w:r>
                    <w:rPr>
                      <w:rFonts w:hint="eastAsia"/>
                      <w:b w:val="0"/>
                      <w:lang w:val="en-US" w:eastAsia="zh-CN"/>
                    </w:rPr>
                    <w:t>排放速率（</w:t>
                  </w:r>
                  <w:r>
                    <w:rPr>
                      <w:rFonts w:hint="default"/>
                      <w:b w:val="0"/>
                      <w:lang w:val="en-US" w:eastAsia="zh-CN"/>
                    </w:rPr>
                    <w:t>kg/h</w:t>
                  </w:r>
                  <w:r>
                    <w:rPr>
                      <w:rFonts w:hint="eastAsia"/>
                      <w:b w:val="0"/>
                      <w:lang w:val="en-US" w:eastAsia="zh-CN"/>
                    </w:rPr>
                    <w:t>）</w:t>
                  </w:r>
                </w:p>
              </w:tc>
              <w:tc>
                <w:tcPr>
                  <w:tcW w:w="2355" w:type="dxa"/>
                  <w:gridSpan w:val="3"/>
                  <w:tcBorders>
                    <w:top w:val="single" w:color="000000" w:sz="12" w:space="0"/>
                  </w:tcBorders>
                  <w:shd w:val="clear" w:color="auto" w:fill="auto"/>
                  <w:vAlign w:val="center"/>
                </w:tcPr>
                <w:p>
                  <w:pPr>
                    <w:pStyle w:val="53"/>
                    <w:bidi w:val="0"/>
                    <w:rPr>
                      <w:rFonts w:hint="eastAsia"/>
                      <w:b w:val="0"/>
                    </w:rPr>
                  </w:pPr>
                  <w:r>
                    <w:rPr>
                      <w:rFonts w:hint="eastAsia"/>
                      <w:b w:val="0"/>
                      <w:lang w:val="en-US" w:eastAsia="zh-CN"/>
                    </w:rPr>
                    <w:t>产生源强</w:t>
                  </w:r>
                </w:p>
              </w:tc>
              <w:tc>
                <w:tcPr>
                  <w:tcW w:w="2343" w:type="dxa"/>
                  <w:gridSpan w:val="3"/>
                  <w:tcBorders>
                    <w:top w:val="single" w:color="000000" w:sz="12" w:space="0"/>
                  </w:tcBorders>
                  <w:shd w:val="clear" w:color="auto" w:fill="auto"/>
                  <w:vAlign w:val="center"/>
                </w:tcPr>
                <w:p>
                  <w:pPr>
                    <w:pStyle w:val="53"/>
                    <w:bidi w:val="0"/>
                    <w:rPr>
                      <w:rFonts w:hint="eastAsia"/>
                      <w:b w:val="0"/>
                    </w:rPr>
                  </w:pPr>
                  <w:r>
                    <w:rPr>
                      <w:rFonts w:hint="eastAsia"/>
                      <w:b w:val="0"/>
                      <w:lang w:val="en-US" w:eastAsia="zh-CN"/>
                    </w:rPr>
                    <w:t>治理措施</w:t>
                  </w:r>
                </w:p>
              </w:tc>
              <w:tc>
                <w:tcPr>
                  <w:tcW w:w="2850" w:type="dxa"/>
                  <w:gridSpan w:val="3"/>
                  <w:tcBorders>
                    <w:top w:val="single" w:color="000000" w:sz="12" w:space="0"/>
                  </w:tcBorders>
                  <w:shd w:val="clear" w:color="auto" w:fill="auto"/>
                  <w:vAlign w:val="center"/>
                </w:tcPr>
                <w:p>
                  <w:pPr>
                    <w:pStyle w:val="53"/>
                    <w:bidi w:val="0"/>
                    <w:rPr>
                      <w:rFonts w:hint="eastAsia"/>
                      <w:b w:val="0"/>
                    </w:rPr>
                  </w:pPr>
                  <w:r>
                    <w:rPr>
                      <w:rFonts w:hint="eastAsia"/>
                      <w:b w:val="0"/>
                      <w:lang w:val="en-US" w:eastAsia="zh-CN"/>
                    </w:rPr>
                    <w:t>排放源强</w:t>
                  </w:r>
                </w:p>
              </w:tc>
              <w:tc>
                <w:tcPr>
                  <w:tcW w:w="1500" w:type="dxa"/>
                  <w:gridSpan w:val="2"/>
                  <w:tcBorders>
                    <w:top w:val="single" w:color="000000" w:sz="12" w:space="0"/>
                  </w:tcBorders>
                  <w:shd w:val="clear" w:color="auto" w:fill="auto"/>
                  <w:noWrap/>
                  <w:vAlign w:val="center"/>
                </w:tcPr>
                <w:p>
                  <w:pPr>
                    <w:pStyle w:val="53"/>
                    <w:bidi w:val="0"/>
                    <w:rPr>
                      <w:rFonts w:hint="eastAsia"/>
                      <w:b w:val="0"/>
                    </w:rPr>
                  </w:pPr>
                  <w:r>
                    <w:rPr>
                      <w:rFonts w:hint="eastAsia"/>
                      <w:b w:val="0"/>
                      <w:lang w:val="en-US" w:eastAsia="zh-CN"/>
                    </w:rPr>
                    <w:t>排放口</w:t>
                  </w:r>
                </w:p>
              </w:tc>
              <w:tc>
                <w:tcPr>
                  <w:tcW w:w="776" w:type="dxa"/>
                  <w:vMerge w:val="restart"/>
                  <w:tcBorders>
                    <w:top w:val="single" w:color="000000" w:sz="12" w:space="0"/>
                    <w:right w:val="nil"/>
                  </w:tcBorders>
                  <w:shd w:val="clear" w:color="auto" w:fill="auto"/>
                  <w:noWrap/>
                  <w:vAlign w:val="center"/>
                </w:tcPr>
                <w:p>
                  <w:pPr>
                    <w:pStyle w:val="53"/>
                    <w:bidi w:val="0"/>
                    <w:rPr>
                      <w:rFonts w:hint="eastAsia"/>
                      <w:b w:val="0"/>
                    </w:rPr>
                  </w:pPr>
                  <w:r>
                    <w:rPr>
                      <w:rFonts w:hint="eastAsia"/>
                      <w:b w:val="0"/>
                      <w:lang w:val="en-US" w:eastAsia="zh-CN"/>
                    </w:rPr>
                    <w:t>排放时间（</w:t>
                  </w:r>
                  <w:r>
                    <w:rPr>
                      <w:rFonts w:hint="default"/>
                      <w:b w:val="0"/>
                      <w:lang w:val="en-US" w:eastAsia="zh-CN"/>
                    </w:rPr>
                    <w:t>h</w:t>
                  </w:r>
                  <w:r>
                    <w:rPr>
                      <w:rFonts w:hint="eastAsia"/>
                      <w:b w:val="0"/>
                      <w:lang w:val="en-US"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trPr>
              <w:tc>
                <w:tcPr>
                  <w:tcW w:w="427" w:type="dxa"/>
                  <w:vMerge w:val="continue"/>
                  <w:tcBorders>
                    <w:left w:val="nil"/>
                  </w:tcBorders>
                  <w:shd w:val="clear" w:color="auto" w:fill="auto"/>
                  <w:vAlign w:val="center"/>
                </w:tcPr>
                <w:p>
                  <w:pPr>
                    <w:pStyle w:val="53"/>
                    <w:bidi w:val="0"/>
                    <w:rPr>
                      <w:rFonts w:hint="eastAsia"/>
                      <w:b w:val="0"/>
                    </w:rPr>
                  </w:pPr>
                </w:p>
              </w:tc>
              <w:tc>
                <w:tcPr>
                  <w:tcW w:w="853" w:type="dxa"/>
                  <w:gridSpan w:val="2"/>
                  <w:vMerge w:val="continue"/>
                  <w:shd w:val="clear" w:color="auto" w:fill="auto"/>
                  <w:vAlign w:val="center"/>
                </w:tcPr>
                <w:p>
                  <w:pPr>
                    <w:pStyle w:val="53"/>
                    <w:bidi w:val="0"/>
                    <w:rPr>
                      <w:rFonts w:hint="eastAsia"/>
                      <w:b w:val="0"/>
                    </w:rPr>
                  </w:pPr>
                </w:p>
              </w:tc>
              <w:tc>
                <w:tcPr>
                  <w:tcW w:w="584" w:type="dxa"/>
                  <w:vMerge w:val="continue"/>
                  <w:shd w:val="clear" w:color="auto" w:fill="auto"/>
                  <w:vAlign w:val="center"/>
                </w:tcPr>
                <w:p>
                  <w:pPr>
                    <w:pStyle w:val="53"/>
                    <w:bidi w:val="0"/>
                    <w:rPr>
                      <w:rFonts w:hint="eastAsia"/>
                      <w:b w:val="0"/>
                    </w:rPr>
                  </w:pPr>
                </w:p>
              </w:tc>
              <w:tc>
                <w:tcPr>
                  <w:tcW w:w="795" w:type="dxa"/>
                  <w:vMerge w:val="continue"/>
                  <w:shd w:val="clear" w:color="auto" w:fill="auto"/>
                  <w:vAlign w:val="center"/>
                </w:tcPr>
                <w:p>
                  <w:pPr>
                    <w:pStyle w:val="53"/>
                    <w:bidi w:val="0"/>
                    <w:rPr>
                      <w:rFonts w:hint="eastAsia"/>
                      <w:b w:val="0"/>
                    </w:rPr>
                  </w:pPr>
                </w:p>
              </w:tc>
              <w:tc>
                <w:tcPr>
                  <w:tcW w:w="752" w:type="dxa"/>
                  <w:shd w:val="clear" w:color="auto" w:fill="auto"/>
                  <w:vAlign w:val="center"/>
                </w:tcPr>
                <w:p>
                  <w:pPr>
                    <w:pStyle w:val="53"/>
                    <w:bidi w:val="0"/>
                    <w:rPr>
                      <w:rFonts w:hint="eastAsia"/>
                      <w:b w:val="0"/>
                    </w:rPr>
                  </w:pPr>
                  <w:r>
                    <w:rPr>
                      <w:rFonts w:hint="eastAsia"/>
                      <w:b w:val="0"/>
                      <w:lang w:val="en-US" w:eastAsia="zh-CN"/>
                    </w:rPr>
                    <w:t>废气量（</w:t>
                  </w:r>
                  <w:r>
                    <w:rPr>
                      <w:rFonts w:hint="default"/>
                      <w:b w:val="0"/>
                      <w:lang w:val="en-US" w:eastAsia="zh-CN"/>
                    </w:rPr>
                    <w:t>m</w:t>
                  </w:r>
                  <w:r>
                    <w:rPr>
                      <w:rFonts w:hint="default"/>
                      <w:b w:val="0"/>
                      <w:vertAlign w:val="superscript"/>
                      <w:lang w:val="en-US" w:eastAsia="zh-CN"/>
                    </w:rPr>
                    <w:t>3</w:t>
                  </w:r>
                  <w:r>
                    <w:rPr>
                      <w:rFonts w:hint="default"/>
                      <w:b w:val="0"/>
                      <w:lang w:val="en-US" w:eastAsia="zh-CN"/>
                    </w:rPr>
                    <w:t>/h</w:t>
                  </w:r>
                  <w:r>
                    <w:rPr>
                      <w:rFonts w:hint="eastAsia"/>
                      <w:b w:val="0"/>
                      <w:lang w:val="en-US" w:eastAsia="zh-CN"/>
                    </w:rPr>
                    <w:t>）</w:t>
                  </w:r>
                </w:p>
              </w:tc>
              <w:tc>
                <w:tcPr>
                  <w:tcW w:w="914" w:type="dxa"/>
                  <w:shd w:val="clear" w:color="auto" w:fill="auto"/>
                  <w:vAlign w:val="center"/>
                </w:tcPr>
                <w:p>
                  <w:pPr>
                    <w:pStyle w:val="53"/>
                    <w:bidi w:val="0"/>
                    <w:rPr>
                      <w:rFonts w:hint="eastAsia"/>
                      <w:b w:val="0"/>
                    </w:rPr>
                  </w:pPr>
                  <w:r>
                    <w:rPr>
                      <w:rFonts w:hint="eastAsia"/>
                      <w:b w:val="0"/>
                      <w:lang w:val="en-US" w:eastAsia="zh-CN"/>
                    </w:rPr>
                    <w:t>浓度（</w:t>
                  </w:r>
                  <w:r>
                    <w:rPr>
                      <w:rFonts w:hint="default"/>
                      <w:b w:val="0"/>
                      <w:lang w:val="en-US" w:eastAsia="zh-CN"/>
                    </w:rPr>
                    <w:t>mg/m</w:t>
                  </w:r>
                  <w:r>
                    <w:rPr>
                      <w:rFonts w:hint="default"/>
                      <w:b w:val="0"/>
                      <w:vertAlign w:val="superscript"/>
                      <w:lang w:val="en-US" w:eastAsia="zh-CN"/>
                    </w:rPr>
                    <w:t>3</w:t>
                  </w:r>
                  <w:r>
                    <w:rPr>
                      <w:rFonts w:hint="eastAsia"/>
                      <w:b w:val="0"/>
                      <w:lang w:val="en-US" w:eastAsia="zh-CN"/>
                    </w:rPr>
                    <w:t>）</w:t>
                  </w:r>
                </w:p>
              </w:tc>
              <w:tc>
                <w:tcPr>
                  <w:tcW w:w="689" w:type="dxa"/>
                  <w:shd w:val="clear" w:color="auto" w:fill="auto"/>
                  <w:vAlign w:val="center"/>
                </w:tcPr>
                <w:p>
                  <w:pPr>
                    <w:pStyle w:val="53"/>
                    <w:bidi w:val="0"/>
                    <w:rPr>
                      <w:rFonts w:hint="eastAsia"/>
                      <w:b w:val="0"/>
                    </w:rPr>
                  </w:pPr>
                  <w:r>
                    <w:rPr>
                      <w:rFonts w:hint="eastAsia"/>
                      <w:b w:val="0"/>
                      <w:lang w:val="en-US" w:eastAsia="zh-CN"/>
                    </w:rPr>
                    <w:t>产生量（</w:t>
                  </w:r>
                  <w:r>
                    <w:rPr>
                      <w:rFonts w:hint="default"/>
                      <w:b w:val="0"/>
                      <w:lang w:val="en-US" w:eastAsia="zh-CN"/>
                    </w:rPr>
                    <w:t>t/a</w:t>
                  </w:r>
                  <w:r>
                    <w:rPr>
                      <w:rFonts w:hint="eastAsia"/>
                      <w:b w:val="0"/>
                      <w:lang w:val="en-US" w:eastAsia="zh-CN"/>
                    </w:rPr>
                    <w:t>）</w:t>
                  </w:r>
                </w:p>
              </w:tc>
              <w:tc>
                <w:tcPr>
                  <w:tcW w:w="898" w:type="dxa"/>
                  <w:shd w:val="clear" w:color="auto" w:fill="auto"/>
                  <w:vAlign w:val="center"/>
                </w:tcPr>
                <w:p>
                  <w:pPr>
                    <w:pStyle w:val="53"/>
                    <w:bidi w:val="0"/>
                    <w:rPr>
                      <w:rFonts w:hint="eastAsia"/>
                      <w:b w:val="0"/>
                    </w:rPr>
                  </w:pPr>
                  <w:r>
                    <w:rPr>
                      <w:rFonts w:hint="eastAsia"/>
                      <w:b w:val="0"/>
                      <w:lang w:val="en-US" w:eastAsia="zh-CN"/>
                    </w:rPr>
                    <w:t>工艺</w:t>
                  </w:r>
                </w:p>
              </w:tc>
              <w:tc>
                <w:tcPr>
                  <w:tcW w:w="640" w:type="dxa"/>
                  <w:shd w:val="clear" w:color="auto" w:fill="auto"/>
                  <w:vAlign w:val="center"/>
                </w:tcPr>
                <w:p>
                  <w:pPr>
                    <w:pStyle w:val="53"/>
                    <w:bidi w:val="0"/>
                    <w:rPr>
                      <w:rFonts w:hint="eastAsia"/>
                      <w:b w:val="0"/>
                    </w:rPr>
                  </w:pPr>
                  <w:r>
                    <w:rPr>
                      <w:rFonts w:hint="eastAsia"/>
                      <w:b w:val="0"/>
                      <w:lang w:val="en-US" w:eastAsia="zh-CN"/>
                    </w:rPr>
                    <w:t>收集效率</w:t>
                  </w:r>
                </w:p>
              </w:tc>
              <w:tc>
                <w:tcPr>
                  <w:tcW w:w="805" w:type="dxa"/>
                  <w:shd w:val="clear" w:color="auto" w:fill="auto"/>
                  <w:vAlign w:val="center"/>
                </w:tcPr>
                <w:p>
                  <w:pPr>
                    <w:pStyle w:val="53"/>
                    <w:bidi w:val="0"/>
                    <w:rPr>
                      <w:rFonts w:hint="eastAsia"/>
                      <w:b w:val="0"/>
                    </w:rPr>
                  </w:pPr>
                  <w:r>
                    <w:rPr>
                      <w:rFonts w:hint="eastAsia"/>
                      <w:b w:val="0"/>
                      <w:lang w:val="en-US" w:eastAsia="zh-CN"/>
                    </w:rPr>
                    <w:t>工艺去除率</w:t>
                  </w:r>
                </w:p>
              </w:tc>
              <w:tc>
                <w:tcPr>
                  <w:tcW w:w="1104" w:type="dxa"/>
                  <w:shd w:val="clear" w:color="auto" w:fill="auto"/>
                  <w:vAlign w:val="center"/>
                </w:tcPr>
                <w:p>
                  <w:pPr>
                    <w:pStyle w:val="53"/>
                    <w:bidi w:val="0"/>
                    <w:rPr>
                      <w:rFonts w:hint="eastAsia"/>
                      <w:b w:val="0"/>
                    </w:rPr>
                  </w:pPr>
                  <w:r>
                    <w:rPr>
                      <w:rFonts w:hint="eastAsia"/>
                      <w:b w:val="0"/>
                      <w:lang w:val="en-US" w:eastAsia="zh-CN"/>
                    </w:rPr>
                    <w:t>排放浓度（</w:t>
                  </w:r>
                  <w:r>
                    <w:rPr>
                      <w:rFonts w:hint="default"/>
                      <w:b w:val="0"/>
                      <w:lang w:val="en-US" w:eastAsia="zh-CN"/>
                    </w:rPr>
                    <w:t>mg/m</w:t>
                  </w:r>
                  <w:r>
                    <w:rPr>
                      <w:rFonts w:hint="default"/>
                      <w:b w:val="0"/>
                      <w:vertAlign w:val="superscript"/>
                      <w:lang w:val="en-US" w:eastAsia="zh-CN"/>
                    </w:rPr>
                    <w:t>3</w:t>
                  </w:r>
                  <w:r>
                    <w:rPr>
                      <w:rFonts w:hint="eastAsia"/>
                      <w:b w:val="0"/>
                      <w:lang w:val="en-US" w:eastAsia="zh-CN"/>
                    </w:rPr>
                    <w:t>）</w:t>
                  </w:r>
                </w:p>
              </w:tc>
              <w:tc>
                <w:tcPr>
                  <w:tcW w:w="832" w:type="dxa"/>
                  <w:shd w:val="clear" w:color="auto" w:fill="auto"/>
                  <w:vAlign w:val="center"/>
                </w:tcPr>
                <w:p>
                  <w:pPr>
                    <w:pStyle w:val="53"/>
                    <w:bidi w:val="0"/>
                    <w:rPr>
                      <w:rFonts w:hint="eastAsia"/>
                      <w:b w:val="0"/>
                    </w:rPr>
                  </w:pPr>
                  <w:r>
                    <w:rPr>
                      <w:rFonts w:hint="eastAsia"/>
                      <w:b w:val="0"/>
                      <w:lang w:val="en-US" w:eastAsia="zh-CN"/>
                    </w:rPr>
                    <w:t>排放速率（</w:t>
                  </w:r>
                  <w:r>
                    <w:rPr>
                      <w:rFonts w:hint="default"/>
                      <w:b w:val="0"/>
                      <w:lang w:val="en-US" w:eastAsia="zh-CN"/>
                    </w:rPr>
                    <w:t>kg/h</w:t>
                  </w:r>
                  <w:r>
                    <w:rPr>
                      <w:rFonts w:hint="eastAsia"/>
                      <w:b w:val="0"/>
                      <w:lang w:val="en-US" w:eastAsia="zh-CN"/>
                    </w:rPr>
                    <w:t>）</w:t>
                  </w:r>
                </w:p>
              </w:tc>
              <w:tc>
                <w:tcPr>
                  <w:tcW w:w="914" w:type="dxa"/>
                  <w:shd w:val="clear" w:color="auto" w:fill="auto"/>
                  <w:vAlign w:val="center"/>
                </w:tcPr>
                <w:p>
                  <w:pPr>
                    <w:pStyle w:val="53"/>
                    <w:bidi w:val="0"/>
                    <w:rPr>
                      <w:rFonts w:hint="eastAsia"/>
                      <w:b w:val="0"/>
                    </w:rPr>
                  </w:pPr>
                  <w:r>
                    <w:rPr>
                      <w:rFonts w:hint="eastAsia"/>
                      <w:b w:val="0"/>
                      <w:lang w:val="en-US" w:eastAsia="zh-CN"/>
                    </w:rPr>
                    <w:t>排放量（</w:t>
                  </w:r>
                  <w:r>
                    <w:rPr>
                      <w:rFonts w:hint="default"/>
                      <w:b w:val="0"/>
                      <w:lang w:val="en-US" w:eastAsia="zh-CN"/>
                    </w:rPr>
                    <w:t>t/a</w:t>
                  </w:r>
                  <w:r>
                    <w:rPr>
                      <w:rFonts w:hint="eastAsia"/>
                      <w:b w:val="0"/>
                      <w:lang w:val="en-US" w:eastAsia="zh-CN"/>
                    </w:rPr>
                    <w:t>）</w:t>
                  </w:r>
                </w:p>
              </w:tc>
              <w:tc>
                <w:tcPr>
                  <w:tcW w:w="845" w:type="dxa"/>
                  <w:shd w:val="clear" w:color="auto" w:fill="auto"/>
                  <w:noWrap/>
                  <w:vAlign w:val="center"/>
                </w:tcPr>
                <w:p>
                  <w:pPr>
                    <w:pStyle w:val="53"/>
                    <w:bidi w:val="0"/>
                    <w:rPr>
                      <w:rFonts w:hint="default"/>
                      <w:b w:val="0"/>
                    </w:rPr>
                  </w:pPr>
                  <w:r>
                    <w:rPr>
                      <w:rFonts w:hint="default"/>
                      <w:b w:val="0"/>
                      <w:lang w:val="en-US" w:eastAsia="zh-CN"/>
                    </w:rPr>
                    <w:t>编号</w:t>
                  </w:r>
                </w:p>
              </w:tc>
              <w:tc>
                <w:tcPr>
                  <w:tcW w:w="655" w:type="dxa"/>
                  <w:shd w:val="clear" w:color="auto" w:fill="auto"/>
                  <w:noWrap/>
                  <w:vAlign w:val="center"/>
                </w:tcPr>
                <w:p>
                  <w:pPr>
                    <w:pStyle w:val="53"/>
                    <w:bidi w:val="0"/>
                    <w:rPr>
                      <w:rFonts w:hint="default"/>
                      <w:b w:val="0"/>
                    </w:rPr>
                  </w:pPr>
                  <w:r>
                    <w:rPr>
                      <w:rFonts w:hint="default"/>
                      <w:b w:val="0"/>
                      <w:lang w:val="en-US" w:eastAsia="zh-CN"/>
                    </w:rPr>
                    <w:t>高度</w:t>
                  </w:r>
                </w:p>
              </w:tc>
              <w:tc>
                <w:tcPr>
                  <w:tcW w:w="776" w:type="dxa"/>
                  <w:vMerge w:val="continue"/>
                  <w:tcBorders>
                    <w:right w:val="nil"/>
                  </w:tcBorders>
                  <w:shd w:val="clear" w:color="auto" w:fill="auto"/>
                  <w:noWrap/>
                  <w:vAlign w:val="center"/>
                </w:tcPr>
                <w:p>
                  <w:pPr>
                    <w:pStyle w:val="53"/>
                    <w:bidi w:val="0"/>
                    <w:rPr>
                      <w:rFonts w:hint="eastAsia"/>
                      <w:b w:val="0"/>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427" w:type="dxa"/>
                  <w:vMerge w:val="restart"/>
                  <w:tcBorders>
                    <w:left w:val="nil"/>
                  </w:tcBorders>
                  <w:shd w:val="clear" w:color="auto" w:fill="auto"/>
                  <w:vAlign w:val="center"/>
                </w:tcPr>
                <w:p>
                  <w:pPr>
                    <w:pStyle w:val="53"/>
                    <w:bidi w:val="0"/>
                    <w:rPr>
                      <w:rFonts w:hint="eastAsia"/>
                      <w:b w:val="0"/>
                    </w:rPr>
                  </w:pPr>
                  <w:r>
                    <w:rPr>
                      <w:rFonts w:hint="eastAsia"/>
                      <w:b w:val="0"/>
                      <w:lang w:val="en-US" w:eastAsia="zh-CN"/>
                    </w:rPr>
                    <w:t>注塑</w:t>
                  </w:r>
                </w:p>
              </w:tc>
              <w:tc>
                <w:tcPr>
                  <w:tcW w:w="427" w:type="dxa"/>
                  <w:vMerge w:val="restart"/>
                  <w:shd w:val="clear" w:color="auto" w:fill="auto"/>
                  <w:vAlign w:val="center"/>
                </w:tcPr>
                <w:p>
                  <w:pPr>
                    <w:pStyle w:val="53"/>
                    <w:bidi w:val="0"/>
                    <w:rPr>
                      <w:rFonts w:hint="eastAsia"/>
                      <w:b w:val="0"/>
                    </w:rPr>
                  </w:pPr>
                  <w:r>
                    <w:rPr>
                      <w:rFonts w:hint="eastAsia"/>
                      <w:b w:val="0"/>
                      <w:lang w:val="en-US" w:eastAsia="zh-CN"/>
                    </w:rPr>
                    <w:t>非甲烷总烃</w:t>
                  </w:r>
                </w:p>
              </w:tc>
              <w:tc>
                <w:tcPr>
                  <w:tcW w:w="426" w:type="dxa"/>
                  <w:shd w:val="clear" w:color="auto" w:fill="auto"/>
                  <w:vAlign w:val="center"/>
                </w:tcPr>
                <w:p>
                  <w:pPr>
                    <w:pStyle w:val="53"/>
                    <w:bidi w:val="0"/>
                    <w:rPr>
                      <w:rFonts w:hint="eastAsia"/>
                      <w:b w:val="0"/>
                    </w:rPr>
                  </w:pPr>
                  <w:r>
                    <w:rPr>
                      <w:rFonts w:hint="eastAsia"/>
                      <w:b w:val="0"/>
                      <w:lang w:val="en-US" w:eastAsia="zh-CN"/>
                    </w:rPr>
                    <w:t>有组织</w:t>
                  </w:r>
                </w:p>
              </w:tc>
              <w:tc>
                <w:tcPr>
                  <w:tcW w:w="584" w:type="dxa"/>
                  <w:vMerge w:val="restart"/>
                  <w:shd w:val="clear" w:color="auto" w:fill="auto"/>
                  <w:vAlign w:val="center"/>
                </w:tcPr>
                <w:p>
                  <w:pPr>
                    <w:pStyle w:val="53"/>
                    <w:bidi w:val="0"/>
                    <w:rPr>
                      <w:rFonts w:hint="default"/>
                      <w:b w:val="0"/>
                    </w:rPr>
                  </w:pPr>
                  <w:r>
                    <w:rPr>
                      <w:rFonts w:hint="default"/>
                      <w:b w:val="0"/>
                      <w:lang w:val="en-US" w:eastAsia="zh-CN"/>
                    </w:rPr>
                    <w:t>1.08</w:t>
                  </w:r>
                </w:p>
              </w:tc>
              <w:tc>
                <w:tcPr>
                  <w:tcW w:w="795" w:type="dxa"/>
                  <w:vMerge w:val="restart"/>
                  <w:shd w:val="clear" w:color="auto" w:fill="auto"/>
                  <w:noWrap/>
                  <w:vAlign w:val="center"/>
                </w:tcPr>
                <w:p>
                  <w:pPr>
                    <w:pStyle w:val="53"/>
                    <w:bidi w:val="0"/>
                    <w:rPr>
                      <w:rFonts w:hint="default"/>
                      <w:b w:val="0"/>
                    </w:rPr>
                  </w:pPr>
                  <w:r>
                    <w:rPr>
                      <w:rFonts w:hint="default"/>
                      <w:b w:val="0"/>
                      <w:lang w:val="en-US" w:eastAsia="zh-CN"/>
                    </w:rPr>
                    <w:t>0.45</w:t>
                  </w:r>
                </w:p>
              </w:tc>
              <w:tc>
                <w:tcPr>
                  <w:tcW w:w="752" w:type="dxa"/>
                  <w:shd w:val="clear" w:color="auto" w:fill="auto"/>
                  <w:vAlign w:val="center"/>
                </w:tcPr>
                <w:p>
                  <w:pPr>
                    <w:pStyle w:val="53"/>
                    <w:bidi w:val="0"/>
                    <w:rPr>
                      <w:rFonts w:hint="default"/>
                      <w:b w:val="0"/>
                    </w:rPr>
                  </w:pPr>
                  <w:r>
                    <w:rPr>
                      <w:rFonts w:hint="default"/>
                      <w:b w:val="0"/>
                      <w:lang w:val="en-US" w:eastAsia="zh-CN"/>
                    </w:rPr>
                    <w:t>10000</w:t>
                  </w:r>
                </w:p>
              </w:tc>
              <w:tc>
                <w:tcPr>
                  <w:tcW w:w="914" w:type="dxa"/>
                  <w:shd w:val="clear" w:color="auto" w:fill="auto"/>
                  <w:vAlign w:val="center"/>
                </w:tcPr>
                <w:p>
                  <w:pPr>
                    <w:pStyle w:val="53"/>
                    <w:bidi w:val="0"/>
                    <w:rPr>
                      <w:rFonts w:hint="default"/>
                      <w:b w:val="0"/>
                    </w:rPr>
                  </w:pPr>
                  <w:r>
                    <w:rPr>
                      <w:rFonts w:hint="default"/>
                      <w:b w:val="0"/>
                      <w:lang w:val="en-US" w:eastAsia="zh-CN"/>
                    </w:rPr>
                    <w:t>40.5</w:t>
                  </w:r>
                </w:p>
              </w:tc>
              <w:tc>
                <w:tcPr>
                  <w:tcW w:w="689" w:type="dxa"/>
                  <w:shd w:val="clear" w:color="auto" w:fill="auto"/>
                  <w:vAlign w:val="center"/>
                </w:tcPr>
                <w:p>
                  <w:pPr>
                    <w:pStyle w:val="53"/>
                    <w:bidi w:val="0"/>
                    <w:rPr>
                      <w:rFonts w:hint="default"/>
                      <w:b w:val="0"/>
                    </w:rPr>
                  </w:pPr>
                  <w:r>
                    <w:rPr>
                      <w:rFonts w:hint="default"/>
                      <w:b w:val="0"/>
                      <w:lang w:val="en-US" w:eastAsia="zh-CN"/>
                    </w:rPr>
                    <w:t>0.972</w:t>
                  </w:r>
                </w:p>
              </w:tc>
              <w:tc>
                <w:tcPr>
                  <w:tcW w:w="898" w:type="dxa"/>
                  <w:vMerge w:val="restart"/>
                  <w:shd w:val="clear" w:color="auto" w:fill="auto"/>
                  <w:vAlign w:val="center"/>
                </w:tcPr>
                <w:p>
                  <w:pPr>
                    <w:pStyle w:val="53"/>
                    <w:bidi w:val="0"/>
                    <w:rPr>
                      <w:rFonts w:hint="eastAsia"/>
                      <w:b w:val="0"/>
                    </w:rPr>
                  </w:pPr>
                  <w:r>
                    <w:rPr>
                      <w:rFonts w:hint="eastAsia"/>
                      <w:b w:val="0"/>
                      <w:lang w:val="en-US" w:eastAsia="zh-CN"/>
                    </w:rPr>
                    <w:t>二级活性炭吸附装置</w:t>
                  </w:r>
                  <w:r>
                    <w:rPr>
                      <w:rFonts w:hint="default"/>
                      <w:b w:val="0"/>
                      <w:lang w:val="en-US" w:eastAsia="zh-CN"/>
                    </w:rPr>
                    <w:t>+25m</w:t>
                  </w:r>
                  <w:r>
                    <w:rPr>
                      <w:rFonts w:hint="eastAsia"/>
                      <w:b w:val="0"/>
                      <w:lang w:val="en-US" w:eastAsia="zh-CN"/>
                    </w:rPr>
                    <w:t>高排气筒</w:t>
                  </w:r>
                </w:p>
              </w:tc>
              <w:tc>
                <w:tcPr>
                  <w:tcW w:w="640" w:type="dxa"/>
                  <w:shd w:val="clear" w:color="auto" w:fill="auto"/>
                  <w:vAlign w:val="center"/>
                </w:tcPr>
                <w:p>
                  <w:pPr>
                    <w:pStyle w:val="53"/>
                    <w:bidi w:val="0"/>
                    <w:rPr>
                      <w:rFonts w:hint="default"/>
                      <w:b w:val="0"/>
                    </w:rPr>
                  </w:pPr>
                  <w:r>
                    <w:rPr>
                      <w:rFonts w:hint="default"/>
                      <w:b w:val="0"/>
                      <w:lang w:val="en-US" w:eastAsia="zh-CN"/>
                    </w:rPr>
                    <w:t>90%</w:t>
                  </w:r>
                </w:p>
              </w:tc>
              <w:tc>
                <w:tcPr>
                  <w:tcW w:w="805" w:type="dxa"/>
                  <w:shd w:val="clear" w:color="auto" w:fill="auto"/>
                  <w:vAlign w:val="center"/>
                </w:tcPr>
                <w:p>
                  <w:pPr>
                    <w:pStyle w:val="53"/>
                    <w:bidi w:val="0"/>
                    <w:rPr>
                      <w:rFonts w:hint="default"/>
                      <w:b w:val="0"/>
                    </w:rPr>
                  </w:pPr>
                  <w:r>
                    <w:rPr>
                      <w:rFonts w:hint="default"/>
                      <w:b w:val="0"/>
                      <w:lang w:val="en-US" w:eastAsia="zh-CN"/>
                    </w:rPr>
                    <w:t>84%</w:t>
                  </w:r>
                </w:p>
              </w:tc>
              <w:tc>
                <w:tcPr>
                  <w:tcW w:w="1104" w:type="dxa"/>
                  <w:shd w:val="clear" w:color="auto" w:fill="auto"/>
                  <w:vAlign w:val="center"/>
                </w:tcPr>
                <w:p>
                  <w:pPr>
                    <w:pStyle w:val="53"/>
                    <w:bidi w:val="0"/>
                    <w:rPr>
                      <w:rFonts w:hint="default"/>
                      <w:b w:val="0"/>
                    </w:rPr>
                  </w:pPr>
                  <w:r>
                    <w:rPr>
                      <w:rFonts w:hint="default"/>
                      <w:b w:val="0"/>
                      <w:lang w:val="en-US" w:eastAsia="zh-CN"/>
                    </w:rPr>
                    <w:t>6.4792</w:t>
                  </w:r>
                </w:p>
              </w:tc>
              <w:tc>
                <w:tcPr>
                  <w:tcW w:w="832" w:type="dxa"/>
                  <w:shd w:val="clear" w:color="auto" w:fill="auto"/>
                  <w:vAlign w:val="center"/>
                </w:tcPr>
                <w:p>
                  <w:pPr>
                    <w:pStyle w:val="53"/>
                    <w:bidi w:val="0"/>
                    <w:rPr>
                      <w:rFonts w:hint="default"/>
                      <w:b w:val="0"/>
                    </w:rPr>
                  </w:pPr>
                  <w:r>
                    <w:rPr>
                      <w:rFonts w:hint="default"/>
                      <w:b w:val="0"/>
                      <w:lang w:val="en-US" w:eastAsia="zh-CN"/>
                    </w:rPr>
                    <w:t>0.0648</w:t>
                  </w:r>
                </w:p>
              </w:tc>
              <w:tc>
                <w:tcPr>
                  <w:tcW w:w="914" w:type="dxa"/>
                  <w:shd w:val="clear" w:color="auto" w:fill="auto"/>
                  <w:vAlign w:val="center"/>
                </w:tcPr>
                <w:p>
                  <w:pPr>
                    <w:pStyle w:val="53"/>
                    <w:bidi w:val="0"/>
                    <w:rPr>
                      <w:rFonts w:hint="default"/>
                      <w:b w:val="0"/>
                    </w:rPr>
                  </w:pPr>
                  <w:r>
                    <w:rPr>
                      <w:rFonts w:hint="default"/>
                      <w:b w:val="0"/>
                      <w:lang w:val="en-US" w:eastAsia="zh-CN"/>
                    </w:rPr>
                    <w:t>0.1555</w:t>
                  </w:r>
                </w:p>
              </w:tc>
              <w:tc>
                <w:tcPr>
                  <w:tcW w:w="845" w:type="dxa"/>
                  <w:shd w:val="clear" w:color="auto" w:fill="auto"/>
                  <w:noWrap/>
                  <w:vAlign w:val="center"/>
                </w:tcPr>
                <w:p>
                  <w:pPr>
                    <w:pStyle w:val="53"/>
                    <w:bidi w:val="0"/>
                    <w:rPr>
                      <w:rFonts w:hint="default"/>
                      <w:b w:val="0"/>
                    </w:rPr>
                  </w:pPr>
                  <w:r>
                    <w:rPr>
                      <w:rFonts w:hint="default"/>
                      <w:b w:val="0"/>
                      <w:lang w:val="en-US" w:eastAsia="zh-CN"/>
                    </w:rPr>
                    <w:t>DA001</w:t>
                  </w:r>
                </w:p>
              </w:tc>
              <w:tc>
                <w:tcPr>
                  <w:tcW w:w="655" w:type="dxa"/>
                  <w:shd w:val="clear" w:color="auto" w:fill="auto"/>
                  <w:noWrap/>
                  <w:vAlign w:val="center"/>
                </w:tcPr>
                <w:p>
                  <w:pPr>
                    <w:pStyle w:val="53"/>
                    <w:bidi w:val="0"/>
                    <w:rPr>
                      <w:rFonts w:hint="default"/>
                      <w:b w:val="0"/>
                    </w:rPr>
                  </w:pPr>
                  <w:r>
                    <w:rPr>
                      <w:rFonts w:hint="default"/>
                      <w:b w:val="0"/>
                      <w:lang w:val="en-US" w:eastAsia="zh-CN"/>
                    </w:rPr>
                    <w:t>25m</w:t>
                  </w:r>
                </w:p>
              </w:tc>
              <w:tc>
                <w:tcPr>
                  <w:tcW w:w="776" w:type="dxa"/>
                  <w:vMerge w:val="restart"/>
                  <w:tcBorders>
                    <w:right w:val="nil"/>
                  </w:tcBorders>
                  <w:shd w:val="clear" w:color="auto" w:fill="auto"/>
                  <w:noWrap/>
                  <w:vAlign w:val="center"/>
                </w:tcPr>
                <w:p>
                  <w:pPr>
                    <w:pStyle w:val="53"/>
                    <w:bidi w:val="0"/>
                    <w:rPr>
                      <w:rFonts w:hint="default"/>
                      <w:b w:val="0"/>
                    </w:rPr>
                  </w:pPr>
                  <w:r>
                    <w:rPr>
                      <w:rFonts w:hint="default"/>
                      <w:b w:val="0"/>
                      <w:lang w:val="en-US" w:eastAsia="zh-CN"/>
                    </w:rPr>
                    <w:t>2400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427" w:type="dxa"/>
                  <w:vMerge w:val="continue"/>
                  <w:tcBorders>
                    <w:left w:val="nil"/>
                  </w:tcBorders>
                  <w:shd w:val="clear" w:color="auto" w:fill="auto"/>
                  <w:vAlign w:val="center"/>
                </w:tcPr>
                <w:p>
                  <w:pPr>
                    <w:pStyle w:val="53"/>
                    <w:bidi w:val="0"/>
                    <w:rPr>
                      <w:rFonts w:hint="eastAsia"/>
                      <w:b w:val="0"/>
                    </w:rPr>
                  </w:pPr>
                </w:p>
              </w:tc>
              <w:tc>
                <w:tcPr>
                  <w:tcW w:w="427" w:type="dxa"/>
                  <w:vMerge w:val="continue"/>
                  <w:shd w:val="clear" w:color="auto" w:fill="auto"/>
                  <w:vAlign w:val="center"/>
                </w:tcPr>
                <w:p>
                  <w:pPr>
                    <w:pStyle w:val="53"/>
                    <w:bidi w:val="0"/>
                    <w:rPr>
                      <w:rFonts w:hint="eastAsia"/>
                      <w:b w:val="0"/>
                    </w:rPr>
                  </w:pPr>
                </w:p>
              </w:tc>
              <w:tc>
                <w:tcPr>
                  <w:tcW w:w="426" w:type="dxa"/>
                  <w:shd w:val="clear" w:color="auto" w:fill="auto"/>
                  <w:vAlign w:val="center"/>
                </w:tcPr>
                <w:p>
                  <w:pPr>
                    <w:pStyle w:val="53"/>
                    <w:bidi w:val="0"/>
                    <w:rPr>
                      <w:rFonts w:hint="eastAsia"/>
                      <w:b w:val="0"/>
                    </w:rPr>
                  </w:pPr>
                  <w:r>
                    <w:rPr>
                      <w:rFonts w:hint="eastAsia"/>
                      <w:b w:val="0"/>
                      <w:lang w:val="en-US" w:eastAsia="zh-CN"/>
                    </w:rPr>
                    <w:t>无组织</w:t>
                  </w:r>
                </w:p>
              </w:tc>
              <w:tc>
                <w:tcPr>
                  <w:tcW w:w="584" w:type="dxa"/>
                  <w:vMerge w:val="continue"/>
                  <w:shd w:val="clear" w:color="auto" w:fill="auto"/>
                  <w:vAlign w:val="center"/>
                </w:tcPr>
                <w:p>
                  <w:pPr>
                    <w:pStyle w:val="53"/>
                    <w:bidi w:val="0"/>
                    <w:rPr>
                      <w:rFonts w:hint="default"/>
                      <w:b w:val="0"/>
                    </w:rPr>
                  </w:pPr>
                </w:p>
              </w:tc>
              <w:tc>
                <w:tcPr>
                  <w:tcW w:w="795" w:type="dxa"/>
                  <w:vMerge w:val="continue"/>
                  <w:shd w:val="clear" w:color="auto" w:fill="auto"/>
                  <w:noWrap/>
                  <w:vAlign w:val="center"/>
                </w:tcPr>
                <w:p>
                  <w:pPr>
                    <w:pStyle w:val="53"/>
                    <w:bidi w:val="0"/>
                    <w:rPr>
                      <w:rFonts w:hint="default"/>
                      <w:b w:val="0"/>
                    </w:rPr>
                  </w:pPr>
                </w:p>
              </w:tc>
              <w:tc>
                <w:tcPr>
                  <w:tcW w:w="752" w:type="dxa"/>
                  <w:shd w:val="clear" w:color="auto" w:fill="auto"/>
                  <w:vAlign w:val="center"/>
                </w:tcPr>
                <w:p>
                  <w:pPr>
                    <w:pStyle w:val="53"/>
                    <w:bidi w:val="0"/>
                    <w:rPr>
                      <w:rFonts w:hint="default"/>
                      <w:b w:val="0"/>
                    </w:rPr>
                  </w:pPr>
                  <w:r>
                    <w:rPr>
                      <w:rFonts w:hint="default"/>
                      <w:b w:val="0"/>
                      <w:lang w:val="en-US" w:eastAsia="zh-CN"/>
                    </w:rPr>
                    <w:t>/</w:t>
                  </w:r>
                </w:p>
              </w:tc>
              <w:tc>
                <w:tcPr>
                  <w:tcW w:w="914" w:type="dxa"/>
                  <w:shd w:val="clear" w:color="auto" w:fill="auto"/>
                  <w:vAlign w:val="center"/>
                </w:tcPr>
                <w:p>
                  <w:pPr>
                    <w:pStyle w:val="53"/>
                    <w:bidi w:val="0"/>
                    <w:rPr>
                      <w:rFonts w:hint="default"/>
                      <w:b w:val="0"/>
                    </w:rPr>
                  </w:pPr>
                  <w:r>
                    <w:rPr>
                      <w:rFonts w:hint="default"/>
                      <w:b w:val="0"/>
                      <w:lang w:val="en-US" w:eastAsia="zh-CN"/>
                    </w:rPr>
                    <w:t>/</w:t>
                  </w:r>
                </w:p>
              </w:tc>
              <w:tc>
                <w:tcPr>
                  <w:tcW w:w="689" w:type="dxa"/>
                  <w:shd w:val="clear" w:color="auto" w:fill="auto"/>
                  <w:vAlign w:val="center"/>
                </w:tcPr>
                <w:p>
                  <w:pPr>
                    <w:pStyle w:val="53"/>
                    <w:bidi w:val="0"/>
                    <w:rPr>
                      <w:rFonts w:hint="default"/>
                      <w:b w:val="0"/>
                    </w:rPr>
                  </w:pPr>
                  <w:r>
                    <w:rPr>
                      <w:rFonts w:hint="default"/>
                      <w:b w:val="0"/>
                      <w:lang w:val="en-US" w:eastAsia="zh-CN"/>
                    </w:rPr>
                    <w:t>0.108</w:t>
                  </w:r>
                </w:p>
              </w:tc>
              <w:tc>
                <w:tcPr>
                  <w:tcW w:w="898" w:type="dxa"/>
                  <w:vMerge w:val="continue"/>
                  <w:shd w:val="clear" w:color="auto" w:fill="auto"/>
                  <w:vAlign w:val="center"/>
                </w:tcPr>
                <w:p>
                  <w:pPr>
                    <w:pStyle w:val="53"/>
                    <w:bidi w:val="0"/>
                    <w:rPr>
                      <w:rFonts w:hint="eastAsia"/>
                      <w:b w:val="0"/>
                    </w:rPr>
                  </w:pPr>
                </w:p>
              </w:tc>
              <w:tc>
                <w:tcPr>
                  <w:tcW w:w="640" w:type="dxa"/>
                  <w:shd w:val="clear" w:color="auto" w:fill="auto"/>
                  <w:vAlign w:val="center"/>
                </w:tcPr>
                <w:p>
                  <w:pPr>
                    <w:pStyle w:val="53"/>
                    <w:bidi w:val="0"/>
                    <w:rPr>
                      <w:rFonts w:hint="default"/>
                      <w:b w:val="0"/>
                    </w:rPr>
                  </w:pPr>
                  <w:r>
                    <w:rPr>
                      <w:rFonts w:hint="default"/>
                      <w:b w:val="0"/>
                      <w:lang w:val="en-US" w:eastAsia="zh-CN"/>
                    </w:rPr>
                    <w:t>/</w:t>
                  </w:r>
                </w:p>
              </w:tc>
              <w:tc>
                <w:tcPr>
                  <w:tcW w:w="805" w:type="dxa"/>
                  <w:shd w:val="clear" w:color="auto" w:fill="auto"/>
                  <w:vAlign w:val="center"/>
                </w:tcPr>
                <w:p>
                  <w:pPr>
                    <w:pStyle w:val="53"/>
                    <w:bidi w:val="0"/>
                    <w:rPr>
                      <w:rFonts w:hint="default"/>
                      <w:b w:val="0"/>
                    </w:rPr>
                  </w:pPr>
                  <w:r>
                    <w:rPr>
                      <w:rFonts w:hint="default"/>
                      <w:b w:val="0"/>
                      <w:lang w:val="en-US" w:eastAsia="zh-CN"/>
                    </w:rPr>
                    <w:t>/</w:t>
                  </w:r>
                </w:p>
              </w:tc>
              <w:tc>
                <w:tcPr>
                  <w:tcW w:w="1104" w:type="dxa"/>
                  <w:shd w:val="clear" w:color="auto" w:fill="auto"/>
                  <w:vAlign w:val="center"/>
                </w:tcPr>
                <w:p>
                  <w:pPr>
                    <w:pStyle w:val="53"/>
                    <w:bidi w:val="0"/>
                    <w:rPr>
                      <w:rFonts w:hint="default"/>
                      <w:b w:val="0"/>
                    </w:rPr>
                  </w:pPr>
                  <w:r>
                    <w:rPr>
                      <w:rFonts w:hint="default"/>
                      <w:b w:val="0"/>
                      <w:lang w:val="en-US" w:eastAsia="zh-CN"/>
                    </w:rPr>
                    <w:t>/</w:t>
                  </w:r>
                </w:p>
              </w:tc>
              <w:tc>
                <w:tcPr>
                  <w:tcW w:w="832" w:type="dxa"/>
                  <w:shd w:val="clear" w:color="auto" w:fill="auto"/>
                  <w:vAlign w:val="center"/>
                </w:tcPr>
                <w:p>
                  <w:pPr>
                    <w:pStyle w:val="53"/>
                    <w:bidi w:val="0"/>
                    <w:rPr>
                      <w:rFonts w:hint="default"/>
                      <w:b w:val="0"/>
                    </w:rPr>
                  </w:pPr>
                  <w:r>
                    <w:rPr>
                      <w:rFonts w:hint="default"/>
                      <w:b w:val="0"/>
                      <w:lang w:val="en-US" w:eastAsia="zh-CN"/>
                    </w:rPr>
                    <w:t>0.045</w:t>
                  </w:r>
                </w:p>
              </w:tc>
              <w:tc>
                <w:tcPr>
                  <w:tcW w:w="914" w:type="dxa"/>
                  <w:shd w:val="clear" w:color="auto" w:fill="auto"/>
                  <w:vAlign w:val="center"/>
                </w:tcPr>
                <w:p>
                  <w:pPr>
                    <w:pStyle w:val="53"/>
                    <w:bidi w:val="0"/>
                    <w:rPr>
                      <w:rFonts w:hint="default"/>
                      <w:b w:val="0"/>
                    </w:rPr>
                  </w:pPr>
                  <w:r>
                    <w:rPr>
                      <w:rFonts w:hint="default"/>
                      <w:b w:val="0"/>
                      <w:lang w:val="en-US" w:eastAsia="zh-CN"/>
                    </w:rPr>
                    <w:t>0.108</w:t>
                  </w:r>
                </w:p>
              </w:tc>
              <w:tc>
                <w:tcPr>
                  <w:tcW w:w="845" w:type="dxa"/>
                  <w:shd w:val="clear" w:color="auto" w:fill="auto"/>
                  <w:noWrap/>
                  <w:vAlign w:val="center"/>
                </w:tcPr>
                <w:p>
                  <w:pPr>
                    <w:pStyle w:val="53"/>
                    <w:bidi w:val="0"/>
                    <w:rPr>
                      <w:rFonts w:hint="default"/>
                      <w:b w:val="0"/>
                    </w:rPr>
                  </w:pPr>
                  <w:r>
                    <w:rPr>
                      <w:rFonts w:hint="default"/>
                      <w:b w:val="0"/>
                      <w:lang w:val="en-US" w:eastAsia="zh-CN"/>
                    </w:rPr>
                    <w:t>/</w:t>
                  </w:r>
                </w:p>
              </w:tc>
              <w:tc>
                <w:tcPr>
                  <w:tcW w:w="655" w:type="dxa"/>
                  <w:shd w:val="clear" w:color="auto" w:fill="auto"/>
                  <w:noWrap/>
                  <w:vAlign w:val="center"/>
                </w:tcPr>
                <w:p>
                  <w:pPr>
                    <w:pStyle w:val="53"/>
                    <w:bidi w:val="0"/>
                    <w:rPr>
                      <w:rFonts w:hint="default"/>
                      <w:b w:val="0"/>
                    </w:rPr>
                  </w:pPr>
                  <w:r>
                    <w:rPr>
                      <w:rFonts w:hint="default"/>
                      <w:b w:val="0"/>
                      <w:lang w:val="en-US" w:eastAsia="zh-CN"/>
                    </w:rPr>
                    <w:t>/</w:t>
                  </w:r>
                </w:p>
              </w:tc>
              <w:tc>
                <w:tcPr>
                  <w:tcW w:w="776" w:type="dxa"/>
                  <w:vMerge w:val="continue"/>
                  <w:tcBorders>
                    <w:right w:val="nil"/>
                  </w:tcBorders>
                  <w:shd w:val="clear" w:color="auto" w:fill="auto"/>
                  <w:noWrap/>
                  <w:vAlign w:val="center"/>
                </w:tcPr>
                <w:p>
                  <w:pPr>
                    <w:pStyle w:val="53"/>
                    <w:bidi w:val="0"/>
                    <w:rPr>
                      <w:rFonts w:hint="default"/>
                      <w:b w:val="0"/>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427" w:type="dxa"/>
                  <w:vMerge w:val="continue"/>
                  <w:tcBorders>
                    <w:left w:val="nil"/>
                  </w:tcBorders>
                  <w:shd w:val="clear" w:color="auto" w:fill="auto"/>
                  <w:vAlign w:val="center"/>
                </w:tcPr>
                <w:p>
                  <w:pPr>
                    <w:pStyle w:val="53"/>
                    <w:bidi w:val="0"/>
                    <w:rPr>
                      <w:rFonts w:hint="eastAsia"/>
                      <w:b w:val="0"/>
                    </w:rPr>
                  </w:pPr>
                </w:p>
              </w:tc>
              <w:tc>
                <w:tcPr>
                  <w:tcW w:w="427" w:type="dxa"/>
                  <w:vMerge w:val="restart"/>
                  <w:shd w:val="clear" w:color="auto" w:fill="auto"/>
                  <w:vAlign w:val="center"/>
                </w:tcPr>
                <w:p>
                  <w:pPr>
                    <w:pStyle w:val="53"/>
                    <w:bidi w:val="0"/>
                    <w:rPr>
                      <w:rFonts w:hint="eastAsia"/>
                      <w:b w:val="0"/>
                    </w:rPr>
                  </w:pPr>
                  <w:r>
                    <w:rPr>
                      <w:rFonts w:hint="eastAsia"/>
                      <w:b w:val="0"/>
                      <w:lang w:val="en-US" w:eastAsia="zh-CN"/>
                    </w:rPr>
                    <w:t>苯乙烯</w:t>
                  </w:r>
                </w:p>
              </w:tc>
              <w:tc>
                <w:tcPr>
                  <w:tcW w:w="426" w:type="dxa"/>
                  <w:shd w:val="clear" w:color="auto" w:fill="auto"/>
                  <w:vAlign w:val="center"/>
                </w:tcPr>
                <w:p>
                  <w:pPr>
                    <w:pStyle w:val="53"/>
                    <w:bidi w:val="0"/>
                    <w:rPr>
                      <w:rFonts w:hint="eastAsia"/>
                      <w:b w:val="0"/>
                    </w:rPr>
                  </w:pPr>
                  <w:r>
                    <w:rPr>
                      <w:rFonts w:hint="eastAsia"/>
                      <w:b w:val="0"/>
                      <w:lang w:val="en-US" w:eastAsia="zh-CN"/>
                    </w:rPr>
                    <w:t>有组织</w:t>
                  </w:r>
                </w:p>
              </w:tc>
              <w:tc>
                <w:tcPr>
                  <w:tcW w:w="584" w:type="dxa"/>
                  <w:vMerge w:val="restart"/>
                  <w:shd w:val="clear" w:color="auto" w:fill="auto"/>
                  <w:vAlign w:val="center"/>
                </w:tcPr>
                <w:p>
                  <w:pPr>
                    <w:pStyle w:val="53"/>
                    <w:bidi w:val="0"/>
                    <w:rPr>
                      <w:rFonts w:hint="default"/>
                      <w:b w:val="0"/>
                    </w:rPr>
                  </w:pPr>
                  <w:r>
                    <w:rPr>
                      <w:rFonts w:hint="default"/>
                      <w:b w:val="0"/>
                      <w:lang w:val="en-US" w:eastAsia="zh-CN"/>
                    </w:rPr>
                    <w:t>0.27</w:t>
                  </w:r>
                </w:p>
              </w:tc>
              <w:tc>
                <w:tcPr>
                  <w:tcW w:w="795" w:type="dxa"/>
                  <w:vMerge w:val="restart"/>
                  <w:shd w:val="clear" w:color="auto" w:fill="auto"/>
                  <w:noWrap/>
                  <w:vAlign w:val="center"/>
                </w:tcPr>
                <w:p>
                  <w:pPr>
                    <w:pStyle w:val="53"/>
                    <w:bidi w:val="0"/>
                    <w:rPr>
                      <w:rFonts w:hint="default"/>
                      <w:b w:val="0"/>
                    </w:rPr>
                  </w:pPr>
                  <w:r>
                    <w:rPr>
                      <w:rFonts w:hint="default"/>
                      <w:b w:val="0"/>
                      <w:lang w:val="en-US" w:eastAsia="zh-CN"/>
                    </w:rPr>
                    <w:t>0.1125</w:t>
                  </w:r>
                </w:p>
              </w:tc>
              <w:tc>
                <w:tcPr>
                  <w:tcW w:w="752" w:type="dxa"/>
                  <w:shd w:val="clear" w:color="auto" w:fill="auto"/>
                  <w:vAlign w:val="center"/>
                </w:tcPr>
                <w:p>
                  <w:pPr>
                    <w:pStyle w:val="53"/>
                    <w:bidi w:val="0"/>
                    <w:rPr>
                      <w:rFonts w:hint="default"/>
                      <w:b w:val="0"/>
                    </w:rPr>
                  </w:pPr>
                  <w:r>
                    <w:rPr>
                      <w:rFonts w:hint="default"/>
                      <w:b w:val="0"/>
                      <w:lang w:val="en-US" w:eastAsia="zh-CN"/>
                    </w:rPr>
                    <w:t>10000</w:t>
                  </w:r>
                </w:p>
              </w:tc>
              <w:tc>
                <w:tcPr>
                  <w:tcW w:w="914" w:type="dxa"/>
                  <w:shd w:val="clear" w:color="auto" w:fill="auto"/>
                  <w:vAlign w:val="center"/>
                </w:tcPr>
                <w:p>
                  <w:pPr>
                    <w:pStyle w:val="53"/>
                    <w:bidi w:val="0"/>
                    <w:rPr>
                      <w:rFonts w:hint="default"/>
                      <w:b w:val="0"/>
                    </w:rPr>
                  </w:pPr>
                  <w:r>
                    <w:rPr>
                      <w:rFonts w:hint="default"/>
                      <w:b w:val="0"/>
                      <w:lang w:val="en-US" w:eastAsia="zh-CN"/>
                    </w:rPr>
                    <w:t>10.125</w:t>
                  </w:r>
                </w:p>
              </w:tc>
              <w:tc>
                <w:tcPr>
                  <w:tcW w:w="689" w:type="dxa"/>
                  <w:shd w:val="clear" w:color="auto" w:fill="auto"/>
                  <w:vAlign w:val="center"/>
                </w:tcPr>
                <w:p>
                  <w:pPr>
                    <w:pStyle w:val="53"/>
                    <w:bidi w:val="0"/>
                    <w:rPr>
                      <w:rFonts w:hint="default"/>
                      <w:b w:val="0"/>
                    </w:rPr>
                  </w:pPr>
                  <w:r>
                    <w:rPr>
                      <w:rFonts w:hint="default"/>
                      <w:b w:val="0"/>
                      <w:lang w:val="en-US" w:eastAsia="zh-CN"/>
                    </w:rPr>
                    <w:t>0.243</w:t>
                  </w:r>
                </w:p>
              </w:tc>
              <w:tc>
                <w:tcPr>
                  <w:tcW w:w="898" w:type="dxa"/>
                  <w:vMerge w:val="continue"/>
                  <w:shd w:val="clear" w:color="auto" w:fill="auto"/>
                  <w:vAlign w:val="center"/>
                </w:tcPr>
                <w:p>
                  <w:pPr>
                    <w:pStyle w:val="53"/>
                    <w:bidi w:val="0"/>
                    <w:rPr>
                      <w:rFonts w:hint="eastAsia"/>
                      <w:b w:val="0"/>
                    </w:rPr>
                  </w:pPr>
                </w:p>
              </w:tc>
              <w:tc>
                <w:tcPr>
                  <w:tcW w:w="640" w:type="dxa"/>
                  <w:shd w:val="clear" w:color="auto" w:fill="auto"/>
                  <w:vAlign w:val="center"/>
                </w:tcPr>
                <w:p>
                  <w:pPr>
                    <w:pStyle w:val="53"/>
                    <w:bidi w:val="0"/>
                    <w:rPr>
                      <w:rFonts w:hint="default"/>
                      <w:b w:val="0"/>
                    </w:rPr>
                  </w:pPr>
                  <w:r>
                    <w:rPr>
                      <w:rFonts w:hint="default"/>
                      <w:b w:val="0"/>
                      <w:lang w:val="en-US" w:eastAsia="zh-CN"/>
                    </w:rPr>
                    <w:t>90%</w:t>
                  </w:r>
                </w:p>
              </w:tc>
              <w:tc>
                <w:tcPr>
                  <w:tcW w:w="805" w:type="dxa"/>
                  <w:shd w:val="clear" w:color="auto" w:fill="auto"/>
                  <w:vAlign w:val="center"/>
                </w:tcPr>
                <w:p>
                  <w:pPr>
                    <w:pStyle w:val="53"/>
                    <w:bidi w:val="0"/>
                    <w:rPr>
                      <w:rFonts w:hint="default"/>
                      <w:b w:val="0"/>
                    </w:rPr>
                  </w:pPr>
                  <w:r>
                    <w:rPr>
                      <w:rFonts w:hint="default"/>
                      <w:b w:val="0"/>
                      <w:lang w:val="en-US" w:eastAsia="zh-CN"/>
                    </w:rPr>
                    <w:t>84%</w:t>
                  </w:r>
                </w:p>
              </w:tc>
              <w:tc>
                <w:tcPr>
                  <w:tcW w:w="1104" w:type="dxa"/>
                  <w:shd w:val="clear" w:color="auto" w:fill="auto"/>
                  <w:vAlign w:val="center"/>
                </w:tcPr>
                <w:p>
                  <w:pPr>
                    <w:pStyle w:val="53"/>
                    <w:bidi w:val="0"/>
                    <w:rPr>
                      <w:rFonts w:hint="default"/>
                      <w:b w:val="0"/>
                    </w:rPr>
                  </w:pPr>
                  <w:r>
                    <w:rPr>
                      <w:rFonts w:hint="default"/>
                      <w:b w:val="0"/>
                      <w:lang w:val="en-US" w:eastAsia="zh-CN"/>
                    </w:rPr>
                    <w:t>1.6208</w:t>
                  </w:r>
                </w:p>
              </w:tc>
              <w:tc>
                <w:tcPr>
                  <w:tcW w:w="832" w:type="dxa"/>
                  <w:shd w:val="clear" w:color="auto" w:fill="auto"/>
                  <w:vAlign w:val="center"/>
                </w:tcPr>
                <w:p>
                  <w:pPr>
                    <w:pStyle w:val="53"/>
                    <w:bidi w:val="0"/>
                    <w:rPr>
                      <w:rFonts w:hint="default"/>
                      <w:b w:val="0"/>
                    </w:rPr>
                  </w:pPr>
                  <w:r>
                    <w:rPr>
                      <w:rFonts w:hint="default"/>
                      <w:b w:val="0"/>
                      <w:lang w:val="en-US" w:eastAsia="zh-CN"/>
                    </w:rPr>
                    <w:t>0.0162</w:t>
                  </w:r>
                </w:p>
              </w:tc>
              <w:tc>
                <w:tcPr>
                  <w:tcW w:w="914" w:type="dxa"/>
                  <w:shd w:val="clear" w:color="auto" w:fill="auto"/>
                  <w:vAlign w:val="center"/>
                </w:tcPr>
                <w:p>
                  <w:pPr>
                    <w:pStyle w:val="53"/>
                    <w:bidi w:val="0"/>
                    <w:rPr>
                      <w:rFonts w:hint="default"/>
                      <w:b w:val="0"/>
                    </w:rPr>
                  </w:pPr>
                  <w:r>
                    <w:rPr>
                      <w:rFonts w:hint="default"/>
                      <w:b w:val="0"/>
                      <w:lang w:val="en-US" w:eastAsia="zh-CN"/>
                    </w:rPr>
                    <w:t>0.0389</w:t>
                  </w:r>
                </w:p>
              </w:tc>
              <w:tc>
                <w:tcPr>
                  <w:tcW w:w="845" w:type="dxa"/>
                  <w:shd w:val="clear" w:color="auto" w:fill="auto"/>
                  <w:noWrap/>
                  <w:vAlign w:val="center"/>
                </w:tcPr>
                <w:p>
                  <w:pPr>
                    <w:pStyle w:val="53"/>
                    <w:bidi w:val="0"/>
                    <w:rPr>
                      <w:rFonts w:hint="default"/>
                      <w:b w:val="0"/>
                    </w:rPr>
                  </w:pPr>
                  <w:r>
                    <w:rPr>
                      <w:rFonts w:hint="default"/>
                      <w:b w:val="0"/>
                      <w:lang w:val="en-US" w:eastAsia="zh-CN"/>
                    </w:rPr>
                    <w:t>DA001</w:t>
                  </w:r>
                </w:p>
              </w:tc>
              <w:tc>
                <w:tcPr>
                  <w:tcW w:w="655" w:type="dxa"/>
                  <w:shd w:val="clear" w:color="auto" w:fill="auto"/>
                  <w:noWrap/>
                  <w:vAlign w:val="center"/>
                </w:tcPr>
                <w:p>
                  <w:pPr>
                    <w:pStyle w:val="53"/>
                    <w:bidi w:val="0"/>
                    <w:rPr>
                      <w:rFonts w:hint="default"/>
                      <w:b w:val="0"/>
                    </w:rPr>
                  </w:pPr>
                  <w:r>
                    <w:rPr>
                      <w:rFonts w:hint="default"/>
                      <w:b w:val="0"/>
                      <w:lang w:val="en-US" w:eastAsia="zh-CN"/>
                    </w:rPr>
                    <w:t>25m</w:t>
                  </w:r>
                </w:p>
              </w:tc>
              <w:tc>
                <w:tcPr>
                  <w:tcW w:w="776" w:type="dxa"/>
                  <w:vMerge w:val="continue"/>
                  <w:tcBorders>
                    <w:right w:val="nil"/>
                  </w:tcBorders>
                  <w:shd w:val="clear" w:color="auto" w:fill="auto"/>
                  <w:noWrap/>
                  <w:vAlign w:val="center"/>
                </w:tcPr>
                <w:p>
                  <w:pPr>
                    <w:pStyle w:val="53"/>
                    <w:bidi w:val="0"/>
                    <w:rPr>
                      <w:rFonts w:hint="default"/>
                      <w:b w:val="0"/>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tcBorders>
                    <w:left w:val="nil"/>
                  </w:tcBorders>
                  <w:shd w:val="clear" w:color="auto" w:fill="auto"/>
                  <w:vAlign w:val="center"/>
                </w:tcPr>
                <w:p>
                  <w:pPr>
                    <w:pStyle w:val="53"/>
                    <w:bidi w:val="0"/>
                    <w:rPr>
                      <w:rFonts w:hint="eastAsia"/>
                      <w:b w:val="0"/>
                    </w:rPr>
                  </w:pPr>
                </w:p>
              </w:tc>
              <w:tc>
                <w:tcPr>
                  <w:tcW w:w="427" w:type="dxa"/>
                  <w:vMerge w:val="continue"/>
                  <w:shd w:val="clear" w:color="auto" w:fill="auto"/>
                  <w:vAlign w:val="center"/>
                </w:tcPr>
                <w:p>
                  <w:pPr>
                    <w:pStyle w:val="53"/>
                    <w:bidi w:val="0"/>
                    <w:rPr>
                      <w:rFonts w:hint="eastAsia"/>
                      <w:b w:val="0"/>
                    </w:rPr>
                  </w:pPr>
                </w:p>
              </w:tc>
              <w:tc>
                <w:tcPr>
                  <w:tcW w:w="426" w:type="dxa"/>
                  <w:shd w:val="clear" w:color="auto" w:fill="auto"/>
                  <w:vAlign w:val="center"/>
                </w:tcPr>
                <w:p>
                  <w:pPr>
                    <w:pStyle w:val="53"/>
                    <w:bidi w:val="0"/>
                    <w:rPr>
                      <w:rFonts w:hint="eastAsia"/>
                      <w:b w:val="0"/>
                    </w:rPr>
                  </w:pPr>
                  <w:r>
                    <w:rPr>
                      <w:rFonts w:hint="eastAsia"/>
                      <w:b w:val="0"/>
                      <w:lang w:val="en-US" w:eastAsia="zh-CN"/>
                    </w:rPr>
                    <w:t>无组织</w:t>
                  </w:r>
                </w:p>
              </w:tc>
              <w:tc>
                <w:tcPr>
                  <w:tcW w:w="584" w:type="dxa"/>
                  <w:vMerge w:val="continue"/>
                  <w:shd w:val="clear" w:color="auto" w:fill="auto"/>
                  <w:vAlign w:val="center"/>
                </w:tcPr>
                <w:p>
                  <w:pPr>
                    <w:pStyle w:val="53"/>
                    <w:bidi w:val="0"/>
                    <w:rPr>
                      <w:rFonts w:hint="default"/>
                      <w:b w:val="0"/>
                    </w:rPr>
                  </w:pPr>
                </w:p>
              </w:tc>
              <w:tc>
                <w:tcPr>
                  <w:tcW w:w="795" w:type="dxa"/>
                  <w:vMerge w:val="continue"/>
                  <w:shd w:val="clear" w:color="auto" w:fill="auto"/>
                  <w:noWrap/>
                  <w:vAlign w:val="center"/>
                </w:tcPr>
                <w:p>
                  <w:pPr>
                    <w:pStyle w:val="53"/>
                    <w:bidi w:val="0"/>
                    <w:rPr>
                      <w:rFonts w:hint="default"/>
                      <w:b w:val="0"/>
                    </w:rPr>
                  </w:pPr>
                </w:p>
              </w:tc>
              <w:tc>
                <w:tcPr>
                  <w:tcW w:w="752" w:type="dxa"/>
                  <w:shd w:val="clear" w:color="auto" w:fill="auto"/>
                  <w:vAlign w:val="center"/>
                </w:tcPr>
                <w:p>
                  <w:pPr>
                    <w:pStyle w:val="53"/>
                    <w:bidi w:val="0"/>
                    <w:rPr>
                      <w:rFonts w:hint="default"/>
                      <w:b w:val="0"/>
                    </w:rPr>
                  </w:pPr>
                  <w:r>
                    <w:rPr>
                      <w:rFonts w:hint="default"/>
                      <w:b w:val="0"/>
                      <w:lang w:val="en-US" w:eastAsia="zh-CN"/>
                    </w:rPr>
                    <w:t>/</w:t>
                  </w:r>
                </w:p>
              </w:tc>
              <w:tc>
                <w:tcPr>
                  <w:tcW w:w="914" w:type="dxa"/>
                  <w:shd w:val="clear" w:color="auto" w:fill="auto"/>
                  <w:vAlign w:val="center"/>
                </w:tcPr>
                <w:p>
                  <w:pPr>
                    <w:pStyle w:val="53"/>
                    <w:bidi w:val="0"/>
                    <w:rPr>
                      <w:rFonts w:hint="default"/>
                      <w:b w:val="0"/>
                    </w:rPr>
                  </w:pPr>
                  <w:r>
                    <w:rPr>
                      <w:rFonts w:hint="default"/>
                      <w:b w:val="0"/>
                      <w:lang w:val="en-US" w:eastAsia="zh-CN"/>
                    </w:rPr>
                    <w:t>/</w:t>
                  </w:r>
                </w:p>
              </w:tc>
              <w:tc>
                <w:tcPr>
                  <w:tcW w:w="689" w:type="dxa"/>
                  <w:shd w:val="clear" w:color="auto" w:fill="auto"/>
                  <w:vAlign w:val="center"/>
                </w:tcPr>
                <w:p>
                  <w:pPr>
                    <w:pStyle w:val="53"/>
                    <w:bidi w:val="0"/>
                    <w:rPr>
                      <w:rFonts w:hint="default"/>
                      <w:b w:val="0"/>
                    </w:rPr>
                  </w:pPr>
                  <w:r>
                    <w:rPr>
                      <w:rFonts w:hint="default"/>
                      <w:b w:val="0"/>
                      <w:lang w:val="en-US" w:eastAsia="zh-CN"/>
                    </w:rPr>
                    <w:t>0.027</w:t>
                  </w:r>
                </w:p>
              </w:tc>
              <w:tc>
                <w:tcPr>
                  <w:tcW w:w="898" w:type="dxa"/>
                  <w:vMerge w:val="continue"/>
                  <w:shd w:val="clear" w:color="auto" w:fill="auto"/>
                  <w:vAlign w:val="center"/>
                </w:tcPr>
                <w:p>
                  <w:pPr>
                    <w:pStyle w:val="53"/>
                    <w:bidi w:val="0"/>
                    <w:rPr>
                      <w:rFonts w:hint="eastAsia"/>
                      <w:b w:val="0"/>
                    </w:rPr>
                  </w:pPr>
                </w:p>
              </w:tc>
              <w:tc>
                <w:tcPr>
                  <w:tcW w:w="640" w:type="dxa"/>
                  <w:shd w:val="clear" w:color="auto" w:fill="auto"/>
                  <w:vAlign w:val="center"/>
                </w:tcPr>
                <w:p>
                  <w:pPr>
                    <w:pStyle w:val="53"/>
                    <w:bidi w:val="0"/>
                    <w:rPr>
                      <w:rFonts w:hint="default"/>
                      <w:b w:val="0"/>
                    </w:rPr>
                  </w:pPr>
                  <w:r>
                    <w:rPr>
                      <w:rFonts w:hint="default"/>
                      <w:b w:val="0"/>
                      <w:lang w:val="en-US" w:eastAsia="zh-CN"/>
                    </w:rPr>
                    <w:t>/</w:t>
                  </w:r>
                </w:p>
              </w:tc>
              <w:tc>
                <w:tcPr>
                  <w:tcW w:w="805" w:type="dxa"/>
                  <w:shd w:val="clear" w:color="auto" w:fill="auto"/>
                  <w:vAlign w:val="center"/>
                </w:tcPr>
                <w:p>
                  <w:pPr>
                    <w:pStyle w:val="53"/>
                    <w:bidi w:val="0"/>
                    <w:rPr>
                      <w:rFonts w:hint="default"/>
                      <w:b w:val="0"/>
                    </w:rPr>
                  </w:pPr>
                  <w:r>
                    <w:rPr>
                      <w:rFonts w:hint="default"/>
                      <w:b w:val="0"/>
                      <w:lang w:val="en-US" w:eastAsia="zh-CN"/>
                    </w:rPr>
                    <w:t>/</w:t>
                  </w:r>
                </w:p>
              </w:tc>
              <w:tc>
                <w:tcPr>
                  <w:tcW w:w="1104" w:type="dxa"/>
                  <w:shd w:val="clear" w:color="auto" w:fill="auto"/>
                  <w:vAlign w:val="center"/>
                </w:tcPr>
                <w:p>
                  <w:pPr>
                    <w:pStyle w:val="53"/>
                    <w:bidi w:val="0"/>
                    <w:rPr>
                      <w:rFonts w:hint="default"/>
                      <w:b w:val="0"/>
                    </w:rPr>
                  </w:pPr>
                  <w:r>
                    <w:rPr>
                      <w:rFonts w:hint="default"/>
                      <w:b w:val="0"/>
                      <w:lang w:val="en-US" w:eastAsia="zh-CN"/>
                    </w:rPr>
                    <w:t>/</w:t>
                  </w:r>
                </w:p>
              </w:tc>
              <w:tc>
                <w:tcPr>
                  <w:tcW w:w="832" w:type="dxa"/>
                  <w:shd w:val="clear" w:color="auto" w:fill="auto"/>
                  <w:vAlign w:val="center"/>
                </w:tcPr>
                <w:p>
                  <w:pPr>
                    <w:pStyle w:val="53"/>
                    <w:bidi w:val="0"/>
                    <w:rPr>
                      <w:rFonts w:hint="default"/>
                      <w:b w:val="0"/>
                    </w:rPr>
                  </w:pPr>
                  <w:r>
                    <w:rPr>
                      <w:rFonts w:hint="default"/>
                      <w:b w:val="0"/>
                      <w:lang w:val="en-US" w:eastAsia="zh-CN"/>
                    </w:rPr>
                    <w:t>0.0113</w:t>
                  </w:r>
                </w:p>
              </w:tc>
              <w:tc>
                <w:tcPr>
                  <w:tcW w:w="914" w:type="dxa"/>
                  <w:shd w:val="clear" w:color="auto" w:fill="auto"/>
                  <w:vAlign w:val="center"/>
                </w:tcPr>
                <w:p>
                  <w:pPr>
                    <w:pStyle w:val="53"/>
                    <w:bidi w:val="0"/>
                    <w:rPr>
                      <w:rFonts w:hint="default"/>
                      <w:b w:val="0"/>
                    </w:rPr>
                  </w:pPr>
                  <w:r>
                    <w:rPr>
                      <w:rFonts w:hint="default"/>
                      <w:b w:val="0"/>
                      <w:lang w:val="en-US" w:eastAsia="zh-CN"/>
                    </w:rPr>
                    <w:t>0.027</w:t>
                  </w:r>
                </w:p>
              </w:tc>
              <w:tc>
                <w:tcPr>
                  <w:tcW w:w="845" w:type="dxa"/>
                  <w:shd w:val="clear" w:color="auto" w:fill="auto"/>
                  <w:noWrap/>
                  <w:vAlign w:val="center"/>
                </w:tcPr>
                <w:p>
                  <w:pPr>
                    <w:pStyle w:val="53"/>
                    <w:bidi w:val="0"/>
                    <w:rPr>
                      <w:rFonts w:hint="default"/>
                      <w:b w:val="0"/>
                    </w:rPr>
                  </w:pPr>
                  <w:r>
                    <w:rPr>
                      <w:rFonts w:hint="default"/>
                      <w:b w:val="0"/>
                      <w:lang w:val="en-US" w:eastAsia="zh-CN"/>
                    </w:rPr>
                    <w:t>/</w:t>
                  </w:r>
                </w:p>
              </w:tc>
              <w:tc>
                <w:tcPr>
                  <w:tcW w:w="655" w:type="dxa"/>
                  <w:shd w:val="clear" w:color="auto" w:fill="auto"/>
                  <w:noWrap/>
                  <w:vAlign w:val="center"/>
                </w:tcPr>
                <w:p>
                  <w:pPr>
                    <w:pStyle w:val="53"/>
                    <w:bidi w:val="0"/>
                    <w:rPr>
                      <w:rFonts w:hint="default"/>
                      <w:b w:val="0"/>
                    </w:rPr>
                  </w:pPr>
                  <w:r>
                    <w:rPr>
                      <w:rFonts w:hint="default"/>
                      <w:b w:val="0"/>
                      <w:lang w:val="en-US" w:eastAsia="zh-CN"/>
                    </w:rPr>
                    <w:t>/</w:t>
                  </w:r>
                </w:p>
              </w:tc>
              <w:tc>
                <w:tcPr>
                  <w:tcW w:w="776" w:type="dxa"/>
                  <w:vMerge w:val="continue"/>
                  <w:tcBorders>
                    <w:right w:val="nil"/>
                  </w:tcBorders>
                  <w:shd w:val="clear" w:color="auto" w:fill="auto"/>
                  <w:noWrap/>
                  <w:vAlign w:val="center"/>
                </w:tcPr>
                <w:p>
                  <w:pPr>
                    <w:pStyle w:val="53"/>
                    <w:bidi w:val="0"/>
                    <w:rPr>
                      <w:rFonts w:hint="default"/>
                      <w:b w:val="0"/>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restart"/>
                  <w:tcBorders>
                    <w:left w:val="nil"/>
                  </w:tcBorders>
                  <w:shd w:val="clear" w:color="auto" w:fill="auto"/>
                  <w:vAlign w:val="center"/>
                </w:tcPr>
                <w:p>
                  <w:pPr>
                    <w:pStyle w:val="53"/>
                    <w:bidi w:val="0"/>
                    <w:rPr>
                      <w:rFonts w:hint="eastAsia"/>
                      <w:b w:val="0"/>
                    </w:rPr>
                  </w:pPr>
                  <w:r>
                    <w:rPr>
                      <w:rFonts w:hint="eastAsia"/>
                      <w:b w:val="0"/>
                      <w:lang w:val="en-US" w:eastAsia="zh-CN"/>
                    </w:rPr>
                    <w:t>投料</w:t>
                  </w:r>
                </w:p>
              </w:tc>
              <w:tc>
                <w:tcPr>
                  <w:tcW w:w="427" w:type="dxa"/>
                  <w:vMerge w:val="restart"/>
                  <w:shd w:val="clear" w:color="auto" w:fill="auto"/>
                  <w:vAlign w:val="center"/>
                </w:tcPr>
                <w:p>
                  <w:pPr>
                    <w:pStyle w:val="53"/>
                    <w:bidi w:val="0"/>
                    <w:rPr>
                      <w:rFonts w:hint="eastAsia"/>
                      <w:b w:val="0"/>
                    </w:rPr>
                  </w:pPr>
                  <w:r>
                    <w:rPr>
                      <w:rFonts w:hint="eastAsia"/>
                      <w:b w:val="0"/>
                      <w:lang w:val="en-US" w:eastAsia="zh-CN"/>
                    </w:rPr>
                    <w:t>颗粒物</w:t>
                  </w:r>
                </w:p>
              </w:tc>
              <w:tc>
                <w:tcPr>
                  <w:tcW w:w="426" w:type="dxa"/>
                  <w:shd w:val="clear" w:color="auto" w:fill="auto"/>
                  <w:vAlign w:val="center"/>
                </w:tcPr>
                <w:p>
                  <w:pPr>
                    <w:pStyle w:val="53"/>
                    <w:bidi w:val="0"/>
                    <w:rPr>
                      <w:rFonts w:hint="eastAsia"/>
                      <w:b w:val="0"/>
                    </w:rPr>
                  </w:pPr>
                  <w:r>
                    <w:rPr>
                      <w:rFonts w:hint="eastAsia"/>
                      <w:b w:val="0"/>
                      <w:lang w:val="en-US" w:eastAsia="zh-CN"/>
                    </w:rPr>
                    <w:t>有组织</w:t>
                  </w:r>
                </w:p>
              </w:tc>
              <w:tc>
                <w:tcPr>
                  <w:tcW w:w="584" w:type="dxa"/>
                  <w:vMerge w:val="restart"/>
                  <w:shd w:val="clear" w:color="auto" w:fill="auto"/>
                  <w:vAlign w:val="center"/>
                </w:tcPr>
                <w:p>
                  <w:pPr>
                    <w:pStyle w:val="53"/>
                    <w:bidi w:val="0"/>
                    <w:rPr>
                      <w:rFonts w:hint="default"/>
                      <w:b w:val="0"/>
                    </w:rPr>
                  </w:pPr>
                  <w:r>
                    <w:rPr>
                      <w:rFonts w:hint="default"/>
                      <w:b w:val="0"/>
                      <w:lang w:val="en-US" w:eastAsia="zh-CN"/>
                    </w:rPr>
                    <w:t>0.2</w:t>
                  </w:r>
                </w:p>
              </w:tc>
              <w:tc>
                <w:tcPr>
                  <w:tcW w:w="795" w:type="dxa"/>
                  <w:vMerge w:val="restart"/>
                  <w:shd w:val="clear" w:color="auto" w:fill="auto"/>
                  <w:noWrap/>
                  <w:vAlign w:val="center"/>
                </w:tcPr>
                <w:p>
                  <w:pPr>
                    <w:pStyle w:val="53"/>
                    <w:bidi w:val="0"/>
                    <w:rPr>
                      <w:rFonts w:hint="default"/>
                      <w:b w:val="0"/>
                    </w:rPr>
                  </w:pPr>
                  <w:r>
                    <w:rPr>
                      <w:rFonts w:hint="default"/>
                      <w:b w:val="0"/>
                      <w:lang w:val="en-US" w:eastAsia="zh-CN"/>
                    </w:rPr>
                    <w:t>0.0833</w:t>
                  </w:r>
                </w:p>
              </w:tc>
              <w:tc>
                <w:tcPr>
                  <w:tcW w:w="752" w:type="dxa"/>
                  <w:shd w:val="clear" w:color="auto" w:fill="auto"/>
                  <w:vAlign w:val="center"/>
                </w:tcPr>
                <w:p>
                  <w:pPr>
                    <w:pStyle w:val="53"/>
                    <w:bidi w:val="0"/>
                    <w:rPr>
                      <w:rFonts w:hint="default"/>
                      <w:b w:val="0"/>
                    </w:rPr>
                  </w:pPr>
                  <w:r>
                    <w:rPr>
                      <w:rFonts w:hint="default"/>
                      <w:b w:val="0"/>
                      <w:lang w:val="en-US" w:eastAsia="zh-CN"/>
                    </w:rPr>
                    <w:t>10000</w:t>
                  </w:r>
                </w:p>
              </w:tc>
              <w:tc>
                <w:tcPr>
                  <w:tcW w:w="914" w:type="dxa"/>
                  <w:shd w:val="clear" w:color="auto" w:fill="auto"/>
                  <w:vAlign w:val="center"/>
                </w:tcPr>
                <w:p>
                  <w:pPr>
                    <w:pStyle w:val="53"/>
                    <w:bidi w:val="0"/>
                    <w:rPr>
                      <w:rFonts w:hint="default"/>
                      <w:b w:val="0"/>
                    </w:rPr>
                  </w:pPr>
                  <w:r>
                    <w:rPr>
                      <w:rFonts w:hint="default"/>
                      <w:b w:val="0"/>
                      <w:lang w:val="en-US" w:eastAsia="zh-CN"/>
                    </w:rPr>
                    <w:t>7.5</w:t>
                  </w:r>
                </w:p>
              </w:tc>
              <w:tc>
                <w:tcPr>
                  <w:tcW w:w="689" w:type="dxa"/>
                  <w:shd w:val="clear" w:color="auto" w:fill="auto"/>
                  <w:vAlign w:val="center"/>
                </w:tcPr>
                <w:p>
                  <w:pPr>
                    <w:pStyle w:val="53"/>
                    <w:bidi w:val="0"/>
                    <w:rPr>
                      <w:rFonts w:hint="default"/>
                      <w:b w:val="0"/>
                    </w:rPr>
                  </w:pPr>
                  <w:r>
                    <w:rPr>
                      <w:rFonts w:hint="default"/>
                      <w:b w:val="0"/>
                      <w:lang w:val="en-US" w:eastAsia="zh-CN"/>
                    </w:rPr>
                    <w:t>0.18</w:t>
                  </w:r>
                </w:p>
              </w:tc>
              <w:tc>
                <w:tcPr>
                  <w:tcW w:w="898" w:type="dxa"/>
                  <w:vMerge w:val="continue"/>
                  <w:shd w:val="clear" w:color="auto" w:fill="auto"/>
                  <w:vAlign w:val="center"/>
                </w:tcPr>
                <w:p>
                  <w:pPr>
                    <w:pStyle w:val="53"/>
                    <w:bidi w:val="0"/>
                    <w:rPr>
                      <w:rFonts w:hint="eastAsia"/>
                      <w:b w:val="0"/>
                    </w:rPr>
                  </w:pPr>
                </w:p>
              </w:tc>
              <w:tc>
                <w:tcPr>
                  <w:tcW w:w="640" w:type="dxa"/>
                  <w:shd w:val="clear" w:color="auto" w:fill="auto"/>
                  <w:vAlign w:val="center"/>
                </w:tcPr>
                <w:p>
                  <w:pPr>
                    <w:pStyle w:val="53"/>
                    <w:bidi w:val="0"/>
                    <w:rPr>
                      <w:rFonts w:hint="default"/>
                      <w:b w:val="0"/>
                    </w:rPr>
                  </w:pPr>
                  <w:r>
                    <w:rPr>
                      <w:rFonts w:hint="default"/>
                      <w:b w:val="0"/>
                      <w:lang w:val="en-US" w:eastAsia="zh-CN"/>
                    </w:rPr>
                    <w:t>90%</w:t>
                  </w:r>
                </w:p>
              </w:tc>
              <w:tc>
                <w:tcPr>
                  <w:tcW w:w="805" w:type="dxa"/>
                  <w:shd w:val="clear" w:color="auto" w:fill="auto"/>
                  <w:vAlign w:val="center"/>
                </w:tcPr>
                <w:p>
                  <w:pPr>
                    <w:pStyle w:val="53"/>
                    <w:bidi w:val="0"/>
                    <w:rPr>
                      <w:rFonts w:hint="default"/>
                      <w:b w:val="0"/>
                    </w:rPr>
                  </w:pPr>
                  <w:r>
                    <w:rPr>
                      <w:rFonts w:hint="default"/>
                      <w:b w:val="0"/>
                      <w:lang w:val="en-US" w:eastAsia="zh-CN"/>
                    </w:rPr>
                    <w:t>84%</w:t>
                  </w:r>
                </w:p>
              </w:tc>
              <w:tc>
                <w:tcPr>
                  <w:tcW w:w="1104" w:type="dxa"/>
                  <w:shd w:val="clear" w:color="auto" w:fill="auto"/>
                  <w:vAlign w:val="center"/>
                </w:tcPr>
                <w:p>
                  <w:pPr>
                    <w:pStyle w:val="53"/>
                    <w:bidi w:val="0"/>
                    <w:rPr>
                      <w:rFonts w:hint="default"/>
                      <w:b w:val="0"/>
                    </w:rPr>
                  </w:pPr>
                  <w:r>
                    <w:rPr>
                      <w:rFonts w:hint="default"/>
                      <w:b w:val="0"/>
                      <w:lang w:val="en-US" w:eastAsia="zh-CN"/>
                    </w:rPr>
                    <w:t>1.2</w:t>
                  </w:r>
                </w:p>
              </w:tc>
              <w:tc>
                <w:tcPr>
                  <w:tcW w:w="832" w:type="dxa"/>
                  <w:shd w:val="clear" w:color="auto" w:fill="auto"/>
                  <w:vAlign w:val="center"/>
                </w:tcPr>
                <w:p>
                  <w:pPr>
                    <w:pStyle w:val="53"/>
                    <w:bidi w:val="0"/>
                    <w:rPr>
                      <w:rFonts w:hint="default"/>
                      <w:b w:val="0"/>
                    </w:rPr>
                  </w:pPr>
                  <w:r>
                    <w:rPr>
                      <w:rFonts w:hint="default"/>
                      <w:b w:val="0"/>
                      <w:lang w:val="en-US" w:eastAsia="zh-CN"/>
                    </w:rPr>
                    <w:t>0.012</w:t>
                  </w:r>
                </w:p>
              </w:tc>
              <w:tc>
                <w:tcPr>
                  <w:tcW w:w="914" w:type="dxa"/>
                  <w:shd w:val="clear" w:color="auto" w:fill="auto"/>
                  <w:vAlign w:val="center"/>
                </w:tcPr>
                <w:p>
                  <w:pPr>
                    <w:pStyle w:val="53"/>
                    <w:bidi w:val="0"/>
                    <w:rPr>
                      <w:rFonts w:hint="default"/>
                      <w:b w:val="0"/>
                    </w:rPr>
                  </w:pPr>
                  <w:r>
                    <w:rPr>
                      <w:rFonts w:hint="default"/>
                      <w:b w:val="0"/>
                      <w:lang w:val="en-US" w:eastAsia="zh-CN"/>
                    </w:rPr>
                    <w:t>0.0288</w:t>
                  </w:r>
                </w:p>
              </w:tc>
              <w:tc>
                <w:tcPr>
                  <w:tcW w:w="845" w:type="dxa"/>
                  <w:shd w:val="clear" w:color="auto" w:fill="auto"/>
                  <w:noWrap/>
                  <w:vAlign w:val="center"/>
                </w:tcPr>
                <w:p>
                  <w:pPr>
                    <w:pStyle w:val="53"/>
                    <w:bidi w:val="0"/>
                    <w:rPr>
                      <w:rFonts w:hint="default"/>
                      <w:b w:val="0"/>
                    </w:rPr>
                  </w:pPr>
                  <w:r>
                    <w:rPr>
                      <w:rFonts w:hint="default"/>
                      <w:b w:val="0"/>
                      <w:lang w:val="en-US" w:eastAsia="zh-CN"/>
                    </w:rPr>
                    <w:t>DA001</w:t>
                  </w:r>
                </w:p>
              </w:tc>
              <w:tc>
                <w:tcPr>
                  <w:tcW w:w="655" w:type="dxa"/>
                  <w:shd w:val="clear" w:color="auto" w:fill="auto"/>
                  <w:noWrap/>
                  <w:vAlign w:val="center"/>
                </w:tcPr>
                <w:p>
                  <w:pPr>
                    <w:pStyle w:val="53"/>
                    <w:bidi w:val="0"/>
                    <w:rPr>
                      <w:rFonts w:hint="default"/>
                      <w:b w:val="0"/>
                    </w:rPr>
                  </w:pPr>
                  <w:r>
                    <w:rPr>
                      <w:rFonts w:hint="default"/>
                      <w:b w:val="0"/>
                      <w:lang w:val="en-US" w:eastAsia="zh-CN"/>
                    </w:rPr>
                    <w:t>25m</w:t>
                  </w:r>
                </w:p>
              </w:tc>
              <w:tc>
                <w:tcPr>
                  <w:tcW w:w="776" w:type="dxa"/>
                  <w:vMerge w:val="continue"/>
                  <w:tcBorders>
                    <w:right w:val="nil"/>
                  </w:tcBorders>
                  <w:shd w:val="clear" w:color="auto" w:fill="auto"/>
                  <w:noWrap/>
                  <w:vAlign w:val="center"/>
                </w:tcPr>
                <w:p>
                  <w:pPr>
                    <w:pStyle w:val="53"/>
                    <w:bidi w:val="0"/>
                    <w:rPr>
                      <w:rFonts w:hint="default"/>
                      <w:b w:val="0"/>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tcBorders>
                    <w:left w:val="nil"/>
                    <w:bottom w:val="single" w:color="000000" w:sz="12" w:space="0"/>
                  </w:tcBorders>
                  <w:shd w:val="clear" w:color="auto" w:fill="auto"/>
                  <w:vAlign w:val="center"/>
                </w:tcPr>
                <w:p>
                  <w:pPr>
                    <w:pStyle w:val="53"/>
                    <w:bidi w:val="0"/>
                    <w:rPr>
                      <w:rFonts w:hint="eastAsia"/>
                      <w:b w:val="0"/>
                    </w:rPr>
                  </w:pPr>
                </w:p>
              </w:tc>
              <w:tc>
                <w:tcPr>
                  <w:tcW w:w="427" w:type="dxa"/>
                  <w:vMerge w:val="continue"/>
                  <w:tcBorders>
                    <w:bottom w:val="single" w:color="000000" w:sz="12" w:space="0"/>
                  </w:tcBorders>
                  <w:shd w:val="clear" w:color="auto" w:fill="auto"/>
                  <w:vAlign w:val="center"/>
                </w:tcPr>
                <w:p>
                  <w:pPr>
                    <w:pStyle w:val="53"/>
                    <w:bidi w:val="0"/>
                    <w:rPr>
                      <w:rFonts w:hint="eastAsia"/>
                      <w:b w:val="0"/>
                    </w:rPr>
                  </w:pPr>
                </w:p>
              </w:tc>
              <w:tc>
                <w:tcPr>
                  <w:tcW w:w="426" w:type="dxa"/>
                  <w:tcBorders>
                    <w:bottom w:val="single" w:color="000000" w:sz="12" w:space="0"/>
                  </w:tcBorders>
                  <w:shd w:val="clear" w:color="auto" w:fill="auto"/>
                  <w:vAlign w:val="center"/>
                </w:tcPr>
                <w:p>
                  <w:pPr>
                    <w:pStyle w:val="53"/>
                    <w:bidi w:val="0"/>
                    <w:rPr>
                      <w:rFonts w:hint="eastAsia"/>
                      <w:b w:val="0"/>
                    </w:rPr>
                  </w:pPr>
                  <w:r>
                    <w:rPr>
                      <w:rFonts w:hint="eastAsia"/>
                      <w:b w:val="0"/>
                      <w:lang w:val="en-US" w:eastAsia="zh-CN"/>
                    </w:rPr>
                    <w:t>无组织</w:t>
                  </w:r>
                </w:p>
              </w:tc>
              <w:tc>
                <w:tcPr>
                  <w:tcW w:w="584" w:type="dxa"/>
                  <w:vMerge w:val="continue"/>
                  <w:tcBorders>
                    <w:bottom w:val="single" w:color="000000" w:sz="12" w:space="0"/>
                  </w:tcBorders>
                  <w:shd w:val="clear" w:color="auto" w:fill="auto"/>
                  <w:vAlign w:val="center"/>
                </w:tcPr>
                <w:p>
                  <w:pPr>
                    <w:pStyle w:val="53"/>
                    <w:bidi w:val="0"/>
                    <w:rPr>
                      <w:rFonts w:hint="default"/>
                      <w:b w:val="0"/>
                    </w:rPr>
                  </w:pPr>
                </w:p>
              </w:tc>
              <w:tc>
                <w:tcPr>
                  <w:tcW w:w="795" w:type="dxa"/>
                  <w:vMerge w:val="continue"/>
                  <w:tcBorders>
                    <w:bottom w:val="single" w:color="000000" w:sz="12" w:space="0"/>
                  </w:tcBorders>
                  <w:shd w:val="clear" w:color="auto" w:fill="auto"/>
                  <w:noWrap/>
                  <w:vAlign w:val="center"/>
                </w:tcPr>
                <w:p>
                  <w:pPr>
                    <w:pStyle w:val="53"/>
                    <w:bidi w:val="0"/>
                    <w:rPr>
                      <w:rFonts w:hint="default"/>
                      <w:b w:val="0"/>
                    </w:rPr>
                  </w:pPr>
                </w:p>
              </w:tc>
              <w:tc>
                <w:tcPr>
                  <w:tcW w:w="752" w:type="dxa"/>
                  <w:tcBorders>
                    <w:bottom w:val="single" w:color="000000" w:sz="12" w:space="0"/>
                  </w:tcBorders>
                  <w:shd w:val="clear" w:color="auto" w:fill="auto"/>
                  <w:vAlign w:val="center"/>
                </w:tcPr>
                <w:p>
                  <w:pPr>
                    <w:pStyle w:val="53"/>
                    <w:bidi w:val="0"/>
                    <w:rPr>
                      <w:rFonts w:hint="default"/>
                      <w:b w:val="0"/>
                    </w:rPr>
                  </w:pPr>
                  <w:r>
                    <w:rPr>
                      <w:rFonts w:hint="default"/>
                      <w:b w:val="0"/>
                      <w:lang w:val="en-US" w:eastAsia="zh-CN"/>
                    </w:rPr>
                    <w:t>/</w:t>
                  </w:r>
                </w:p>
              </w:tc>
              <w:tc>
                <w:tcPr>
                  <w:tcW w:w="914" w:type="dxa"/>
                  <w:tcBorders>
                    <w:bottom w:val="single" w:color="000000" w:sz="12" w:space="0"/>
                  </w:tcBorders>
                  <w:shd w:val="clear" w:color="auto" w:fill="auto"/>
                  <w:vAlign w:val="center"/>
                </w:tcPr>
                <w:p>
                  <w:pPr>
                    <w:pStyle w:val="53"/>
                    <w:bidi w:val="0"/>
                    <w:rPr>
                      <w:rFonts w:hint="default"/>
                      <w:b w:val="0"/>
                    </w:rPr>
                  </w:pPr>
                  <w:r>
                    <w:rPr>
                      <w:rFonts w:hint="default"/>
                      <w:b w:val="0"/>
                      <w:lang w:val="en-US" w:eastAsia="zh-CN"/>
                    </w:rPr>
                    <w:t>/</w:t>
                  </w:r>
                </w:p>
              </w:tc>
              <w:tc>
                <w:tcPr>
                  <w:tcW w:w="689" w:type="dxa"/>
                  <w:tcBorders>
                    <w:bottom w:val="single" w:color="000000" w:sz="12" w:space="0"/>
                  </w:tcBorders>
                  <w:shd w:val="clear" w:color="auto" w:fill="auto"/>
                  <w:vAlign w:val="center"/>
                </w:tcPr>
                <w:p>
                  <w:pPr>
                    <w:pStyle w:val="53"/>
                    <w:bidi w:val="0"/>
                    <w:rPr>
                      <w:rFonts w:hint="default"/>
                      <w:b w:val="0"/>
                    </w:rPr>
                  </w:pPr>
                  <w:r>
                    <w:rPr>
                      <w:rFonts w:hint="default"/>
                      <w:b w:val="0"/>
                      <w:lang w:val="en-US" w:eastAsia="zh-CN"/>
                    </w:rPr>
                    <w:t>0.02</w:t>
                  </w:r>
                </w:p>
              </w:tc>
              <w:tc>
                <w:tcPr>
                  <w:tcW w:w="898" w:type="dxa"/>
                  <w:vMerge w:val="continue"/>
                  <w:tcBorders>
                    <w:bottom w:val="single" w:color="000000" w:sz="12" w:space="0"/>
                  </w:tcBorders>
                  <w:shd w:val="clear" w:color="auto" w:fill="auto"/>
                  <w:vAlign w:val="center"/>
                </w:tcPr>
                <w:p>
                  <w:pPr>
                    <w:pStyle w:val="53"/>
                    <w:bidi w:val="0"/>
                    <w:rPr>
                      <w:rFonts w:hint="eastAsia"/>
                      <w:b w:val="0"/>
                    </w:rPr>
                  </w:pPr>
                </w:p>
              </w:tc>
              <w:tc>
                <w:tcPr>
                  <w:tcW w:w="640" w:type="dxa"/>
                  <w:tcBorders>
                    <w:bottom w:val="single" w:color="000000" w:sz="12" w:space="0"/>
                  </w:tcBorders>
                  <w:shd w:val="clear" w:color="auto" w:fill="auto"/>
                  <w:vAlign w:val="center"/>
                </w:tcPr>
                <w:p>
                  <w:pPr>
                    <w:pStyle w:val="53"/>
                    <w:bidi w:val="0"/>
                    <w:rPr>
                      <w:rFonts w:hint="default"/>
                      <w:b w:val="0"/>
                    </w:rPr>
                  </w:pPr>
                  <w:r>
                    <w:rPr>
                      <w:rFonts w:hint="default"/>
                      <w:b w:val="0"/>
                      <w:lang w:val="en-US" w:eastAsia="zh-CN"/>
                    </w:rPr>
                    <w:t>/</w:t>
                  </w:r>
                </w:p>
              </w:tc>
              <w:tc>
                <w:tcPr>
                  <w:tcW w:w="805" w:type="dxa"/>
                  <w:tcBorders>
                    <w:bottom w:val="single" w:color="000000" w:sz="12" w:space="0"/>
                  </w:tcBorders>
                  <w:shd w:val="clear" w:color="auto" w:fill="auto"/>
                  <w:vAlign w:val="center"/>
                </w:tcPr>
                <w:p>
                  <w:pPr>
                    <w:pStyle w:val="53"/>
                    <w:bidi w:val="0"/>
                    <w:rPr>
                      <w:rFonts w:hint="default"/>
                      <w:b w:val="0"/>
                    </w:rPr>
                  </w:pPr>
                  <w:r>
                    <w:rPr>
                      <w:rFonts w:hint="default"/>
                      <w:b w:val="0"/>
                      <w:lang w:val="en-US" w:eastAsia="zh-CN"/>
                    </w:rPr>
                    <w:t>/</w:t>
                  </w:r>
                </w:p>
              </w:tc>
              <w:tc>
                <w:tcPr>
                  <w:tcW w:w="1104" w:type="dxa"/>
                  <w:tcBorders>
                    <w:bottom w:val="single" w:color="000000" w:sz="12" w:space="0"/>
                  </w:tcBorders>
                  <w:shd w:val="clear" w:color="auto" w:fill="auto"/>
                  <w:vAlign w:val="center"/>
                </w:tcPr>
                <w:p>
                  <w:pPr>
                    <w:pStyle w:val="53"/>
                    <w:bidi w:val="0"/>
                    <w:rPr>
                      <w:rFonts w:hint="default"/>
                      <w:b w:val="0"/>
                    </w:rPr>
                  </w:pPr>
                  <w:r>
                    <w:rPr>
                      <w:rFonts w:hint="default"/>
                      <w:b w:val="0"/>
                      <w:lang w:val="en-US" w:eastAsia="zh-CN"/>
                    </w:rPr>
                    <w:t>/</w:t>
                  </w:r>
                </w:p>
              </w:tc>
              <w:tc>
                <w:tcPr>
                  <w:tcW w:w="832" w:type="dxa"/>
                  <w:tcBorders>
                    <w:bottom w:val="single" w:color="000000" w:sz="12" w:space="0"/>
                  </w:tcBorders>
                  <w:shd w:val="clear" w:color="auto" w:fill="auto"/>
                  <w:vAlign w:val="center"/>
                </w:tcPr>
                <w:p>
                  <w:pPr>
                    <w:pStyle w:val="53"/>
                    <w:bidi w:val="0"/>
                    <w:rPr>
                      <w:rFonts w:hint="default"/>
                      <w:b w:val="0"/>
                    </w:rPr>
                  </w:pPr>
                  <w:r>
                    <w:rPr>
                      <w:rFonts w:hint="default"/>
                      <w:b w:val="0"/>
                      <w:lang w:val="en-US" w:eastAsia="zh-CN"/>
                    </w:rPr>
                    <w:t>0.0083</w:t>
                  </w:r>
                </w:p>
              </w:tc>
              <w:tc>
                <w:tcPr>
                  <w:tcW w:w="914" w:type="dxa"/>
                  <w:tcBorders>
                    <w:bottom w:val="single" w:color="000000" w:sz="12" w:space="0"/>
                  </w:tcBorders>
                  <w:shd w:val="clear" w:color="auto" w:fill="auto"/>
                  <w:vAlign w:val="center"/>
                </w:tcPr>
                <w:p>
                  <w:pPr>
                    <w:pStyle w:val="53"/>
                    <w:bidi w:val="0"/>
                    <w:rPr>
                      <w:rFonts w:hint="default"/>
                      <w:b w:val="0"/>
                    </w:rPr>
                  </w:pPr>
                  <w:r>
                    <w:rPr>
                      <w:rFonts w:hint="default"/>
                      <w:b w:val="0"/>
                      <w:lang w:val="en-US" w:eastAsia="zh-CN"/>
                    </w:rPr>
                    <w:t>0.02</w:t>
                  </w:r>
                </w:p>
              </w:tc>
              <w:tc>
                <w:tcPr>
                  <w:tcW w:w="845" w:type="dxa"/>
                  <w:tcBorders>
                    <w:bottom w:val="single" w:color="000000" w:sz="12" w:space="0"/>
                  </w:tcBorders>
                  <w:shd w:val="clear" w:color="auto" w:fill="auto"/>
                  <w:noWrap/>
                  <w:vAlign w:val="center"/>
                </w:tcPr>
                <w:p>
                  <w:pPr>
                    <w:pStyle w:val="53"/>
                    <w:bidi w:val="0"/>
                    <w:rPr>
                      <w:rFonts w:hint="default"/>
                      <w:b w:val="0"/>
                    </w:rPr>
                  </w:pPr>
                  <w:r>
                    <w:rPr>
                      <w:rFonts w:hint="default"/>
                      <w:b w:val="0"/>
                      <w:lang w:val="en-US" w:eastAsia="zh-CN"/>
                    </w:rPr>
                    <w:t>/</w:t>
                  </w:r>
                </w:p>
              </w:tc>
              <w:tc>
                <w:tcPr>
                  <w:tcW w:w="655" w:type="dxa"/>
                  <w:tcBorders>
                    <w:bottom w:val="single" w:color="000000" w:sz="12" w:space="0"/>
                  </w:tcBorders>
                  <w:shd w:val="clear" w:color="auto" w:fill="auto"/>
                  <w:noWrap/>
                  <w:vAlign w:val="center"/>
                </w:tcPr>
                <w:p>
                  <w:pPr>
                    <w:pStyle w:val="53"/>
                    <w:bidi w:val="0"/>
                    <w:rPr>
                      <w:rFonts w:hint="default"/>
                      <w:b w:val="0"/>
                    </w:rPr>
                  </w:pPr>
                  <w:r>
                    <w:rPr>
                      <w:rFonts w:hint="default"/>
                      <w:b w:val="0"/>
                      <w:lang w:val="en-US" w:eastAsia="zh-CN"/>
                    </w:rPr>
                    <w:t>/</w:t>
                  </w:r>
                </w:p>
              </w:tc>
              <w:tc>
                <w:tcPr>
                  <w:tcW w:w="776" w:type="dxa"/>
                  <w:vMerge w:val="continue"/>
                  <w:tcBorders>
                    <w:bottom w:val="single" w:color="000000" w:sz="12" w:space="0"/>
                    <w:right w:val="nil"/>
                  </w:tcBorders>
                  <w:shd w:val="clear" w:color="auto" w:fill="auto"/>
                  <w:noWrap/>
                  <w:vAlign w:val="center"/>
                </w:tcPr>
                <w:p>
                  <w:pPr>
                    <w:pStyle w:val="53"/>
                    <w:bidi w:val="0"/>
                    <w:rPr>
                      <w:rFonts w:hint="default"/>
                      <w:b w:val="0"/>
                    </w:rPr>
                  </w:pPr>
                </w:p>
              </w:tc>
            </w:tr>
          </w:tbl>
          <w:p/>
        </w:tc>
      </w:tr>
    </w:tbl>
    <w:p/>
    <w:p>
      <w:pPr>
        <w:adjustRightInd w:val="0"/>
        <w:snapToGrid w:val="0"/>
        <w:ind w:firstLine="562"/>
        <w:rPr>
          <w:b/>
          <w:color w:val="000000"/>
          <w:kern w:val="0"/>
          <w:sz w:val="28"/>
          <w:szCs w:val="28"/>
        </w:rPr>
        <w:sectPr>
          <w:pgSz w:w="16840" w:h="11907" w:orient="landscape"/>
          <w:pgMar w:top="1531" w:right="1701" w:bottom="1531" w:left="2127" w:header="851" w:footer="851" w:gutter="0"/>
          <w:cols w:space="720" w:num="1"/>
          <w:docGrid w:linePitch="312" w:charSpace="0"/>
        </w:sectPr>
      </w:pPr>
    </w:p>
    <w:tbl>
      <w:tblPr>
        <w:tblStyle w:val="36"/>
        <w:tblW w:w="8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5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5" w:hRule="atLeast"/>
          <w:jc w:val="center"/>
        </w:trPr>
        <w:tc>
          <w:tcPr>
            <w:tcW w:w="425" w:type="dxa"/>
            <w:tcMar>
              <w:left w:w="28" w:type="dxa"/>
              <w:right w:w="28" w:type="dxa"/>
            </w:tcMar>
            <w:vAlign w:val="center"/>
          </w:tcPr>
          <w:p>
            <w:pPr>
              <w:pStyle w:val="53"/>
              <w:rPr>
                <w:bCs/>
              </w:rPr>
            </w:pPr>
            <w:r>
              <w:t>运营期环境影响和保护措施</w:t>
            </w:r>
          </w:p>
        </w:tc>
        <w:tc>
          <w:tcPr>
            <w:tcW w:w="8549" w:type="dxa"/>
            <w:vAlign w:val="center"/>
          </w:tcPr>
          <w:p>
            <w:bookmarkStart w:id="62" w:name="_Toc26019"/>
            <w:bookmarkStart w:id="63" w:name="_Toc6033"/>
            <w:bookmarkStart w:id="64" w:name="_Toc25520"/>
            <w:r>
              <w:rPr>
                <w:rFonts w:hint="eastAsia"/>
              </w:rPr>
              <w:t>（1）注塑废气</w:t>
            </w:r>
          </w:p>
          <w:p>
            <w:r>
              <w:t>项目注塑工序产生的有机废气主要来源于ABS、PA、POM塑料在加热软化时挥发产生的有机气体。项目ABS、PA、POM塑料结构稳定，且项目采用一体化密闭注塑机械，其加热温度在140-170℃之间，可能存在塑料受热不均而发生局部分解。但热熔过程是在注塑机内部完成，处于严格密闭状态，即使有废气产生也会在冷却后被重新固定到产品中，脱模的时候由于温度已明显下降，只有少量未被固定的助剂、残余未聚合单体挥发出来，其产生的有机废气量比较少。ABS、PA、POM塑料一般含有1-7%</w:t>
            </w:r>
            <w:r>
              <w:rPr>
                <w:rFonts w:hint="eastAsia"/>
              </w:rPr>
              <w:t>（</w:t>
            </w:r>
            <w:r>
              <w:t>重量</w:t>
            </w:r>
            <w:r>
              <w:rPr>
                <w:rFonts w:hint="eastAsia"/>
              </w:rPr>
              <w:t>）</w:t>
            </w:r>
            <w:r>
              <w:t>的乙烯分子及99</w:t>
            </w:r>
            <w:r>
              <w:rPr>
                <w:rFonts w:hint="eastAsia"/>
              </w:rPr>
              <w:t>%～</w:t>
            </w:r>
            <w:r>
              <w:t>93%</w:t>
            </w:r>
            <w:r>
              <w:rPr>
                <w:rFonts w:hint="eastAsia"/>
              </w:rPr>
              <w:t>（</w:t>
            </w:r>
            <w:r>
              <w:t>重量</w:t>
            </w:r>
            <w:r>
              <w:rPr>
                <w:rFonts w:hint="eastAsia"/>
              </w:rPr>
              <w:t>）</w:t>
            </w:r>
            <w:r>
              <w:t>的丙烯分子，在聚合物链上，乙烯分子无规则地插在丙烯分子中间。因此注塑工序产生的废气污染物主要是单体乙烯</w:t>
            </w:r>
            <w:r>
              <w:rPr>
                <w:rFonts w:hint="eastAsia"/>
                <w:lang w:eastAsia="zh-CN"/>
              </w:rPr>
              <w:t>、</w:t>
            </w:r>
            <w:r>
              <w:t>丙烯</w:t>
            </w:r>
            <w:r>
              <w:rPr>
                <w:rFonts w:hint="eastAsia"/>
                <w:lang w:val="en-US" w:eastAsia="zh-CN"/>
              </w:rPr>
              <w:t>及苯乙烯</w:t>
            </w:r>
            <w:r>
              <w:t>，以非甲烷总烃计</w:t>
            </w:r>
            <w:r>
              <w:rPr>
                <w:rFonts w:hint="eastAsia"/>
              </w:rPr>
              <w:t>。</w:t>
            </w:r>
          </w:p>
          <w:p>
            <w:pPr>
              <w:rPr>
                <w:rFonts w:hint="eastAsia" w:eastAsia="宋体"/>
                <w:lang w:val="en-US" w:eastAsia="zh-CN"/>
              </w:rPr>
            </w:pPr>
            <w:r>
              <w:rPr>
                <w:rFonts w:hint="eastAsia"/>
              </w:rPr>
              <w:t>为落实</w:t>
            </w:r>
            <w:r>
              <w:t>《排放源统计调查制度》</w:t>
            </w:r>
            <w:r>
              <w:rPr>
                <w:rFonts w:hint="eastAsia"/>
              </w:rPr>
              <w:t>（</w:t>
            </w:r>
            <w:r>
              <w:t>国统制〔2021〕18号</w:t>
            </w:r>
            <w:r>
              <w:rPr>
                <w:rFonts w:hint="eastAsia"/>
              </w:rPr>
              <w:t>）</w:t>
            </w:r>
            <w:r>
              <w:t>要求</w:t>
            </w:r>
            <w:r>
              <w:rPr>
                <w:rFonts w:hint="eastAsia"/>
              </w:rPr>
              <w:t>，规范排放源产排量核算方法，统一产排污系数，</w:t>
            </w:r>
            <w:r>
              <w:t>生态环境部</w:t>
            </w:r>
            <w:r>
              <w:rPr>
                <w:rFonts w:hint="eastAsia"/>
              </w:rPr>
              <w:t>于</w:t>
            </w:r>
            <w:r>
              <w:t>2021年6月11日发布《排放源统计调查产排污核算方法和系数手册》</w:t>
            </w:r>
            <w:r>
              <w:rPr>
                <w:rFonts w:hint="eastAsia"/>
              </w:rPr>
              <w:t>，故本次评价参考《</w:t>
            </w:r>
            <w:r>
              <w:t>排放源统计调查产排污核算方法</w:t>
            </w:r>
            <w:r>
              <w:rPr>
                <w:rFonts w:hint="eastAsia"/>
              </w:rPr>
              <w:t>和系数手册》中</w:t>
            </w:r>
            <w:r>
              <w:t>《292塑料制品行业系数手册</w:t>
            </w:r>
            <w:r>
              <w:rPr>
                <w:rFonts w:hint="eastAsia"/>
              </w:rPr>
              <w:t>（</w:t>
            </w:r>
            <w:r>
              <w:t>2021版</w:t>
            </w:r>
            <w:r>
              <w:rPr>
                <w:rFonts w:hint="eastAsia"/>
              </w:rPr>
              <w:t>）</w:t>
            </w:r>
            <w:r>
              <w:t>》中</w:t>
            </w:r>
            <w:r>
              <w:rPr>
                <w:rFonts w:hint="eastAsia"/>
              </w:rPr>
              <w:t>“</w:t>
            </w:r>
            <w:r>
              <w:t>2929塑料零件及其他塑料制品制造行业系数表</w:t>
            </w:r>
            <w:r>
              <w:rPr>
                <w:rFonts w:hint="eastAsia"/>
              </w:rPr>
              <w:t>”对非甲烷总烃</w:t>
            </w:r>
            <w:r>
              <w:rPr>
                <w:rFonts w:hint="eastAsia"/>
                <w:lang w:val="en-US" w:eastAsia="zh-CN"/>
              </w:rPr>
              <w:t>以及苯乙烯</w:t>
            </w:r>
            <w:r>
              <w:rPr>
                <w:rFonts w:hint="eastAsia"/>
              </w:rPr>
              <w:t>进行核算。根据</w:t>
            </w:r>
            <w:r>
              <w:t>《292塑料制品行业系数手册</w:t>
            </w:r>
            <w:r>
              <w:rPr>
                <w:rFonts w:hint="eastAsia"/>
              </w:rPr>
              <w:t>（</w:t>
            </w:r>
            <w:r>
              <w:t>2021版</w:t>
            </w:r>
            <w:r>
              <w:rPr>
                <w:rFonts w:hint="eastAsia"/>
              </w:rPr>
              <w:t>）</w:t>
            </w:r>
            <w:r>
              <w:t>》中</w:t>
            </w:r>
            <w:r>
              <w:rPr>
                <w:rFonts w:hint="eastAsia"/>
              </w:rPr>
              <w:t>“</w:t>
            </w:r>
            <w:r>
              <w:t>2929塑料零件及其他塑料制品制造行业系数表</w:t>
            </w:r>
            <w:r>
              <w:rPr>
                <w:rFonts w:hint="eastAsia"/>
              </w:rPr>
              <w:t>”中对应的工艺及产污系数，本项目注塑工艺</w:t>
            </w:r>
            <w:r>
              <w:rPr>
                <w:rFonts w:hint="eastAsia"/>
                <w:lang w:val="en-US" w:eastAsia="zh-CN"/>
              </w:rPr>
              <w:t>的非甲烷总烃</w:t>
            </w:r>
            <w:r>
              <w:rPr>
                <w:rFonts w:hint="eastAsia"/>
              </w:rPr>
              <w:t>产污系数取2.7kg/t产品，本项目注塑原料塑料原米（ABS、PA、POM）用量400t/a，则项目注塑工序有机废气（以非甲烷总烃计）产生量约为1.08t/a</w:t>
            </w:r>
            <w:r>
              <w:rPr>
                <w:rFonts w:hint="eastAsia"/>
                <w:lang w:eastAsia="zh-CN"/>
              </w:rPr>
              <w:t>，</w:t>
            </w:r>
            <w:r>
              <w:rPr>
                <w:rFonts w:hint="eastAsia"/>
                <w:lang w:val="en-US" w:eastAsia="zh-CN"/>
              </w:rPr>
              <w:t>ABS塑料中苯乙烯的占比为40%~60%，本项目取中间值50%，则项目注塑工序苯乙烯产生量约为0.27</w:t>
            </w:r>
            <w:r>
              <w:rPr>
                <w:rFonts w:hint="eastAsia"/>
              </w:rPr>
              <w:t>t/a</w:t>
            </w:r>
            <w:r>
              <w:rPr>
                <w:rFonts w:hint="eastAsia"/>
                <w:lang w:eastAsia="zh-CN"/>
              </w:rPr>
              <w:t>。</w:t>
            </w:r>
          </w:p>
          <w:p>
            <w:pPr>
              <w:rPr>
                <w:rFonts w:hint="eastAsia"/>
              </w:rPr>
            </w:pPr>
            <w:r>
              <w:rPr>
                <w:rFonts w:hint="eastAsia"/>
              </w:rPr>
              <w:t>项目注塑工序位于密闭的</w:t>
            </w:r>
            <w:r>
              <w:rPr>
                <w:rFonts w:hint="eastAsia"/>
                <w:lang w:val="en-US" w:eastAsia="zh-CN"/>
              </w:rPr>
              <w:t>厂房</w:t>
            </w:r>
            <w:r>
              <w:rPr>
                <w:rFonts w:hint="eastAsia"/>
              </w:rPr>
              <w:t>内，车间处于负压状态，</w:t>
            </w:r>
            <w:r>
              <w:rPr>
                <w:rFonts w:hint="eastAsia"/>
                <w:lang w:val="en-US" w:eastAsia="zh-CN"/>
              </w:rPr>
              <w:t>厂房面积为</w:t>
            </w:r>
            <w:r>
              <w:rPr>
                <w:rFonts w:hint="eastAsia" w:ascii="Times New Roman" w:hAnsi="Times New Roman" w:cs="宋体"/>
                <w:sz w:val="24"/>
                <w:szCs w:val="24"/>
                <w:lang w:val="en-US" w:eastAsia="zh-CN"/>
              </w:rPr>
              <w:t>989.02m</w:t>
            </w:r>
            <w:r>
              <w:rPr>
                <w:rFonts w:hint="eastAsia" w:ascii="Times New Roman" w:hAnsi="Times New Roman" w:cs="宋体"/>
                <w:sz w:val="24"/>
                <w:szCs w:val="24"/>
                <w:vertAlign w:val="superscript"/>
                <w:lang w:val="en-US" w:eastAsia="zh-CN"/>
              </w:rPr>
              <w:t>2</w:t>
            </w:r>
            <w:r>
              <w:rPr>
                <w:rFonts w:hint="eastAsia" w:ascii="Times New Roman" w:hAnsi="Times New Roman" w:cs="宋体"/>
                <w:sz w:val="24"/>
                <w:szCs w:val="24"/>
                <w:vertAlign w:val="baseline"/>
                <w:lang w:val="en-US" w:eastAsia="zh-CN"/>
              </w:rPr>
              <w:t>，风机风量为10000m</w:t>
            </w:r>
            <w:r>
              <w:rPr>
                <w:rFonts w:hint="eastAsia" w:ascii="Times New Roman" w:hAnsi="Times New Roman" w:cs="宋体"/>
                <w:sz w:val="24"/>
                <w:szCs w:val="24"/>
                <w:vertAlign w:val="superscript"/>
                <w:lang w:val="en-US" w:eastAsia="zh-CN"/>
              </w:rPr>
              <w:t>3</w:t>
            </w:r>
            <w:r>
              <w:rPr>
                <w:rFonts w:hint="eastAsia" w:ascii="Times New Roman" w:hAnsi="Times New Roman" w:cs="宋体"/>
                <w:sz w:val="24"/>
                <w:szCs w:val="24"/>
                <w:vertAlign w:val="baseline"/>
                <w:lang w:val="en-US" w:eastAsia="zh-CN"/>
              </w:rPr>
              <w:t>/h，车间体积=风机风量÷</w:t>
            </w:r>
            <w:r>
              <w:rPr>
                <w:rFonts w:hint="eastAsia" w:cs="宋体"/>
                <w:sz w:val="24"/>
                <w:szCs w:val="24"/>
                <w:vertAlign w:val="baseline"/>
                <w:lang w:val="en-US" w:eastAsia="zh-CN"/>
              </w:rPr>
              <w:t>换气次数</w:t>
            </w:r>
            <w:r>
              <w:rPr>
                <w:rFonts w:hint="eastAsia" w:ascii="Times New Roman" w:hAnsi="Times New Roman" w:cs="宋体"/>
                <w:sz w:val="24"/>
                <w:szCs w:val="24"/>
                <w:vertAlign w:val="baseline"/>
                <w:lang w:val="en-US" w:eastAsia="zh-CN"/>
              </w:rPr>
              <w:t>=10000m</w:t>
            </w:r>
            <w:r>
              <w:rPr>
                <w:rFonts w:hint="eastAsia" w:ascii="Times New Roman" w:hAnsi="Times New Roman" w:cs="宋体"/>
                <w:sz w:val="24"/>
                <w:szCs w:val="24"/>
                <w:vertAlign w:val="superscript"/>
                <w:lang w:val="en-US" w:eastAsia="zh-CN"/>
              </w:rPr>
              <w:t>3</w:t>
            </w:r>
            <w:r>
              <w:rPr>
                <w:rFonts w:hint="eastAsia" w:ascii="Times New Roman" w:hAnsi="Times New Roman" w:cs="宋体"/>
                <w:sz w:val="24"/>
                <w:szCs w:val="24"/>
                <w:vertAlign w:val="baseline"/>
                <w:lang w:val="en-US" w:eastAsia="zh-CN"/>
              </w:rPr>
              <w:t>/h÷6≈1667m</w:t>
            </w:r>
            <w:r>
              <w:rPr>
                <w:rFonts w:hint="eastAsia" w:ascii="Times New Roman" w:hAnsi="Times New Roman" w:cs="宋体"/>
                <w:sz w:val="24"/>
                <w:szCs w:val="24"/>
                <w:vertAlign w:val="superscript"/>
                <w:lang w:val="en-US" w:eastAsia="zh-CN"/>
              </w:rPr>
              <w:t>3</w:t>
            </w:r>
            <w:r>
              <w:rPr>
                <w:rFonts w:hint="eastAsia" w:ascii="Times New Roman" w:hAnsi="Times New Roman" w:cs="宋体"/>
                <w:sz w:val="24"/>
                <w:szCs w:val="24"/>
                <w:vertAlign w:val="baseline"/>
                <w:lang w:val="en-US" w:eastAsia="zh-CN"/>
              </w:rPr>
              <w:t>＞</w:t>
            </w:r>
            <w:r>
              <w:rPr>
                <w:rFonts w:hint="eastAsia" w:ascii="Times New Roman" w:hAnsi="Times New Roman" w:cs="宋体"/>
                <w:sz w:val="24"/>
                <w:szCs w:val="24"/>
                <w:lang w:val="en-US" w:eastAsia="zh-CN"/>
              </w:rPr>
              <w:t>989.02m</w:t>
            </w:r>
            <w:r>
              <w:rPr>
                <w:rFonts w:hint="eastAsia" w:ascii="Times New Roman" w:hAnsi="Times New Roman" w:cs="宋体"/>
                <w:sz w:val="24"/>
                <w:szCs w:val="24"/>
                <w:vertAlign w:val="superscript"/>
                <w:lang w:val="en-US" w:eastAsia="zh-CN"/>
              </w:rPr>
              <w:t>2</w:t>
            </w:r>
            <w:r>
              <w:rPr>
                <w:rFonts w:hint="eastAsia" w:ascii="Times New Roman" w:hAnsi="Times New Roman" w:cs="宋体"/>
                <w:sz w:val="24"/>
                <w:szCs w:val="24"/>
                <w:vertAlign w:val="baseline"/>
                <w:lang w:val="en-US" w:eastAsia="zh-CN"/>
              </w:rPr>
              <w:t>，设计风机风量为10000m</w:t>
            </w:r>
            <w:r>
              <w:rPr>
                <w:rFonts w:hint="eastAsia" w:ascii="Times New Roman" w:hAnsi="Times New Roman" w:cs="宋体"/>
                <w:sz w:val="24"/>
                <w:szCs w:val="24"/>
                <w:vertAlign w:val="superscript"/>
                <w:lang w:val="en-US" w:eastAsia="zh-CN"/>
              </w:rPr>
              <w:t>3</w:t>
            </w:r>
            <w:r>
              <w:rPr>
                <w:rFonts w:hint="eastAsia" w:ascii="Times New Roman" w:hAnsi="Times New Roman" w:cs="宋体"/>
                <w:sz w:val="24"/>
                <w:szCs w:val="24"/>
                <w:vertAlign w:val="baseline"/>
                <w:lang w:val="en-US" w:eastAsia="zh-CN"/>
              </w:rPr>
              <w:t>/h，能够保证</w:t>
            </w:r>
            <w:r>
              <w:rPr>
                <w:rFonts w:hint="eastAsia"/>
              </w:rPr>
              <w:t>每小时换气六次</w:t>
            </w:r>
            <w:r>
              <w:rPr>
                <w:rFonts w:hint="eastAsia"/>
                <w:lang w:eastAsia="zh-CN"/>
              </w:rPr>
              <w:t>，</w:t>
            </w:r>
            <w:r>
              <w:rPr>
                <w:rFonts w:hint="eastAsia"/>
              </w:rPr>
              <w:t>注塑废气经中央集气系统收集，考虑到人员进出时需要开关门，挥发性有机物以无组织形式排放的系数取10%。注塑废气经“二级活性炭吸附装置”处理达标后通过1根25m高排气筒（DA001）排放。</w:t>
            </w:r>
          </w:p>
          <w:p>
            <w:pPr>
              <w:bidi w:val="0"/>
              <w:rPr>
                <w:rFonts w:hint="default"/>
                <w:lang w:val="en-US"/>
              </w:rPr>
            </w:pPr>
            <w:r>
              <w:rPr>
                <w:rFonts w:hint="eastAsia"/>
                <w:lang w:val="en-US" w:eastAsia="zh-CN"/>
              </w:rPr>
              <w:t>参考《工业废气净化与利用》（童志权主编，化学工业出版社出版）文献，并类比其他企业有机废气治理工程，本项目活性炭对有机废气的净化效率取60%，根据《主要污染物总量减排核算技术指南（2022年修订）》，则二级活性炭吸附有机废气处理效率为60%+（1-60%）*60%=84%，则本项目的非甲烷总烃</w:t>
            </w:r>
            <w:r>
              <w:rPr>
                <w:rFonts w:hint="eastAsia"/>
              </w:rPr>
              <w:t>有组织排放量为0.</w:t>
            </w:r>
            <w:r>
              <w:rPr>
                <w:rFonts w:hint="eastAsia"/>
                <w:lang w:val="en-US" w:eastAsia="zh-CN"/>
              </w:rPr>
              <w:t>1555</w:t>
            </w:r>
            <w:r>
              <w:rPr>
                <w:rFonts w:hint="eastAsia"/>
              </w:rPr>
              <w:t>t/a，排放速率为0.06</w:t>
            </w:r>
            <w:r>
              <w:rPr>
                <w:rFonts w:hint="eastAsia"/>
                <w:lang w:val="en-US" w:eastAsia="zh-CN"/>
              </w:rPr>
              <w:t>48</w:t>
            </w:r>
            <w:r>
              <w:rPr>
                <w:rFonts w:hint="eastAsia"/>
              </w:rPr>
              <w:t>kg/h，无组织排放量为0.</w:t>
            </w:r>
            <w:r>
              <w:rPr>
                <w:rFonts w:hint="eastAsia"/>
                <w:lang w:val="en-US" w:eastAsia="zh-CN"/>
              </w:rPr>
              <w:t>108</w:t>
            </w:r>
            <w:r>
              <w:rPr>
                <w:rFonts w:hint="eastAsia"/>
              </w:rPr>
              <w:t>t/a</w:t>
            </w:r>
            <w:r>
              <w:rPr>
                <w:rFonts w:hint="eastAsia"/>
                <w:lang w:eastAsia="zh-CN"/>
              </w:rPr>
              <w:t>；</w:t>
            </w:r>
            <w:r>
              <w:rPr>
                <w:rFonts w:hint="eastAsia"/>
                <w:lang w:val="en-US" w:eastAsia="zh-CN"/>
              </w:rPr>
              <w:t>苯乙烯有组织排放量0.0389</w:t>
            </w:r>
            <w:r>
              <w:rPr>
                <w:rFonts w:hint="eastAsia"/>
              </w:rPr>
              <w:t>t/a</w:t>
            </w:r>
            <w:r>
              <w:rPr>
                <w:rFonts w:hint="eastAsia"/>
                <w:lang w:eastAsia="zh-CN"/>
              </w:rPr>
              <w:t>，</w:t>
            </w:r>
            <w:r>
              <w:rPr>
                <w:rFonts w:hint="eastAsia"/>
                <w:lang w:val="en-US" w:eastAsia="zh-CN"/>
              </w:rPr>
              <w:t>无组织排放量0.027t/a</w:t>
            </w:r>
            <w:r>
              <w:rPr>
                <w:rFonts w:hint="eastAsia"/>
              </w:rPr>
              <w:t>。</w:t>
            </w:r>
          </w:p>
          <w:p>
            <w:r>
              <w:rPr>
                <w:rFonts w:hint="eastAsia"/>
              </w:rPr>
              <w:t>（2）投料废气</w:t>
            </w:r>
          </w:p>
          <w:p>
            <w:r>
              <w:rPr>
                <w:rFonts w:hint="eastAsia"/>
              </w:rPr>
              <w:t>根据建设单位提供的资料，项目使用的塑料颗粒的粒径均为</w:t>
            </w:r>
            <w:r>
              <w:t>2~3mm</w:t>
            </w:r>
            <w:r>
              <w:rPr>
                <w:rFonts w:hint="eastAsia"/>
              </w:rPr>
              <w:t>，原料投入注塑机的过程中仅会有少部分粉状从进料口逸出。参考《逸散性工业粉尘控制技术》中</w:t>
            </w:r>
            <w:r>
              <w:rPr>
                <w:rFonts w:ascii="宋体" w:hAnsi="宋体" w:cs="宋体"/>
              </w:rPr>
              <w:t>表13-2</w:t>
            </w:r>
            <w:r>
              <w:rPr>
                <w:rFonts w:hint="eastAsia" w:ascii="宋体" w:hAnsi="宋体" w:cs="宋体"/>
              </w:rPr>
              <w:t>中原料喂料、卸料工序的</w:t>
            </w:r>
            <w:r>
              <w:rPr>
                <w:rFonts w:hint="eastAsia"/>
              </w:rPr>
              <w:t>粉尘逸散系数，并结合同行业实际情况，按0.5kg/t原料用量计，项目每年原料约400t，则粉尘逸出量约为0.2t/a。</w:t>
            </w:r>
          </w:p>
          <w:p>
            <w:r>
              <w:rPr>
                <w:rFonts w:hint="eastAsia"/>
              </w:rPr>
              <w:t>项目注塑工序位于密闭的车间内，车间处于负压状态，投料废气经中央集气系统收集，考虑到人员进出时需要开关门，投料废气以无组织形式排放的系数取10%。投料废气经“二级活性</w:t>
            </w:r>
            <w:r>
              <w:rPr>
                <w:rFonts w:hint="eastAsia"/>
                <w:color w:val="auto"/>
              </w:rPr>
              <w:t>炭吸附装置”处理达标后通过1根25m高排气筒（DA001）排放，处理效率以90%计，风机风量为10000m</w:t>
            </w:r>
            <w:r>
              <w:rPr>
                <w:rFonts w:hint="eastAsia"/>
                <w:color w:val="auto"/>
                <w:vertAlign w:val="superscript"/>
              </w:rPr>
              <w:t>3</w:t>
            </w:r>
            <w:r>
              <w:rPr>
                <w:rFonts w:hint="eastAsia"/>
                <w:color w:val="auto"/>
              </w:rPr>
              <w:t>/h，则项目</w:t>
            </w:r>
            <w:r>
              <w:rPr>
                <w:rFonts w:hint="eastAsia"/>
              </w:rPr>
              <w:t>颗粒物有组织排放量为0.148t//a，排放速率为0.0617kg/h，无组织排放量为0.0083t/a。</w:t>
            </w:r>
          </w:p>
          <w:p>
            <w:pPr>
              <w:pStyle w:val="5"/>
              <w:spacing w:before="120"/>
            </w:pPr>
            <w:r>
              <w:rPr>
                <w:rFonts w:hint="eastAsia"/>
              </w:rPr>
              <w:t>运营期大气影响和污染防治措施合理性分析</w:t>
            </w:r>
          </w:p>
          <w:p>
            <w:r>
              <w:rPr>
                <w:rFonts w:hint="eastAsia"/>
              </w:rPr>
              <w:t>（1）</w:t>
            </w:r>
            <w:r>
              <w:t>有机废气处理措施</w:t>
            </w:r>
          </w:p>
          <w:p>
            <w:r>
              <w:t>①工艺流程</w:t>
            </w:r>
          </w:p>
          <w:p>
            <w:r>
              <w:t>有机废气治理方法主要为燃烧法、吸附法、吸收法、生物处理法、冷凝法和UV光解催化氧化。项目生产过程中产生的废气主要为</w:t>
            </w:r>
            <w:r>
              <w:rPr>
                <w:rFonts w:hint="eastAsia"/>
              </w:rPr>
              <w:t>注塑</w:t>
            </w:r>
            <w:r>
              <w:t>过程中产生的非甲烷总烃，属于低浓度有机废气，因此项目设置二级活性炭吸附装置用于处理生产过程中产生的有机废气。本项目废气收集、处理情况见图4.</w:t>
            </w:r>
            <w:r>
              <w:rPr>
                <w:rFonts w:hint="eastAsia"/>
              </w:rPr>
              <w:t>1</w:t>
            </w:r>
            <w:r>
              <w:t>-1所示。</w:t>
            </w:r>
          </w:p>
          <w:p>
            <w:pPr>
              <w:pStyle w:val="77"/>
              <w:adjustRightInd/>
              <w:snapToGrid/>
              <w:spacing w:line="360" w:lineRule="auto"/>
              <w:ind w:left="0" w:leftChars="0" w:firstLine="0" w:firstLineChars="0"/>
              <w:jc w:val="center"/>
              <w:rPr>
                <w:rFonts w:eastAsia="宋体"/>
                <w:color w:val="000000"/>
                <w:szCs w:val="22"/>
              </w:rPr>
            </w:pPr>
            <w:r>
              <w:rPr>
                <w:rFonts w:hint="default" w:ascii="Times New Roman" w:hAnsi="Times New Roman" w:eastAsia="宋体" w:cs="Times New Roman"/>
                <w:color w:val="000000"/>
                <w:sz w:val="24"/>
                <w:highlight w:val="none"/>
              </w:rPr>
              <mc:AlternateContent>
                <mc:Choice Requires="wpc">
                  <w:drawing>
                    <wp:inline distT="0" distB="0" distL="114300" distR="114300">
                      <wp:extent cx="5045710" cy="987425"/>
                      <wp:effectExtent l="0" t="0" r="0" b="0"/>
                      <wp:docPr id="11" name="画布 844"/>
                      <wp:cNvGraphicFramePr/>
                      <a:graphic xmlns:a="http://schemas.openxmlformats.org/drawingml/2006/main">
                        <a:graphicData uri="http://schemas.microsoft.com/office/word/2010/wordprocessingCanvas">
                          <wpc:wpc>
                            <wpc:bg>
                              <a:noFill/>
                            </wpc:bg>
                            <wpc:whole>
                              <a:ln>
                                <a:noFill/>
                              </a:ln>
                            </wpc:whole>
                            <wps:wsp>
                              <wps:cNvPr id="25" name="文本框 845"/>
                              <wps:cNvSpPr txBox="1"/>
                              <wps:spPr>
                                <a:xfrm>
                                  <a:off x="19050" y="200660"/>
                                  <a:ext cx="742950" cy="3244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3"/>
                                      <w:bidi w:val="0"/>
                                      <w:rPr>
                                        <w:rFonts w:hint="eastAsia"/>
                                        <w:lang w:eastAsia="zh-CN"/>
                                      </w:rPr>
                                    </w:pPr>
                                    <w:r>
                                      <w:rPr>
                                        <w:rFonts w:hint="eastAsia"/>
                                        <w:lang w:eastAsia="zh-CN"/>
                                      </w:rPr>
                                      <w:t>废气</w:t>
                                    </w:r>
                                  </w:p>
                                </w:txbxContent>
                              </wps:txbx>
                              <wps:bodyPr vert="horz" wrap="square" anchor="t" anchorCtr="0" upright="1"/>
                            </wps:wsp>
                            <wps:wsp>
                              <wps:cNvPr id="63" name="直线 846"/>
                              <wps:cNvCnPr/>
                              <wps:spPr>
                                <a:xfrm>
                                  <a:off x="767080" y="341630"/>
                                  <a:ext cx="295910" cy="635"/>
                                </a:xfrm>
                                <a:prstGeom prst="line">
                                  <a:avLst/>
                                </a:prstGeom>
                                <a:ln w="9525" cap="flat" cmpd="sng">
                                  <a:solidFill>
                                    <a:srgbClr val="000000"/>
                                  </a:solidFill>
                                  <a:prstDash val="solid"/>
                                  <a:headEnd type="none" w="med" len="med"/>
                                  <a:tailEnd type="triangle" w="med" len="med"/>
                                </a:ln>
                              </wps:spPr>
                              <wps:bodyPr upright="1"/>
                            </wps:wsp>
                            <wps:wsp>
                              <wps:cNvPr id="73" name="直线 847"/>
                              <wps:cNvCnPr/>
                              <wps:spPr>
                                <a:xfrm flipV="1">
                                  <a:off x="1951355" y="323215"/>
                                  <a:ext cx="239395" cy="8890"/>
                                </a:xfrm>
                                <a:prstGeom prst="line">
                                  <a:avLst/>
                                </a:prstGeom>
                                <a:ln w="9525" cap="flat" cmpd="sng">
                                  <a:solidFill>
                                    <a:srgbClr val="000000"/>
                                  </a:solidFill>
                                  <a:prstDash val="solid"/>
                                  <a:headEnd type="none" w="med" len="med"/>
                                  <a:tailEnd type="triangle" w="med" len="med"/>
                                </a:ln>
                              </wps:spPr>
                              <wps:bodyPr upright="1"/>
                            </wps:wsp>
                            <wps:wsp>
                              <wps:cNvPr id="78" name="直线 848"/>
                              <wps:cNvCnPr/>
                              <wps:spPr>
                                <a:xfrm>
                                  <a:off x="3151505" y="332105"/>
                                  <a:ext cx="257810" cy="635"/>
                                </a:xfrm>
                                <a:prstGeom prst="line">
                                  <a:avLst/>
                                </a:prstGeom>
                                <a:ln w="9525" cap="flat" cmpd="sng">
                                  <a:solidFill>
                                    <a:srgbClr val="000000"/>
                                  </a:solidFill>
                                  <a:prstDash val="solid"/>
                                  <a:headEnd type="none" w="med" len="med"/>
                                  <a:tailEnd type="triangle" w="med" len="med"/>
                                </a:ln>
                              </wps:spPr>
                              <wps:bodyPr upright="1"/>
                            </wps:wsp>
                            <wps:wsp>
                              <wps:cNvPr id="79" name="文本框 849"/>
                              <wps:cNvSpPr txBox="1"/>
                              <wps:spPr>
                                <a:xfrm>
                                  <a:off x="2199005" y="182880"/>
                                  <a:ext cx="993140"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3"/>
                                      <w:bidi w:val="0"/>
                                      <w:rPr>
                                        <w:rFonts w:hint="default"/>
                                        <w:lang w:val="en-US" w:eastAsia="zh-CN"/>
                                      </w:rPr>
                                    </w:pPr>
                                    <w:r>
                                      <w:rPr>
                                        <w:rFonts w:hint="eastAsia"/>
                                        <w:lang w:val="en-US" w:eastAsia="zh-CN"/>
                                      </w:rPr>
                                      <w:t>二级活性炭</w:t>
                                    </w:r>
                                  </w:p>
                                </w:txbxContent>
                              </wps:txbx>
                              <wps:bodyPr vert="horz" wrap="square" anchor="t" anchorCtr="0" upright="1"/>
                            </wps:wsp>
                            <wps:wsp>
                              <wps:cNvPr id="86" name="文本框 850"/>
                              <wps:cNvSpPr txBox="1"/>
                              <wps:spPr>
                                <a:xfrm>
                                  <a:off x="1046480" y="189230"/>
                                  <a:ext cx="91757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3"/>
                                      <w:bidi w:val="0"/>
                                      <w:jc w:val="center"/>
                                      <w:rPr>
                                        <w:rFonts w:hint="default"/>
                                        <w:lang w:val="en-US" w:eastAsia="zh-CN"/>
                                      </w:rPr>
                                    </w:pPr>
                                    <w:r>
                                      <w:rPr>
                                        <w:rFonts w:hint="eastAsia"/>
                                        <w:lang w:val="en-US" w:eastAsia="zh-CN"/>
                                      </w:rPr>
                                      <w:t>集气罩</w:t>
                                    </w:r>
                                  </w:p>
                                </w:txbxContent>
                              </wps:txbx>
                              <wps:bodyPr vert="horz" wrap="square" anchor="t" anchorCtr="0" upright="1"/>
                            </wps:wsp>
                            <wps:wsp>
                              <wps:cNvPr id="87" name="文本框 851"/>
                              <wps:cNvSpPr txBox="1"/>
                              <wps:spPr>
                                <a:xfrm>
                                  <a:off x="3399155" y="198755"/>
                                  <a:ext cx="60388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eastAsia="宋体"/>
                                        <w:sz w:val="21"/>
                                        <w:szCs w:val="21"/>
                                        <w:lang w:eastAsia="zh-CN"/>
                                      </w:rPr>
                                    </w:pPr>
                                    <w:r>
                                      <w:rPr>
                                        <w:rStyle w:val="54"/>
                                        <w:rFonts w:hint="eastAsia"/>
                                        <w:lang w:eastAsia="zh-CN"/>
                                      </w:rPr>
                                      <w:t>引</w:t>
                                    </w:r>
                                    <w:r>
                                      <w:rPr>
                                        <w:rFonts w:hint="eastAsia"/>
                                        <w:sz w:val="21"/>
                                        <w:szCs w:val="21"/>
                                        <w:lang w:eastAsia="zh-CN"/>
                                      </w:rPr>
                                      <w:t>风机</w:t>
                                    </w:r>
                                  </w:p>
                                </w:txbxContent>
                              </wps:txbx>
                              <wps:bodyPr vert="horz" wrap="square" anchor="t" anchorCtr="0" upright="1"/>
                            </wps:wsp>
                            <wps:wsp>
                              <wps:cNvPr id="89" name="直线 852"/>
                              <wps:cNvCnPr/>
                              <wps:spPr>
                                <a:xfrm>
                                  <a:off x="4008755" y="341630"/>
                                  <a:ext cx="254000" cy="0"/>
                                </a:xfrm>
                                <a:prstGeom prst="line">
                                  <a:avLst/>
                                </a:prstGeom>
                                <a:ln w="9525" cap="flat" cmpd="sng">
                                  <a:solidFill>
                                    <a:srgbClr val="000000"/>
                                  </a:solidFill>
                                  <a:prstDash val="solid"/>
                                  <a:headEnd type="none" w="med" len="med"/>
                                  <a:tailEnd type="triangle" w="med" len="med"/>
                                </a:ln>
                              </wps:spPr>
                              <wps:bodyPr upright="1"/>
                            </wps:wsp>
                            <wps:wsp>
                              <wps:cNvPr id="92" name="文本框 853"/>
                              <wps:cNvSpPr txBox="1"/>
                              <wps:spPr>
                                <a:xfrm>
                                  <a:off x="4220210" y="133985"/>
                                  <a:ext cx="825500" cy="41655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sz w:val="21"/>
                                        <w:szCs w:val="21"/>
                                        <w:lang w:val="en-US" w:eastAsia="zh-CN"/>
                                      </w:rPr>
                                      <w:t>25m高排气筒排放</w:t>
                                    </w:r>
                                  </w:p>
                                </w:txbxContent>
                              </wps:txbx>
                              <wps:bodyPr vert="horz" wrap="square" anchor="t" anchorCtr="0" upright="1"/>
                            </wps:wsp>
                            <wps:wsp>
                              <wps:cNvPr id="93" name="文本框 854"/>
                              <wps:cNvSpPr txBox="1"/>
                              <wps:spPr>
                                <a:xfrm>
                                  <a:off x="1071880" y="694055"/>
                                  <a:ext cx="2675890" cy="300990"/>
                                </a:xfrm>
                                <a:prstGeom prst="rect">
                                  <a:avLst/>
                                </a:prstGeom>
                                <a:noFill/>
                                <a:ln>
                                  <a:noFill/>
                                </a:ln>
                              </wps:spPr>
                              <wps:txbx>
                                <w:txbxContent>
                                  <w:p>
                                    <w:pPr>
                                      <w:jc w:val="center"/>
                                      <w:rPr>
                                        <w:rFonts w:eastAsia="黑体"/>
                                        <w:sz w:val="24"/>
                                      </w:rPr>
                                    </w:pPr>
                                    <w:r>
                                      <w:rPr>
                                        <w:rStyle w:val="97"/>
                                        <w:rFonts w:hint="default"/>
                                      </w:rPr>
                                      <w:t>图</w:t>
                                    </w:r>
                                    <w:r>
                                      <w:rPr>
                                        <w:rStyle w:val="97"/>
                                        <w:rFonts w:hint="default"/>
                                        <w:lang w:val="en-US" w:eastAsia="zh-CN"/>
                                      </w:rPr>
                                      <w:t>4.1</w:t>
                                    </w:r>
                                    <w:r>
                                      <w:rPr>
                                        <w:rStyle w:val="97"/>
                                        <w:rFonts w:hint="default"/>
                                      </w:rPr>
                                      <w:t>-</w:t>
                                    </w:r>
                                    <w:r>
                                      <w:rPr>
                                        <w:rStyle w:val="97"/>
                                        <w:rFonts w:hint="default"/>
                                        <w:lang w:val="en-US" w:eastAsia="zh-CN"/>
                                      </w:rPr>
                                      <w:t>1</w:t>
                                    </w:r>
                                    <w:r>
                                      <w:rPr>
                                        <w:rStyle w:val="97"/>
                                        <w:rFonts w:hint="default"/>
                                      </w:rPr>
                                      <w:t xml:space="preserve"> 项目有机废气处理工艺</w:t>
                                    </w:r>
                                    <w:r>
                                      <w:rPr>
                                        <w:rFonts w:hint="default" w:ascii="Times New Roman" w:hAnsi="Times New Roman" w:eastAsia="宋体" w:cs="Times New Roman"/>
                                        <w:b/>
                                        <w:bCs/>
                                        <w:sz w:val="24"/>
                                      </w:rPr>
                                      <w:t>流程</w:t>
                                    </w:r>
                                    <w:r>
                                      <w:rPr>
                                        <w:rFonts w:eastAsia="黑体"/>
                                        <w:sz w:val="24"/>
                                      </w:rPr>
                                      <w:t>图</w:t>
                                    </w:r>
                                  </w:p>
                                  <w:p/>
                                </w:txbxContent>
                              </wps:txbx>
                              <wps:bodyPr vert="horz" wrap="square" anchor="t" anchorCtr="0" upright="1"/>
                            </wps:wsp>
                          </wpc:wpc>
                        </a:graphicData>
                      </a:graphic>
                    </wp:inline>
                  </w:drawing>
                </mc:Choice>
                <mc:Fallback>
                  <w:pict>
                    <v:group id="画布 844" o:spid="_x0000_s1026" o:spt="203" style="height:77.75pt;width:397.3pt;" coordsize="5045710,987425" editas="canvas" o:gfxdata="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B8b6vo1wAAAAUBAAAPAAAAAAAAAAEAIAAAACIAAABkcnMvZG93&#10;bnJldi54bWxQSwECFAAUAAAACACHTuJAp72P5HQEAAAXGQAADgAAAAAAAAABACAAAAAmAQAAZHJz&#10;L2Uyb0RvYy54bWxQSwUGAAAAAAYABgBZAQAADAgAAAAA&#10;">
                      <o:lock v:ext="edit" aspectratio="f"/>
                      <v:shape id="画布 844" o:spid="_x0000_s1026" style="position:absolute;left:0;top:0;height:987425;width:5045710;" filled="f" stroked="f" coordsize="21600,21600" o:gfxdata="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Hxvq+jXAAAABQEAAA8AAAAAAAAAAQAgAAAAIgAAAGRycy9kb3ducmV2&#10;LnhtbFBLAQIUABQAAAAIAIdO4kByWZHcNwQAAJMYAAAOAAAAAAAAAAEAIAAAACYBAABkcnMvZTJv&#10;RG9jLnhtbFBLBQYAAAAABgAGAFkBAADPBwAAAAA=&#10;">
                        <v:fill on="f" focussize="0,0"/>
                        <v:stroke on="f"/>
                        <v:imagedata o:title=""/>
                        <o:lock v:ext="edit" aspectratio="f"/>
                      </v:shape>
                      <v:shape id="文本框 845" o:spid="_x0000_s1026" o:spt="202" type="#_x0000_t202" style="position:absolute;left:19050;top:200660;height:324484;width:742950;" fillcolor="#FFFFFF" filled="t" stroked="t" coordsize="21600,21600" o:gfxdata="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4OOl9YAAAAFAQAADwAAAAAAAAABACAAAAAiAAAAZHJzL2Rvd25yZXYueG1sUEsB&#10;AhQAFAAAAAgAh07iQJzaIaAwAgAAdAQAAA4AAAAAAAAAAQAgAAAAJQEAAGRycy9lMm9Eb2MueG1s&#10;UEsFBgAAAAAGAAYAWQEAAMcFAAAAAA==&#10;">
                        <v:fill on="t" focussize="0,0"/>
                        <v:stroke color="#000000" joinstyle="miter"/>
                        <v:imagedata o:title=""/>
                        <o:lock v:ext="edit" aspectratio="f"/>
                        <v:textbox>
                          <w:txbxContent>
                            <w:p>
                              <w:pPr>
                                <w:pStyle w:val="53"/>
                                <w:bidi w:val="0"/>
                                <w:rPr>
                                  <w:rFonts w:hint="eastAsia"/>
                                  <w:lang w:eastAsia="zh-CN"/>
                                </w:rPr>
                              </w:pPr>
                              <w:r>
                                <w:rPr>
                                  <w:rFonts w:hint="eastAsia"/>
                                  <w:lang w:eastAsia="zh-CN"/>
                                </w:rPr>
                                <w:t>废气</w:t>
                              </w:r>
                            </w:p>
                          </w:txbxContent>
                        </v:textbox>
                      </v:shape>
                      <v:line id="直线 846" o:spid="_x0000_s1026" o:spt="20" style="position:absolute;left:767080;top:341630;height:635;width:295910;" filled="f" stroked="t" coordsize="21600,21600" o:gfxdata="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EfNvfXAAAABQEAAA8AAAAAAAAAAQAgAAAAIgAAAGRycy9kb3ducmV2&#10;LnhtbFBLAQIUABQAAAAIAIdO4kCR1XVh/QEAAO0DAAAOAAAAAAAAAAEAIAAAACYBAABkcnMvZTJv&#10;RG9jLnhtbFBLBQYAAAAABgAGAFkBAACVBQAAAAA=&#10;">
                        <v:fill on="f" focussize="0,0"/>
                        <v:stroke color="#000000" joinstyle="round" endarrow="block"/>
                        <v:imagedata o:title=""/>
                        <o:lock v:ext="edit" aspectratio="f"/>
                      </v:line>
                      <v:line id="直线 847" o:spid="_x0000_s1026" o:spt="20" style="position:absolute;left:1951355;top:323215;flip:y;height:8890;width:239395;" filled="f" stroked="t" coordsize="21600,21600" o:gfxdata="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XejpNYAAAAFAQAADwAAAAAAAAABACAAAAAiAAAA&#10;ZHJzL2Rvd25yZXYueG1sUEsBAhQAFAAAAAgAh07iQAft0tkJAgAA+QMAAA4AAAAAAAAAAQAgAAAA&#10;JQEAAGRycy9lMm9Eb2MueG1sUEsFBgAAAAAGAAYAWQEAAKAFAAAAAA==&#10;">
                        <v:fill on="f" focussize="0,0"/>
                        <v:stroke color="#000000" joinstyle="round" endarrow="block"/>
                        <v:imagedata o:title=""/>
                        <o:lock v:ext="edit" aspectratio="f"/>
                      </v:line>
                      <v:line id="直线 848" o:spid="_x0000_s1026" o:spt="20" style="position:absolute;left:3151505;top:332105;height:635;width:257810;" filled="f" stroked="t" coordsize="21600,21600" o:gfxdata="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R8299cAAAAFAQAADwAAAAAAAAABACAAAAAiAAAAZHJzL2Rvd25y&#10;ZXYueG1sUEsBAhQAFAAAAAgAh07iQDgBASr/AQAA7gMAAA4AAAAAAAAAAQAgAAAAJgEAAGRycy9l&#10;Mm9Eb2MueG1sUEsFBgAAAAAGAAYAWQEAAJcFAAAAAA==&#10;">
                        <v:fill on="f" focussize="0,0"/>
                        <v:stroke color="#000000" joinstyle="round" endarrow="block"/>
                        <v:imagedata o:title=""/>
                        <o:lock v:ext="edit" aspectratio="f"/>
                      </v:line>
                      <v:shape id="文本框 849" o:spid="_x0000_s1026" o:spt="202" type="#_x0000_t202" style="position:absolute;left:2199005;top:182880;height:319405;width:993140;" fillcolor="#FFFFFF" filled="t" stroked="t" coordsize="21600,21600" o:gfxdata="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g46X1gAAAAUBAAAPAAAAAAAAAAEAIAAAACIAAABkcnMvZG93bnJldi54&#10;bWxQSwECFAAUAAAACACHTuJAE1sFOjUCAAB2BAAADgAAAAAAAAABACAAAAAlAQAAZHJzL2Uyb0Rv&#10;Yy54bWxQSwUGAAAAAAYABgBZAQAAzAUAAAAA&#10;">
                        <v:fill on="t" focussize="0,0"/>
                        <v:stroke color="#000000" joinstyle="miter"/>
                        <v:imagedata o:title=""/>
                        <o:lock v:ext="edit" aspectratio="f"/>
                        <v:textbox>
                          <w:txbxContent>
                            <w:p>
                              <w:pPr>
                                <w:pStyle w:val="53"/>
                                <w:bidi w:val="0"/>
                                <w:rPr>
                                  <w:rFonts w:hint="default"/>
                                  <w:lang w:val="en-US" w:eastAsia="zh-CN"/>
                                </w:rPr>
                              </w:pPr>
                              <w:r>
                                <w:rPr>
                                  <w:rFonts w:hint="eastAsia"/>
                                  <w:lang w:val="en-US" w:eastAsia="zh-CN"/>
                                </w:rPr>
                                <w:t>二级活性炭</w:t>
                              </w:r>
                            </w:p>
                          </w:txbxContent>
                        </v:textbox>
                      </v:shape>
                      <v:shape id="文本框 850" o:spid="_x0000_s1026" o:spt="202" type="#_x0000_t202" style="position:absolute;left:1046480;top:189230;height:304800;width:917575;" fillcolor="#FFFFFF" filled="t" stroked="t" coordsize="21600,21600" o:gfxdata="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g46X1gAAAAUBAAAPAAAAAAAAAAEAIAAAACIAAABkcnMvZG93bnJldi54&#10;bWxQSwECFAAUAAAACACHTuJAlxgrODUCAAB2BAAADgAAAAAAAAABACAAAAAlAQAAZHJzL2Uyb0Rv&#10;Yy54bWxQSwUGAAAAAAYABgBZAQAAzAUAAAAA&#10;">
                        <v:fill on="t" focussize="0,0"/>
                        <v:stroke color="#000000" joinstyle="miter"/>
                        <v:imagedata o:title=""/>
                        <o:lock v:ext="edit" aspectratio="f"/>
                        <v:textbox>
                          <w:txbxContent>
                            <w:p>
                              <w:pPr>
                                <w:pStyle w:val="53"/>
                                <w:bidi w:val="0"/>
                                <w:jc w:val="center"/>
                                <w:rPr>
                                  <w:rFonts w:hint="default"/>
                                  <w:lang w:val="en-US" w:eastAsia="zh-CN"/>
                                </w:rPr>
                              </w:pPr>
                              <w:r>
                                <w:rPr>
                                  <w:rFonts w:hint="eastAsia"/>
                                  <w:lang w:val="en-US" w:eastAsia="zh-CN"/>
                                </w:rPr>
                                <w:t>集气罩</w:t>
                              </w:r>
                            </w:p>
                          </w:txbxContent>
                        </v:textbox>
                      </v:shape>
                      <v:shape id="文本框 851" o:spid="_x0000_s1026" o:spt="202" type="#_x0000_t202" style="position:absolute;left:3399155;top:198755;height:266700;width:603885;" fillcolor="#FFFFFF" filled="t" stroked="t" coordsize="21600,21600" o:gfxdata="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4OOl9YAAAAFAQAADwAAAAAAAAABACAAAAAiAAAAZHJzL2Rvd25yZXYu&#10;eG1sUEsBAhQAFAAAAAgAh07iQKb6qAc2AgAAdgQAAA4AAAAAAAAAAQAgAAAAJQEAAGRycy9lMm9E&#10;b2MueG1sUEsFBgAAAAAGAAYAWQEAAM0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eastAsia="宋体"/>
                                  <w:sz w:val="21"/>
                                  <w:szCs w:val="21"/>
                                  <w:lang w:eastAsia="zh-CN"/>
                                </w:rPr>
                              </w:pPr>
                              <w:r>
                                <w:rPr>
                                  <w:rStyle w:val="54"/>
                                  <w:rFonts w:hint="eastAsia"/>
                                  <w:lang w:eastAsia="zh-CN"/>
                                </w:rPr>
                                <w:t>引</w:t>
                              </w:r>
                              <w:r>
                                <w:rPr>
                                  <w:rFonts w:hint="eastAsia"/>
                                  <w:sz w:val="21"/>
                                  <w:szCs w:val="21"/>
                                  <w:lang w:eastAsia="zh-CN"/>
                                </w:rPr>
                                <w:t>风机</w:t>
                              </w:r>
                            </w:p>
                          </w:txbxContent>
                        </v:textbox>
                      </v:shape>
                      <v:line id="直线 852" o:spid="_x0000_s1026" o:spt="20" style="position:absolute;left:4008755;top:341630;height:0;width:254000;" filled="f" stroked="t" coordsize="21600,21600" o:gfxdata="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R8299cAAAAFAQAADwAAAAAAAAABACAAAAAiAAAAZHJzL2Rvd25y&#10;ZXYueG1sUEsBAhQAFAAAAAgAh07iQLARSXP/AQAA7AMAAA4AAAAAAAAAAQAgAAAAJgEAAGRycy9l&#10;Mm9Eb2MueG1sUEsFBgAAAAAGAAYAWQEAAJcFAAAAAA==&#10;">
                        <v:fill on="f" focussize="0,0"/>
                        <v:stroke color="#000000" joinstyle="round" endarrow="block"/>
                        <v:imagedata o:title=""/>
                        <o:lock v:ext="edit" aspectratio="f"/>
                      </v:line>
                      <v:shape id="文本框 853" o:spid="_x0000_s1026" o:spt="202" type="#_x0000_t202" style="position:absolute;left:4220210;top:133985;height:416559;width:825500;" filled="f" stroked="f" coordsize="21600,21600" o:gfxdata="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QsNIq0wAAAAUBAAAPAAAAAAAAAAEAIAAA&#10;ACIAAABkcnMvZG93bnJldi54bWxQSwECFAAUAAAACACHTuJABQRXf9gBAACOAwAADgAAAAAAAAAB&#10;ACAAAAAiAQAAZHJzL2Uyb0RvYy54bWxQSwUGAAAAAAYABgBZAQAAbA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sz w:val="21"/>
                                  <w:szCs w:val="21"/>
                                  <w:lang w:val="en-US" w:eastAsia="zh-CN"/>
                                </w:rPr>
                                <w:t>25m高排气筒排放</w:t>
                              </w:r>
                            </w:p>
                          </w:txbxContent>
                        </v:textbox>
                      </v:shape>
                      <v:shape id="文本框 854" o:spid="_x0000_s1026" o:spt="202" type="#_x0000_t202" style="position:absolute;left:1071880;top:694055;height:300990;width:2675890;" filled="f" stroked="f" coordsize="21600,21600" o:gfxdata="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LDSKtMAAAAFAQAADwAAAAAAAAABACAA&#10;AAAiAAAAZHJzL2Rvd25yZXYueG1sUEsBAhQAFAAAAAgAh07iQN88ypTZAQAAjwMAAA4AAAAAAAAA&#10;AQAgAAAAIgEAAGRycy9lMm9Eb2MueG1sUEsFBgAAAAAGAAYAWQEAAG0FAAAAAA==&#10;">
                        <v:fill on="f" focussize="0,0"/>
                        <v:stroke on="f"/>
                        <v:imagedata o:title=""/>
                        <o:lock v:ext="edit" aspectratio="f"/>
                        <v:textbox>
                          <w:txbxContent>
                            <w:p>
                              <w:pPr>
                                <w:jc w:val="center"/>
                                <w:rPr>
                                  <w:rFonts w:eastAsia="黑体"/>
                                  <w:sz w:val="24"/>
                                </w:rPr>
                              </w:pPr>
                              <w:r>
                                <w:rPr>
                                  <w:rStyle w:val="97"/>
                                  <w:rFonts w:hint="default"/>
                                </w:rPr>
                                <w:t>图</w:t>
                              </w:r>
                              <w:r>
                                <w:rPr>
                                  <w:rStyle w:val="97"/>
                                  <w:rFonts w:hint="default"/>
                                  <w:lang w:val="en-US" w:eastAsia="zh-CN"/>
                                </w:rPr>
                                <w:t>4.1</w:t>
                              </w:r>
                              <w:r>
                                <w:rPr>
                                  <w:rStyle w:val="97"/>
                                  <w:rFonts w:hint="default"/>
                                </w:rPr>
                                <w:t>-</w:t>
                              </w:r>
                              <w:r>
                                <w:rPr>
                                  <w:rStyle w:val="97"/>
                                  <w:rFonts w:hint="default"/>
                                  <w:lang w:val="en-US" w:eastAsia="zh-CN"/>
                                </w:rPr>
                                <w:t>1</w:t>
                              </w:r>
                              <w:r>
                                <w:rPr>
                                  <w:rStyle w:val="97"/>
                                  <w:rFonts w:hint="default"/>
                                </w:rPr>
                                <w:t xml:space="preserve"> 项目有机废气处理工艺</w:t>
                              </w:r>
                              <w:r>
                                <w:rPr>
                                  <w:rFonts w:hint="default" w:ascii="Times New Roman" w:hAnsi="Times New Roman" w:eastAsia="宋体" w:cs="Times New Roman"/>
                                  <w:b/>
                                  <w:bCs/>
                                  <w:sz w:val="24"/>
                                </w:rPr>
                                <w:t>流程</w:t>
                              </w:r>
                              <w:r>
                                <w:rPr>
                                  <w:rFonts w:eastAsia="黑体"/>
                                  <w:sz w:val="24"/>
                                </w:rPr>
                                <w:t>图</w:t>
                              </w:r>
                            </w:p>
                            <w:p/>
                          </w:txbxContent>
                        </v:textbox>
                      </v:shape>
                      <w10:wrap type="none"/>
                      <w10:anchorlock/>
                    </v:group>
                  </w:pict>
                </mc:Fallback>
              </mc:AlternateContent>
            </w:r>
          </w:p>
          <w:p>
            <w:r>
              <w:t>②工艺原理</w:t>
            </w:r>
          </w:p>
          <w:p>
            <w:r>
              <w:t>活性炭，是一种具有多孔结构和大的内部比表面积的材料。由于其大的比表面积、微孔结构、高的吸附能力和很高的表面活性而成为独特的多功能吸附剂，且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w:t>
            </w:r>
          </w:p>
          <w:p>
            <w:pPr>
              <w:rPr>
                <w:rFonts w:cs="宋体"/>
              </w:rPr>
            </w:pPr>
            <w:r>
              <w:rPr>
                <w:rFonts w:hint="eastAsia" w:cs="宋体"/>
              </w:rPr>
              <w:t>根据《吸附法工业有机废气治理工程技术规范》（HJ2026-2013）吸附剂的选择符合以下条件：当采用热气流吹扫方式再生时，煤质颗粒活性炭的性能应满足GB/T 7701.5的要求，采用非煤质活性炭作吸附剂时可参照执行。颗粒分子筛的BET比表面积应不低于350m</w:t>
            </w:r>
            <w:r>
              <w:rPr>
                <w:rFonts w:hint="eastAsia" w:cs="宋体"/>
                <w:vertAlign w:val="superscript"/>
              </w:rPr>
              <w:t>2</w:t>
            </w:r>
            <w:r>
              <w:rPr>
                <w:rFonts w:hint="eastAsia" w:cs="宋体"/>
              </w:rPr>
              <w:t>/g。固定床吸附装置吸附层的气体流速应根据吸附剂的形态确定。采用颗粒状吸附剂时，气体流速宜低于0.60m/s；采用纤维状吸附剂（活性炭纤维毡）时，气体流速宜低于0.15m/s；采用蜂窝状吸附剂时，气体流速宜低于1.20m/s。对于一次性吸附工艺，当排气浓度不能满足设计或排放要求时应更换吸附剂：对于可再生工艺应定期对吸附剂动态吸附量进行检测，当动态吸附量降低至设计值的80%时宜更换吸附剂。</w:t>
            </w:r>
          </w:p>
          <w:p>
            <w:pPr>
              <w:rPr>
                <w:rFonts w:cs="宋体"/>
              </w:rPr>
            </w:pPr>
            <w:r>
              <w:rPr>
                <w:rFonts w:hint="eastAsia" w:cs="宋体"/>
              </w:rPr>
              <w:t>本项目采用</w:t>
            </w:r>
            <w:r>
              <w:rPr>
                <w:rFonts w:cs="宋体"/>
              </w:rPr>
              <w:t>颗粒活性炭作为吸附剂，其碘值不宜低于800mg/g。活性炭、活性炭纤维产品销售时应提供产品质量证明材料</w:t>
            </w:r>
            <w:r>
              <w:rPr>
                <w:rFonts w:hint="eastAsia" w:cs="宋体"/>
              </w:rPr>
              <w:t>，能够保证动态吸附力降至设计值的80%之前更换</w:t>
            </w:r>
            <w:r>
              <w:rPr>
                <w:rFonts w:cs="宋体"/>
              </w:rPr>
              <w:t>。活性炭对有机废气具有良好的吸附效果，</w:t>
            </w:r>
            <w:r>
              <w:rPr>
                <w:rFonts w:hint="eastAsia" w:cs="宋体"/>
              </w:rPr>
              <w:t>项目严格落实活性炭的装填量和更换次数，“二级活性炭吸附装置”确保项目注塑排气筒DA001达标排放，因此，该治理技术合理可行</w:t>
            </w:r>
            <w:r>
              <w:rPr>
                <w:rFonts w:cs="宋体"/>
              </w:rPr>
              <w:t>。</w:t>
            </w:r>
          </w:p>
          <w:p>
            <w:r>
              <w:t>A、</w:t>
            </w:r>
            <w:r>
              <w:rPr>
                <w:rFonts w:hint="eastAsia"/>
              </w:rPr>
              <w:t>污染物达标分析</w:t>
            </w:r>
          </w:p>
          <w:p>
            <w:r>
              <w:rPr>
                <w:rFonts w:hint="eastAsia"/>
              </w:rPr>
              <w:t>由表4.1-1可知，本项目产生的有机废气经处理后可达到《工业企业挥发性有机物排放标准》（DB35/1782-2018） 表1中其他行业排放限值要求。</w:t>
            </w:r>
            <w:r>
              <w:t>因此，</w:t>
            </w:r>
            <w:r>
              <w:rPr>
                <w:rFonts w:hint="eastAsia"/>
              </w:rPr>
              <w:t>项目有机废气经处理后对环境影响较小，</w:t>
            </w:r>
            <w:r>
              <w:t>采取的措施可行。</w:t>
            </w:r>
          </w:p>
          <w:p>
            <w:r>
              <w:t>B、集气效率要求及可靠性分析</w:t>
            </w:r>
          </w:p>
          <w:p>
            <w:r>
              <w:rPr>
                <w:rFonts w:hint="eastAsia"/>
              </w:rPr>
              <w:t>项目注塑</w:t>
            </w:r>
            <w:r>
              <w:t>工序位于密闭的无尘车间内，无尘车间按照《洁净厂房设计规范》</w:t>
            </w:r>
            <w:r>
              <w:rPr>
                <w:rFonts w:hint="eastAsia"/>
              </w:rPr>
              <w:t>（</w:t>
            </w:r>
            <w:r>
              <w:t>GB 50073-2001</w:t>
            </w:r>
            <w:r>
              <w:rPr>
                <w:rFonts w:hint="eastAsia"/>
              </w:rPr>
              <w:t>）</w:t>
            </w:r>
            <w:r>
              <w:t>及《洁净室及相关受控环境 第9部分：按粒子浓度划分表面洁净度等级》</w:t>
            </w:r>
            <w:r>
              <w:rPr>
                <w:rFonts w:hint="eastAsia"/>
              </w:rPr>
              <w:t>（</w:t>
            </w:r>
            <w:r>
              <w:t>GB/T 25915.9-2018</w:t>
            </w:r>
            <w:r>
              <w:rPr>
                <w:rFonts w:hint="eastAsia"/>
              </w:rPr>
              <w:t>）</w:t>
            </w:r>
            <w:r>
              <w:t>等相关文件建设，车间处于负压状态，屋面设有排风机，控制风机的运行频率，将室内的压力＜外界大气压5-10pa</w:t>
            </w:r>
            <w:r>
              <w:rPr>
                <w:rFonts w:hint="eastAsia"/>
              </w:rPr>
              <w:t>，设有空气循环系统、过滤系统、排气系统等；送回风口和排风口均匀分布于屋顶或天花板上，以保证室内空气均匀分布；生产设施在车间内均匀摆放，避免堵塞通风口和阻碍空气循环；车间的门窗具有很好的密封性确保车间外空气不发生交换</w:t>
            </w:r>
            <w:r>
              <w:t>。参考《广东省工业源挥发性有机物减排量核算方法》</w:t>
            </w:r>
            <w:r>
              <w:rPr>
                <w:rFonts w:hint="eastAsia"/>
              </w:rPr>
              <w:t>（</w:t>
            </w:r>
            <w:r>
              <w:t>2023年修订版</w:t>
            </w:r>
            <w:r>
              <w:rPr>
                <w:rFonts w:hint="eastAsia"/>
              </w:rPr>
              <w:t>）</w:t>
            </w:r>
            <w:r>
              <w:t>，VOCs产生源设置在密闭车间、密闭设备</w:t>
            </w:r>
            <w:r>
              <w:rPr>
                <w:rFonts w:hint="eastAsia"/>
              </w:rPr>
              <w:t>（</w:t>
            </w:r>
            <w:r>
              <w:t>含反应釜</w:t>
            </w:r>
            <w:r>
              <w:rPr>
                <w:rFonts w:hint="eastAsia"/>
              </w:rPr>
              <w:t>）</w:t>
            </w:r>
            <w:r>
              <w:t>、密闭管道内，所有开口处，包括人员或物料进出口处呈负压的情况下，废气收集效率可达到90%。</w:t>
            </w:r>
          </w:p>
          <w:p>
            <w:r>
              <w:t>C、长期稳定运行和达标排放要求</w:t>
            </w:r>
          </w:p>
          <w:p>
            <w:r>
              <w:t>为确保</w:t>
            </w:r>
            <w:r>
              <w:rPr>
                <w:rFonts w:hint="eastAsia"/>
              </w:rPr>
              <w:t>二级活性炭吸附装置</w:t>
            </w:r>
            <w:r>
              <w:t>对有机废气的净化效率，本评价要求采取以下设计措施：</w:t>
            </w:r>
          </w:p>
          <w:p>
            <w:r>
              <w:t>a、活性炭的断裂强度应不小于5N，BET比表面积应不低于1100</w:t>
            </w:r>
            <w:r>
              <w:rPr>
                <w:rFonts w:hint="eastAsia"/>
              </w:rPr>
              <w:t>m</w:t>
            </w:r>
            <w:r>
              <w:rPr>
                <w:rFonts w:hint="eastAsia"/>
                <w:vertAlign w:val="superscript"/>
              </w:rPr>
              <w:t>2</w:t>
            </w:r>
            <w:r>
              <w:t>/g；</w:t>
            </w:r>
          </w:p>
          <w:p>
            <w:r>
              <w:t>b、采用纤维状吸附剂</w:t>
            </w:r>
            <w:r>
              <w:rPr>
                <w:rFonts w:hint="eastAsia"/>
              </w:rPr>
              <w:t>（</w:t>
            </w:r>
            <w:r>
              <w:t>活性炭纤维毡</w:t>
            </w:r>
            <w:r>
              <w:rPr>
                <w:rFonts w:hint="eastAsia"/>
              </w:rPr>
              <w:t>）</w:t>
            </w:r>
            <w:r>
              <w:t>时，气体流速宜低于0.15m/s；</w:t>
            </w:r>
          </w:p>
          <w:p>
            <w:r>
              <w:t>c、有机废气中颗粒物含量不得超过1mg/m</w:t>
            </w:r>
            <w:r>
              <w:rPr>
                <w:vertAlign w:val="superscript"/>
              </w:rPr>
              <w:t>3</w:t>
            </w:r>
            <w:r>
              <w:t>时；</w:t>
            </w:r>
          </w:p>
          <w:p>
            <w:r>
              <w:t>d、当排气浓度不能满足设计或排放要求时应更换吸附剂；</w:t>
            </w:r>
          </w:p>
          <w:p>
            <w:r>
              <w:t>e、采用纤维状吸附剂时，吸附单元的压力损失宜低于4kPa；</w:t>
            </w:r>
          </w:p>
          <w:p>
            <w:r>
              <w:t>f、采用孔径、</w:t>
            </w:r>
            <w:r>
              <w:rPr>
                <w:rFonts w:hint="eastAsia"/>
              </w:rPr>
              <w:t>空间</w:t>
            </w:r>
            <w:r>
              <w:t>分布及比表面积大的活性炭纤维；</w:t>
            </w:r>
          </w:p>
          <w:p>
            <w:r>
              <w:t>g、保证吸附质与吸附剂之间一定的接触时间，才能使吸附剂发挥最大的吸附能力</w:t>
            </w:r>
            <w:r>
              <w:rPr>
                <w:rFonts w:hint="eastAsia"/>
              </w:rPr>
              <w:t>。</w:t>
            </w:r>
          </w:p>
          <w:p>
            <w:r>
              <w:rPr>
                <w:rFonts w:hint="eastAsia"/>
              </w:rPr>
              <w:t>④无组织废气防治措施分析</w:t>
            </w:r>
          </w:p>
          <w:p>
            <w:r>
              <w:t>项目无组织废气主要为</w:t>
            </w:r>
            <w:r>
              <w:rPr>
                <w:rFonts w:hint="eastAsia"/>
              </w:rPr>
              <w:t>注塑</w:t>
            </w:r>
            <w:r>
              <w:t>工段未完全收集逸散的有机废气。采取的防止无组织气体排放的主要措施有：</w:t>
            </w:r>
          </w:p>
          <w:p>
            <w:r>
              <w:t>A、加强废气集中收集和处理，确保</w:t>
            </w:r>
            <w:r>
              <w:rPr>
                <w:rFonts w:hint="eastAsia"/>
              </w:rPr>
              <w:t>密闭负压车间的</w:t>
            </w:r>
            <w:r>
              <w:t>废气收集系统的密闭性，减少废气的无组织排放。</w:t>
            </w:r>
          </w:p>
          <w:p>
            <w:r>
              <w:t>B、</w:t>
            </w:r>
            <w:r>
              <w:rPr>
                <w:rFonts w:hint="eastAsia"/>
              </w:rPr>
              <w:t>定期检查密闭负压车间的密闭情况、负压情况，确保废气能被连续、稳定地收集。</w:t>
            </w:r>
          </w:p>
          <w:p>
            <w:r>
              <w:t>C、加强运行管理和环境管理，提高工人操作水平，通过宣传增强职工环保意识，积极推行清洁生产，节能降耗，多种措施并举，减少污染物排放。</w:t>
            </w:r>
          </w:p>
          <w:p>
            <w:r>
              <w:t>综上，通过采取以上废气治理措施后，</w:t>
            </w:r>
            <w:r>
              <w:rPr>
                <w:rFonts w:hint="eastAsia"/>
              </w:rPr>
              <w:t>本项目废气可以达到《合成树脂工业污染物排放标准》（GB31572-2015）（含 2024 年修改单，生态环境部公告 2024 年第 11 号）标准，</w:t>
            </w:r>
            <w:r>
              <w:t>对周边环境影响较小</w:t>
            </w:r>
            <w:r>
              <w:rPr>
                <w:rFonts w:hint="eastAsia"/>
              </w:rPr>
              <w:t>。</w:t>
            </w:r>
          </w:p>
          <w:p>
            <w:pPr>
              <w:pStyle w:val="4"/>
            </w:pPr>
            <w:bookmarkStart w:id="65" w:name="_Toc15579"/>
            <w:bookmarkStart w:id="66" w:name="_Toc2088"/>
            <w:bookmarkStart w:id="67" w:name="_Toc1401"/>
            <w:r>
              <w:t>运营期水环境影响分析和污染防治措施</w:t>
            </w:r>
            <w:bookmarkEnd w:id="65"/>
            <w:bookmarkEnd w:id="66"/>
            <w:bookmarkEnd w:id="67"/>
          </w:p>
          <w:p>
            <w:pPr>
              <w:pStyle w:val="5"/>
              <w:spacing w:before="120"/>
            </w:pPr>
            <w:bookmarkStart w:id="68" w:name="_Toc13997"/>
            <w:bookmarkStart w:id="69" w:name="_Toc27388"/>
            <w:bookmarkStart w:id="70" w:name="_Toc31451"/>
            <w:bookmarkStart w:id="71" w:name="_Toc2362"/>
            <w:bookmarkStart w:id="72" w:name="_Toc10212"/>
            <w:bookmarkStart w:id="73" w:name="_Toc24453"/>
            <w:bookmarkStart w:id="74" w:name="_Toc6538"/>
            <w:bookmarkStart w:id="75" w:name="_Toc19239"/>
            <w:r>
              <w:t>运营期废水源强核算</w:t>
            </w:r>
            <w:bookmarkEnd w:id="68"/>
            <w:bookmarkEnd w:id="69"/>
            <w:bookmarkEnd w:id="70"/>
            <w:bookmarkEnd w:id="71"/>
            <w:bookmarkEnd w:id="72"/>
            <w:bookmarkEnd w:id="73"/>
            <w:bookmarkEnd w:id="74"/>
            <w:bookmarkEnd w:id="75"/>
          </w:p>
          <w:p>
            <w:pPr>
              <w:tabs>
                <w:tab w:val="left" w:pos="3420"/>
              </w:tabs>
              <w:rPr>
                <w:color w:val="000000"/>
              </w:rPr>
            </w:pPr>
            <w:r>
              <w:rPr>
                <w:rFonts w:hint="eastAsia"/>
                <w:color w:val="000000"/>
              </w:rPr>
              <w:t>本项目运营期生产所需的冷却水循环使用不外排，仅产生员工生活污水</w:t>
            </w:r>
          </w:p>
          <w:p>
            <w:r>
              <w:t>本项目职工人数</w:t>
            </w:r>
            <w:r>
              <w:rPr>
                <w:rFonts w:hint="eastAsia"/>
              </w:rPr>
              <w:t>15</w:t>
            </w:r>
            <w:r>
              <w:t>人</w:t>
            </w:r>
            <w:r>
              <w:rPr>
                <w:rFonts w:hint="eastAsia"/>
              </w:rPr>
              <w:t>（</w:t>
            </w:r>
            <w:r>
              <w:t>包括生产人员、管理人员等</w:t>
            </w:r>
            <w:r>
              <w:rPr>
                <w:rFonts w:hint="eastAsia"/>
              </w:rPr>
              <w:t>）</w:t>
            </w:r>
            <w:r>
              <w:t>，均不住厂，根据《建筑给水排水设计规范》</w:t>
            </w:r>
            <w:r>
              <w:rPr>
                <w:rFonts w:hint="eastAsia"/>
              </w:rPr>
              <w:t>（</w:t>
            </w:r>
            <w:r>
              <w:t>GB50015-2010</w:t>
            </w:r>
            <w:r>
              <w:rPr>
                <w:rFonts w:hint="eastAsia"/>
              </w:rPr>
              <w:t>）</w:t>
            </w:r>
            <w:r>
              <w:t>车间工人的生活用水定额应根据车间性质确定，本项目不住厂职工生活用水定额按50L/人·d计，年工作日按全年营业</w:t>
            </w:r>
            <w:r>
              <w:rPr>
                <w:rFonts w:hint="eastAsia"/>
              </w:rPr>
              <w:t>300</w:t>
            </w:r>
            <w:r>
              <w:t>天计，则本项目职工生活用水量约为</w:t>
            </w:r>
            <w:r>
              <w:rPr>
                <w:rFonts w:hint="eastAsia"/>
              </w:rPr>
              <w:t>0.75</w:t>
            </w:r>
            <w:r>
              <w:t>t/d</w:t>
            </w:r>
            <w:r>
              <w:rPr>
                <w:rFonts w:hint="eastAsia"/>
              </w:rPr>
              <w:t>（225</w:t>
            </w:r>
            <w:r>
              <w:t>t/a</w:t>
            </w:r>
            <w:r>
              <w:rPr>
                <w:rFonts w:hint="eastAsia"/>
              </w:rPr>
              <w:t>）</w:t>
            </w:r>
            <w:r>
              <w:t>，排放系数取0.8，则项目生活污水排放量约</w:t>
            </w:r>
            <w:r>
              <w:rPr>
                <w:rFonts w:hint="eastAsia"/>
              </w:rPr>
              <w:t>0.6</w:t>
            </w:r>
            <w:r>
              <w:t>t/d</w:t>
            </w:r>
            <w:r>
              <w:rPr>
                <w:rFonts w:hint="eastAsia"/>
              </w:rPr>
              <w:t>（180</w:t>
            </w:r>
            <w:r>
              <w:t>t/a</w:t>
            </w:r>
            <w:r>
              <w:rPr>
                <w:rFonts w:hint="eastAsia"/>
              </w:rPr>
              <w:t>）</w:t>
            </w:r>
            <w:r>
              <w:t>。根据给水排水设计手册</w:t>
            </w:r>
            <w:r>
              <w:rPr>
                <w:rFonts w:hint="eastAsia"/>
              </w:rPr>
              <w:t>（</w:t>
            </w:r>
            <w:r>
              <w:t>第5册</w:t>
            </w:r>
            <w:r>
              <w:rPr>
                <w:rFonts w:hint="eastAsia"/>
              </w:rPr>
              <w:t>）</w:t>
            </w:r>
            <w:r>
              <w:t>中城镇污水水质，生活污水中各主要污染物浓度COD：400mg/L，BOD5</w:t>
            </w:r>
            <w:r>
              <w:rPr>
                <w:rFonts w:hint="eastAsia"/>
              </w:rPr>
              <w:t>：</w:t>
            </w:r>
            <w:r>
              <w:t>220mg/L，SS：200mg/L，NH</w:t>
            </w:r>
            <w:r>
              <w:rPr>
                <w:vertAlign w:val="subscript"/>
              </w:rPr>
              <w:t>3</w:t>
            </w:r>
            <w:r>
              <w:t>-N：35mg/L。项目属于</w:t>
            </w:r>
            <w:r>
              <w:rPr>
                <w:rFonts w:hint="eastAsia"/>
              </w:rPr>
              <w:t>长安污水处理厂</w:t>
            </w:r>
            <w:r>
              <w:t>服务范围，本项目生活污水</w:t>
            </w:r>
            <w:r>
              <w:rPr>
                <w:rFonts w:hint="eastAsia"/>
              </w:rPr>
              <w:t>依托万洋化粪池</w:t>
            </w:r>
            <w:r>
              <w:t>预处理后排入市政污水管网</w:t>
            </w:r>
            <w:r>
              <w:rPr>
                <w:rFonts w:hint="eastAsia"/>
              </w:rPr>
              <w:t>，纳入长安污水处理厂处理。</w:t>
            </w:r>
          </w:p>
          <w:p>
            <w:pPr>
              <w:pStyle w:val="2"/>
              <w:ind w:firstLine="480"/>
              <w:rPr>
                <w:color w:val="000000"/>
              </w:rPr>
            </w:pPr>
            <w:r>
              <w:t>本项目生活污水</w:t>
            </w:r>
            <w:r>
              <w:rPr>
                <w:rFonts w:hint="eastAsia"/>
              </w:rPr>
              <w:t>依托万洋</w:t>
            </w:r>
            <w:r>
              <w:t>化粪池预处理后通过市政管网纳入长安污水处理厂深度处理。参考环评手册中《常用污水处理设备及去除率》，本项目化粪池对生活污水的处理效率为COD：30%、BOD</w:t>
            </w:r>
            <w:r>
              <w:rPr>
                <w:vertAlign w:val="subscript"/>
              </w:rPr>
              <w:t>5</w:t>
            </w:r>
            <w:r>
              <w:t>：30%、SS：15%、氨氮：3%。</w:t>
            </w:r>
            <w:r>
              <w:rPr>
                <w:color w:val="000000"/>
              </w:rPr>
              <w:t>项目</w:t>
            </w:r>
            <w:r>
              <w:rPr>
                <w:rFonts w:hint="eastAsia"/>
                <w:color w:val="000000"/>
              </w:rPr>
              <w:t>生活</w:t>
            </w:r>
            <w:r>
              <w:rPr>
                <w:color w:val="000000"/>
              </w:rPr>
              <w:t>污水各污染物产生及排放源强情况见</w:t>
            </w:r>
            <w:r>
              <w:rPr>
                <w:rFonts w:hint="eastAsia"/>
                <w:color w:val="000000"/>
              </w:rPr>
              <w:t>下</w:t>
            </w:r>
            <w:r>
              <w:rPr>
                <w:color w:val="000000"/>
              </w:rPr>
              <w:t>表</w:t>
            </w:r>
            <w:r>
              <w:rPr>
                <w:rFonts w:hint="eastAsia"/>
                <w:color w:val="000000"/>
              </w:rPr>
              <w:t>4.2-1。</w:t>
            </w:r>
          </w:p>
          <w:p>
            <w:pPr>
              <w:pStyle w:val="96"/>
            </w:pPr>
            <w:r>
              <w:rPr>
                <w:rFonts w:hint="eastAsia"/>
              </w:rPr>
              <w:t>表4.2-1  运营期生活污水排放情况</w:t>
            </w:r>
          </w:p>
          <w:tbl>
            <w:tblPr>
              <w:tblStyle w:val="3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161"/>
              <w:gridCol w:w="809"/>
              <w:gridCol w:w="854"/>
              <w:gridCol w:w="794"/>
              <w:gridCol w:w="854"/>
              <w:gridCol w:w="689"/>
              <w:gridCol w:w="958"/>
              <w:gridCol w:w="157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0" w:type="dxa"/>
                  <w:vMerge w:val="restart"/>
                  <w:tcBorders>
                    <w:top w:val="single" w:color="000000" w:sz="12" w:space="0"/>
                    <w:left w:val="nil"/>
                    <w:tl2br w:val="nil"/>
                  </w:tcBorders>
                  <w:shd w:val="clear" w:color="auto" w:fill="auto"/>
                  <w:vAlign w:val="center"/>
                </w:tcPr>
                <w:p>
                  <w:pPr>
                    <w:pStyle w:val="53"/>
                  </w:pPr>
                  <w:r>
                    <w:rPr>
                      <w:rFonts w:hint="eastAsia"/>
                    </w:rPr>
                    <w:t>名称</w:t>
                  </w:r>
                </w:p>
              </w:tc>
              <w:tc>
                <w:tcPr>
                  <w:tcW w:w="1161" w:type="dxa"/>
                  <w:vMerge w:val="restart"/>
                  <w:tcBorders>
                    <w:top w:val="single" w:color="000000" w:sz="12" w:space="0"/>
                  </w:tcBorders>
                  <w:shd w:val="clear" w:color="auto" w:fill="auto"/>
                  <w:vAlign w:val="center"/>
                </w:tcPr>
                <w:p>
                  <w:pPr>
                    <w:pStyle w:val="53"/>
                  </w:pPr>
                  <w:r>
                    <w:rPr>
                      <w:rFonts w:hint="eastAsia"/>
                    </w:rPr>
                    <w:t>废水量</w:t>
                  </w:r>
                </w:p>
              </w:tc>
              <w:tc>
                <w:tcPr>
                  <w:tcW w:w="809" w:type="dxa"/>
                  <w:vMerge w:val="restart"/>
                  <w:tcBorders>
                    <w:top w:val="single" w:color="000000" w:sz="12" w:space="0"/>
                  </w:tcBorders>
                  <w:shd w:val="clear" w:color="auto" w:fill="auto"/>
                  <w:vAlign w:val="center"/>
                </w:tcPr>
                <w:p>
                  <w:pPr>
                    <w:pStyle w:val="53"/>
                  </w:pPr>
                  <w:r>
                    <w:rPr>
                      <w:rFonts w:hint="eastAsia"/>
                    </w:rPr>
                    <w:t>项目</w:t>
                  </w:r>
                </w:p>
              </w:tc>
              <w:tc>
                <w:tcPr>
                  <w:tcW w:w="1465" w:type="dxa"/>
                  <w:gridSpan w:val="2"/>
                  <w:tcBorders>
                    <w:top w:val="single" w:color="000000" w:sz="12" w:space="0"/>
                  </w:tcBorders>
                  <w:shd w:val="clear" w:color="auto" w:fill="auto"/>
                  <w:vAlign w:val="center"/>
                </w:tcPr>
                <w:p>
                  <w:pPr>
                    <w:pStyle w:val="53"/>
                  </w:pPr>
                  <w:r>
                    <w:rPr>
                      <w:rFonts w:hint="eastAsia"/>
                    </w:rPr>
                    <w:t>产生量</w:t>
                  </w:r>
                </w:p>
              </w:tc>
              <w:tc>
                <w:tcPr>
                  <w:tcW w:w="854" w:type="dxa"/>
                  <w:vMerge w:val="restart"/>
                  <w:tcBorders>
                    <w:top w:val="single" w:color="000000" w:sz="12" w:space="0"/>
                  </w:tcBorders>
                  <w:shd w:val="clear" w:color="auto" w:fill="auto"/>
                  <w:vAlign w:val="center"/>
                </w:tcPr>
                <w:p>
                  <w:pPr>
                    <w:pStyle w:val="53"/>
                  </w:pPr>
                  <w:r>
                    <w:rPr>
                      <w:rFonts w:hint="eastAsia"/>
                    </w:rPr>
                    <w:t>处理措施</w:t>
                  </w:r>
                </w:p>
              </w:tc>
              <w:tc>
                <w:tcPr>
                  <w:tcW w:w="1483" w:type="dxa"/>
                  <w:gridSpan w:val="2"/>
                  <w:tcBorders>
                    <w:top w:val="single" w:color="000000" w:sz="12" w:space="0"/>
                  </w:tcBorders>
                  <w:shd w:val="clear" w:color="auto" w:fill="auto"/>
                  <w:vAlign w:val="center"/>
                </w:tcPr>
                <w:p>
                  <w:pPr>
                    <w:pStyle w:val="53"/>
                  </w:pPr>
                  <w:r>
                    <w:rPr>
                      <w:rFonts w:hint="eastAsia"/>
                    </w:rPr>
                    <w:t>处理后排放</w:t>
                  </w:r>
                </w:p>
              </w:tc>
              <w:tc>
                <w:tcPr>
                  <w:tcW w:w="0" w:type="auto"/>
                  <w:vMerge w:val="restart"/>
                  <w:tcBorders>
                    <w:top w:val="single" w:color="000000" w:sz="12" w:space="0"/>
                    <w:right w:val="nil"/>
                  </w:tcBorders>
                  <w:shd w:val="clear" w:color="auto" w:fill="auto"/>
                  <w:vAlign w:val="center"/>
                </w:tcPr>
                <w:p>
                  <w:pPr>
                    <w:pStyle w:val="53"/>
                  </w:pPr>
                  <w:r>
                    <w:rPr>
                      <w:rFonts w:hint="eastAsia"/>
                    </w:rPr>
                    <w:t>排放去向</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0" w:type="dxa"/>
                  <w:vMerge w:val="continue"/>
                  <w:tcBorders>
                    <w:left w:val="nil"/>
                  </w:tcBorders>
                  <w:shd w:val="clear" w:color="auto" w:fill="auto"/>
                  <w:vAlign w:val="center"/>
                </w:tcPr>
                <w:p>
                  <w:pPr>
                    <w:pStyle w:val="53"/>
                  </w:pPr>
                </w:p>
              </w:tc>
              <w:tc>
                <w:tcPr>
                  <w:tcW w:w="1161" w:type="dxa"/>
                  <w:vMerge w:val="continue"/>
                  <w:shd w:val="clear" w:color="auto" w:fill="auto"/>
                  <w:vAlign w:val="center"/>
                </w:tcPr>
                <w:p>
                  <w:pPr>
                    <w:pStyle w:val="53"/>
                  </w:pPr>
                </w:p>
              </w:tc>
              <w:tc>
                <w:tcPr>
                  <w:tcW w:w="809" w:type="dxa"/>
                  <w:vMerge w:val="continue"/>
                  <w:shd w:val="clear" w:color="auto" w:fill="auto"/>
                  <w:vAlign w:val="center"/>
                </w:tcPr>
                <w:p>
                  <w:pPr>
                    <w:pStyle w:val="53"/>
                  </w:pPr>
                </w:p>
              </w:tc>
              <w:tc>
                <w:tcPr>
                  <w:tcW w:w="854" w:type="dxa"/>
                  <w:shd w:val="clear" w:color="auto" w:fill="auto"/>
                  <w:vAlign w:val="center"/>
                </w:tcPr>
                <w:p>
                  <w:pPr>
                    <w:pStyle w:val="53"/>
                  </w:pPr>
                  <w:r>
                    <w:t>mg/L</w:t>
                  </w:r>
                </w:p>
              </w:tc>
              <w:tc>
                <w:tcPr>
                  <w:tcW w:w="611" w:type="dxa"/>
                  <w:shd w:val="clear" w:color="auto" w:fill="auto"/>
                  <w:vAlign w:val="center"/>
                </w:tcPr>
                <w:p>
                  <w:pPr>
                    <w:pStyle w:val="53"/>
                  </w:pPr>
                  <w:r>
                    <w:t>t/a</w:t>
                  </w:r>
                </w:p>
              </w:tc>
              <w:tc>
                <w:tcPr>
                  <w:tcW w:w="854" w:type="dxa"/>
                  <w:vMerge w:val="continue"/>
                  <w:shd w:val="clear" w:color="auto" w:fill="auto"/>
                  <w:vAlign w:val="center"/>
                </w:tcPr>
                <w:p>
                  <w:pPr>
                    <w:pStyle w:val="53"/>
                  </w:pPr>
                </w:p>
              </w:tc>
              <w:tc>
                <w:tcPr>
                  <w:tcW w:w="525" w:type="dxa"/>
                  <w:shd w:val="clear" w:color="auto" w:fill="auto"/>
                  <w:vAlign w:val="center"/>
                </w:tcPr>
                <w:p>
                  <w:pPr>
                    <w:pStyle w:val="53"/>
                  </w:pPr>
                  <w:r>
                    <w:t>mg/L</w:t>
                  </w:r>
                </w:p>
              </w:tc>
              <w:tc>
                <w:tcPr>
                  <w:tcW w:w="958" w:type="dxa"/>
                  <w:shd w:val="clear" w:color="auto" w:fill="auto"/>
                  <w:vAlign w:val="center"/>
                </w:tcPr>
                <w:p>
                  <w:pPr>
                    <w:pStyle w:val="53"/>
                  </w:pPr>
                  <w:r>
                    <w:t>t/a</w:t>
                  </w:r>
                </w:p>
              </w:tc>
              <w:tc>
                <w:tcPr>
                  <w:tcW w:w="0" w:type="auto"/>
                  <w:vMerge w:val="continue"/>
                  <w:tcBorders>
                    <w:right w:val="nil"/>
                  </w:tcBorders>
                  <w:shd w:val="clear" w:color="auto" w:fill="auto"/>
                  <w:vAlign w:val="center"/>
                </w:tcPr>
                <w:p>
                  <w:pPr>
                    <w:pStyle w:val="53"/>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0" w:type="dxa"/>
                  <w:vMerge w:val="restart"/>
                  <w:tcBorders>
                    <w:left w:val="nil"/>
                  </w:tcBorders>
                  <w:shd w:val="clear" w:color="auto" w:fill="auto"/>
                  <w:vAlign w:val="center"/>
                </w:tcPr>
                <w:p>
                  <w:pPr>
                    <w:pStyle w:val="53"/>
                  </w:pPr>
                  <w:r>
                    <w:rPr>
                      <w:rFonts w:hint="eastAsia"/>
                    </w:rPr>
                    <w:t>生活污水</w:t>
                  </w:r>
                </w:p>
              </w:tc>
              <w:tc>
                <w:tcPr>
                  <w:tcW w:w="1161" w:type="dxa"/>
                  <w:vMerge w:val="restart"/>
                  <w:shd w:val="clear" w:color="auto" w:fill="auto"/>
                  <w:vAlign w:val="center"/>
                </w:tcPr>
                <w:p>
                  <w:pPr>
                    <w:pStyle w:val="53"/>
                  </w:pPr>
                  <w:r>
                    <w:rPr>
                      <w:rFonts w:hint="eastAsia"/>
                    </w:rPr>
                    <w:t>0.6</w:t>
                  </w:r>
                  <w:r>
                    <w:t>t/d</w:t>
                  </w:r>
                  <w:r>
                    <w:rPr>
                      <w:rFonts w:hint="eastAsia"/>
                    </w:rPr>
                    <w:t>（180</w:t>
                  </w:r>
                  <w:r>
                    <w:t>t/a</w:t>
                  </w:r>
                  <w:r>
                    <w:rPr>
                      <w:rFonts w:hint="eastAsia"/>
                    </w:rPr>
                    <w:t>）</w:t>
                  </w:r>
                </w:p>
              </w:tc>
              <w:tc>
                <w:tcPr>
                  <w:tcW w:w="809" w:type="dxa"/>
                  <w:shd w:val="clear" w:color="auto" w:fill="auto"/>
                  <w:vAlign w:val="center"/>
                </w:tcPr>
                <w:p>
                  <w:pPr>
                    <w:pStyle w:val="53"/>
                  </w:pPr>
                  <w:r>
                    <w:t>COD</w:t>
                  </w:r>
                </w:p>
              </w:tc>
              <w:tc>
                <w:tcPr>
                  <w:tcW w:w="854" w:type="dxa"/>
                  <w:shd w:val="clear" w:color="auto" w:fill="auto"/>
                  <w:vAlign w:val="center"/>
                </w:tcPr>
                <w:p>
                  <w:pPr>
                    <w:pStyle w:val="53"/>
                  </w:pPr>
                  <w:r>
                    <w:t>400</w:t>
                  </w:r>
                </w:p>
              </w:tc>
              <w:tc>
                <w:tcPr>
                  <w:tcW w:w="611" w:type="dxa"/>
                  <w:shd w:val="clear" w:color="auto" w:fill="auto"/>
                  <w:vAlign w:val="center"/>
                </w:tcPr>
                <w:p>
                  <w:pPr>
                    <w:pStyle w:val="53"/>
                  </w:pPr>
                  <w:r>
                    <w:t>0.072</w:t>
                  </w:r>
                </w:p>
              </w:tc>
              <w:tc>
                <w:tcPr>
                  <w:tcW w:w="854" w:type="dxa"/>
                  <w:vMerge w:val="restart"/>
                  <w:shd w:val="clear" w:color="auto" w:fill="auto"/>
                  <w:vAlign w:val="center"/>
                </w:tcPr>
                <w:p>
                  <w:pPr>
                    <w:pStyle w:val="53"/>
                  </w:pPr>
                  <w:r>
                    <w:rPr>
                      <w:rFonts w:hint="eastAsia"/>
                    </w:rPr>
                    <w:t>依托万洋化粪池处理</w:t>
                  </w:r>
                </w:p>
              </w:tc>
              <w:tc>
                <w:tcPr>
                  <w:tcW w:w="525" w:type="dxa"/>
                  <w:shd w:val="clear" w:color="auto" w:fill="auto"/>
                  <w:vAlign w:val="center"/>
                </w:tcPr>
                <w:p>
                  <w:pPr>
                    <w:pStyle w:val="53"/>
                    <w:bidi w:val="0"/>
                  </w:pPr>
                  <w:r>
                    <w:rPr>
                      <w:rFonts w:hint="default"/>
                      <w:lang w:val="en-US" w:eastAsia="zh-CN"/>
                    </w:rPr>
                    <w:t>280</w:t>
                  </w:r>
                </w:p>
              </w:tc>
              <w:tc>
                <w:tcPr>
                  <w:tcW w:w="958" w:type="dxa"/>
                  <w:shd w:val="clear" w:color="auto" w:fill="auto"/>
                  <w:vAlign w:val="center"/>
                </w:tcPr>
                <w:p>
                  <w:pPr>
                    <w:pStyle w:val="53"/>
                    <w:bidi w:val="0"/>
                  </w:pPr>
                  <w:r>
                    <w:rPr>
                      <w:rFonts w:hint="default"/>
                      <w:lang w:val="en-US" w:eastAsia="zh-CN"/>
                    </w:rPr>
                    <w:t>0.0504</w:t>
                  </w:r>
                </w:p>
              </w:tc>
              <w:tc>
                <w:tcPr>
                  <w:tcW w:w="0" w:type="auto"/>
                  <w:vMerge w:val="restart"/>
                  <w:tcBorders>
                    <w:right w:val="nil"/>
                  </w:tcBorders>
                  <w:shd w:val="clear" w:color="auto" w:fill="auto"/>
                  <w:vAlign w:val="center"/>
                </w:tcPr>
                <w:p>
                  <w:pPr>
                    <w:pStyle w:val="53"/>
                  </w:pPr>
                  <w:r>
                    <w:rPr>
                      <w:rFonts w:hint="eastAsia"/>
                    </w:rPr>
                    <w:t>排入市政污水管网，最终进入长安污水处理厂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0" w:type="dxa"/>
                  <w:vMerge w:val="continue"/>
                  <w:tcBorders>
                    <w:left w:val="nil"/>
                  </w:tcBorders>
                  <w:shd w:val="clear" w:color="auto" w:fill="auto"/>
                  <w:vAlign w:val="center"/>
                </w:tcPr>
                <w:p>
                  <w:pPr>
                    <w:pStyle w:val="53"/>
                  </w:pPr>
                </w:p>
              </w:tc>
              <w:tc>
                <w:tcPr>
                  <w:tcW w:w="1161" w:type="dxa"/>
                  <w:vMerge w:val="continue"/>
                  <w:shd w:val="clear" w:color="auto" w:fill="auto"/>
                  <w:vAlign w:val="center"/>
                </w:tcPr>
                <w:p>
                  <w:pPr>
                    <w:pStyle w:val="53"/>
                  </w:pPr>
                </w:p>
              </w:tc>
              <w:tc>
                <w:tcPr>
                  <w:tcW w:w="809" w:type="dxa"/>
                  <w:shd w:val="clear" w:color="auto" w:fill="auto"/>
                  <w:vAlign w:val="center"/>
                </w:tcPr>
                <w:p>
                  <w:pPr>
                    <w:pStyle w:val="53"/>
                  </w:pPr>
                  <w:r>
                    <w:t>BOD</w:t>
                  </w:r>
                  <w:r>
                    <w:rPr>
                      <w:vertAlign w:val="subscript"/>
                    </w:rPr>
                    <w:t>5</w:t>
                  </w:r>
                </w:p>
              </w:tc>
              <w:tc>
                <w:tcPr>
                  <w:tcW w:w="854" w:type="dxa"/>
                  <w:shd w:val="clear" w:color="auto" w:fill="auto"/>
                  <w:vAlign w:val="center"/>
                </w:tcPr>
                <w:p>
                  <w:pPr>
                    <w:pStyle w:val="53"/>
                  </w:pPr>
                  <w:r>
                    <w:t>220</w:t>
                  </w:r>
                </w:p>
              </w:tc>
              <w:tc>
                <w:tcPr>
                  <w:tcW w:w="611" w:type="dxa"/>
                  <w:shd w:val="clear" w:color="auto" w:fill="auto"/>
                  <w:vAlign w:val="center"/>
                </w:tcPr>
                <w:p>
                  <w:pPr>
                    <w:pStyle w:val="53"/>
                  </w:pPr>
                  <w:r>
                    <w:t>0.0396</w:t>
                  </w:r>
                </w:p>
              </w:tc>
              <w:tc>
                <w:tcPr>
                  <w:tcW w:w="854" w:type="dxa"/>
                  <w:vMerge w:val="continue"/>
                  <w:shd w:val="clear" w:color="auto" w:fill="auto"/>
                  <w:vAlign w:val="center"/>
                </w:tcPr>
                <w:p>
                  <w:pPr>
                    <w:pStyle w:val="53"/>
                  </w:pPr>
                </w:p>
              </w:tc>
              <w:tc>
                <w:tcPr>
                  <w:tcW w:w="525" w:type="dxa"/>
                  <w:shd w:val="clear" w:color="auto" w:fill="auto"/>
                  <w:vAlign w:val="center"/>
                </w:tcPr>
                <w:p>
                  <w:pPr>
                    <w:pStyle w:val="53"/>
                    <w:bidi w:val="0"/>
                  </w:pPr>
                  <w:r>
                    <w:rPr>
                      <w:rFonts w:hint="default"/>
                      <w:lang w:val="en-US" w:eastAsia="zh-CN"/>
                    </w:rPr>
                    <w:t>154</w:t>
                  </w:r>
                </w:p>
              </w:tc>
              <w:tc>
                <w:tcPr>
                  <w:tcW w:w="958" w:type="dxa"/>
                  <w:shd w:val="clear" w:color="auto" w:fill="auto"/>
                  <w:vAlign w:val="center"/>
                </w:tcPr>
                <w:p>
                  <w:pPr>
                    <w:pStyle w:val="53"/>
                    <w:bidi w:val="0"/>
                  </w:pPr>
                  <w:r>
                    <w:rPr>
                      <w:rFonts w:hint="default"/>
                      <w:lang w:val="en-US" w:eastAsia="zh-CN"/>
                    </w:rPr>
                    <w:t>0.0277</w:t>
                  </w:r>
                </w:p>
              </w:tc>
              <w:tc>
                <w:tcPr>
                  <w:tcW w:w="0" w:type="auto"/>
                  <w:vMerge w:val="continue"/>
                  <w:tcBorders>
                    <w:right w:val="nil"/>
                  </w:tcBorders>
                  <w:shd w:val="clear" w:color="auto" w:fill="auto"/>
                  <w:vAlign w:val="center"/>
                </w:tcPr>
                <w:p>
                  <w:pPr>
                    <w:pStyle w:val="53"/>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0" w:type="dxa"/>
                  <w:vMerge w:val="continue"/>
                  <w:tcBorders>
                    <w:left w:val="nil"/>
                  </w:tcBorders>
                  <w:shd w:val="clear" w:color="auto" w:fill="auto"/>
                  <w:vAlign w:val="center"/>
                </w:tcPr>
                <w:p>
                  <w:pPr>
                    <w:pStyle w:val="53"/>
                  </w:pPr>
                </w:p>
              </w:tc>
              <w:tc>
                <w:tcPr>
                  <w:tcW w:w="1161" w:type="dxa"/>
                  <w:vMerge w:val="continue"/>
                  <w:shd w:val="clear" w:color="auto" w:fill="auto"/>
                  <w:vAlign w:val="center"/>
                </w:tcPr>
                <w:p>
                  <w:pPr>
                    <w:pStyle w:val="53"/>
                  </w:pPr>
                </w:p>
              </w:tc>
              <w:tc>
                <w:tcPr>
                  <w:tcW w:w="809" w:type="dxa"/>
                  <w:shd w:val="clear" w:color="auto" w:fill="auto"/>
                  <w:vAlign w:val="center"/>
                </w:tcPr>
                <w:p>
                  <w:pPr>
                    <w:pStyle w:val="53"/>
                  </w:pPr>
                  <w:r>
                    <w:t>SS</w:t>
                  </w:r>
                </w:p>
              </w:tc>
              <w:tc>
                <w:tcPr>
                  <w:tcW w:w="854" w:type="dxa"/>
                  <w:shd w:val="clear" w:color="auto" w:fill="auto"/>
                  <w:vAlign w:val="center"/>
                </w:tcPr>
                <w:p>
                  <w:pPr>
                    <w:pStyle w:val="53"/>
                  </w:pPr>
                  <w:r>
                    <w:t>200</w:t>
                  </w:r>
                </w:p>
              </w:tc>
              <w:tc>
                <w:tcPr>
                  <w:tcW w:w="611" w:type="dxa"/>
                  <w:shd w:val="clear" w:color="auto" w:fill="auto"/>
                  <w:vAlign w:val="center"/>
                </w:tcPr>
                <w:p>
                  <w:pPr>
                    <w:pStyle w:val="53"/>
                  </w:pPr>
                  <w:r>
                    <w:t>0.036</w:t>
                  </w:r>
                </w:p>
              </w:tc>
              <w:tc>
                <w:tcPr>
                  <w:tcW w:w="854" w:type="dxa"/>
                  <w:vMerge w:val="continue"/>
                  <w:shd w:val="clear" w:color="auto" w:fill="auto"/>
                  <w:vAlign w:val="center"/>
                </w:tcPr>
                <w:p>
                  <w:pPr>
                    <w:pStyle w:val="53"/>
                  </w:pPr>
                </w:p>
              </w:tc>
              <w:tc>
                <w:tcPr>
                  <w:tcW w:w="525" w:type="dxa"/>
                  <w:shd w:val="clear" w:color="auto" w:fill="auto"/>
                  <w:vAlign w:val="center"/>
                </w:tcPr>
                <w:p>
                  <w:pPr>
                    <w:pStyle w:val="53"/>
                    <w:bidi w:val="0"/>
                  </w:pPr>
                  <w:r>
                    <w:rPr>
                      <w:rFonts w:hint="default"/>
                      <w:lang w:val="en-US" w:eastAsia="zh-CN"/>
                    </w:rPr>
                    <w:t>30</w:t>
                  </w:r>
                </w:p>
              </w:tc>
              <w:tc>
                <w:tcPr>
                  <w:tcW w:w="958" w:type="dxa"/>
                  <w:shd w:val="clear" w:color="auto" w:fill="auto"/>
                  <w:vAlign w:val="center"/>
                </w:tcPr>
                <w:p>
                  <w:pPr>
                    <w:pStyle w:val="53"/>
                    <w:bidi w:val="0"/>
                  </w:pPr>
                  <w:r>
                    <w:rPr>
                      <w:rFonts w:hint="default"/>
                      <w:lang w:val="en-US" w:eastAsia="zh-CN"/>
                    </w:rPr>
                    <w:t>0.0054</w:t>
                  </w:r>
                </w:p>
              </w:tc>
              <w:tc>
                <w:tcPr>
                  <w:tcW w:w="0" w:type="auto"/>
                  <w:vMerge w:val="continue"/>
                  <w:tcBorders>
                    <w:right w:val="nil"/>
                  </w:tcBorders>
                  <w:shd w:val="clear" w:color="auto" w:fill="auto"/>
                  <w:vAlign w:val="center"/>
                </w:tcPr>
                <w:p>
                  <w:pPr>
                    <w:pStyle w:val="53"/>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0" w:type="dxa"/>
                  <w:vMerge w:val="continue"/>
                  <w:tcBorders>
                    <w:left w:val="nil"/>
                    <w:bottom w:val="single" w:color="000000" w:sz="12" w:space="0"/>
                  </w:tcBorders>
                  <w:shd w:val="clear" w:color="auto" w:fill="auto"/>
                  <w:vAlign w:val="center"/>
                </w:tcPr>
                <w:p>
                  <w:pPr>
                    <w:pStyle w:val="53"/>
                  </w:pPr>
                </w:p>
              </w:tc>
              <w:tc>
                <w:tcPr>
                  <w:tcW w:w="1161" w:type="dxa"/>
                  <w:vMerge w:val="continue"/>
                  <w:tcBorders>
                    <w:bottom w:val="single" w:color="000000" w:sz="12" w:space="0"/>
                  </w:tcBorders>
                  <w:shd w:val="clear" w:color="auto" w:fill="auto"/>
                  <w:vAlign w:val="center"/>
                </w:tcPr>
                <w:p>
                  <w:pPr>
                    <w:pStyle w:val="53"/>
                  </w:pPr>
                </w:p>
              </w:tc>
              <w:tc>
                <w:tcPr>
                  <w:tcW w:w="809" w:type="dxa"/>
                  <w:tcBorders>
                    <w:bottom w:val="single" w:color="000000" w:sz="12" w:space="0"/>
                  </w:tcBorders>
                  <w:shd w:val="clear" w:color="auto" w:fill="auto"/>
                  <w:vAlign w:val="center"/>
                </w:tcPr>
                <w:p>
                  <w:pPr>
                    <w:pStyle w:val="53"/>
                  </w:pPr>
                  <w:r>
                    <w:t>NH</w:t>
                  </w:r>
                  <w:r>
                    <w:rPr>
                      <w:vertAlign w:val="subscript"/>
                    </w:rPr>
                    <w:t>3</w:t>
                  </w:r>
                  <w:r>
                    <w:t>-N</w:t>
                  </w:r>
                </w:p>
              </w:tc>
              <w:tc>
                <w:tcPr>
                  <w:tcW w:w="854" w:type="dxa"/>
                  <w:tcBorders>
                    <w:bottom w:val="single" w:color="000000" w:sz="12" w:space="0"/>
                  </w:tcBorders>
                  <w:shd w:val="clear" w:color="auto" w:fill="auto"/>
                  <w:vAlign w:val="center"/>
                </w:tcPr>
                <w:p>
                  <w:pPr>
                    <w:pStyle w:val="53"/>
                  </w:pPr>
                  <w:r>
                    <w:t>35</w:t>
                  </w:r>
                </w:p>
              </w:tc>
              <w:tc>
                <w:tcPr>
                  <w:tcW w:w="611" w:type="dxa"/>
                  <w:tcBorders>
                    <w:bottom w:val="single" w:color="000000" w:sz="12" w:space="0"/>
                  </w:tcBorders>
                  <w:shd w:val="clear" w:color="auto" w:fill="auto"/>
                  <w:vAlign w:val="center"/>
                </w:tcPr>
                <w:p>
                  <w:pPr>
                    <w:pStyle w:val="53"/>
                  </w:pPr>
                  <w:r>
                    <w:t>0.0063</w:t>
                  </w:r>
                </w:p>
              </w:tc>
              <w:tc>
                <w:tcPr>
                  <w:tcW w:w="854" w:type="dxa"/>
                  <w:vMerge w:val="continue"/>
                  <w:tcBorders>
                    <w:bottom w:val="single" w:color="000000" w:sz="12" w:space="0"/>
                  </w:tcBorders>
                  <w:shd w:val="clear" w:color="auto" w:fill="auto"/>
                  <w:vAlign w:val="center"/>
                </w:tcPr>
                <w:p>
                  <w:pPr>
                    <w:pStyle w:val="53"/>
                  </w:pPr>
                </w:p>
              </w:tc>
              <w:tc>
                <w:tcPr>
                  <w:tcW w:w="525" w:type="dxa"/>
                  <w:tcBorders>
                    <w:bottom w:val="single" w:color="000000" w:sz="12" w:space="0"/>
                  </w:tcBorders>
                  <w:shd w:val="clear" w:color="auto" w:fill="auto"/>
                  <w:vAlign w:val="center"/>
                </w:tcPr>
                <w:p>
                  <w:pPr>
                    <w:pStyle w:val="53"/>
                    <w:bidi w:val="0"/>
                  </w:pPr>
                  <w:r>
                    <w:rPr>
                      <w:rFonts w:hint="default"/>
                      <w:lang w:val="en-US" w:eastAsia="zh-CN"/>
                    </w:rPr>
                    <w:t>33.95</w:t>
                  </w:r>
                </w:p>
              </w:tc>
              <w:tc>
                <w:tcPr>
                  <w:tcW w:w="958" w:type="dxa"/>
                  <w:tcBorders>
                    <w:bottom w:val="single" w:color="000000" w:sz="12" w:space="0"/>
                  </w:tcBorders>
                  <w:shd w:val="clear" w:color="auto" w:fill="auto"/>
                  <w:vAlign w:val="center"/>
                </w:tcPr>
                <w:p>
                  <w:pPr>
                    <w:pStyle w:val="53"/>
                    <w:bidi w:val="0"/>
                  </w:pPr>
                  <w:r>
                    <w:rPr>
                      <w:rFonts w:hint="default"/>
                      <w:lang w:val="en-US" w:eastAsia="zh-CN"/>
                    </w:rPr>
                    <w:t>0.0061</w:t>
                  </w:r>
                </w:p>
              </w:tc>
              <w:tc>
                <w:tcPr>
                  <w:tcW w:w="0" w:type="auto"/>
                  <w:vMerge w:val="continue"/>
                  <w:tcBorders>
                    <w:bottom w:val="single" w:color="000000" w:sz="12" w:space="0"/>
                    <w:right w:val="nil"/>
                  </w:tcBorders>
                  <w:shd w:val="clear" w:color="auto" w:fill="auto"/>
                  <w:vAlign w:val="center"/>
                </w:tcPr>
                <w:p>
                  <w:pPr>
                    <w:pStyle w:val="53"/>
                  </w:pPr>
                </w:p>
              </w:tc>
            </w:tr>
          </w:tbl>
          <w:p>
            <w:pPr>
              <w:pStyle w:val="5"/>
              <w:spacing w:before="120"/>
            </w:pPr>
            <w:r>
              <w:rPr>
                <w:rFonts w:hint="eastAsia"/>
              </w:rPr>
              <w:t>废水</w:t>
            </w:r>
            <w:r>
              <w:t>污染防治措施</w:t>
            </w:r>
            <w:r>
              <w:rPr>
                <w:rFonts w:hint="eastAsia"/>
              </w:rPr>
              <w:t>及</w:t>
            </w:r>
            <w:r>
              <w:t>可行性分析</w:t>
            </w:r>
          </w:p>
          <w:p>
            <w:pPr>
              <w:pStyle w:val="6"/>
            </w:pPr>
            <w:r>
              <w:rPr>
                <w:rFonts w:hint="eastAsia"/>
              </w:rPr>
              <w:t>废水治理措施</w:t>
            </w:r>
          </w:p>
          <w:p>
            <w:pPr>
              <w:pStyle w:val="117"/>
              <w:rPr>
                <w:rFonts w:hint="default" w:ascii="Times New Roman" w:hAnsi="Times New Roman"/>
                <w:color w:val="000000"/>
              </w:rPr>
            </w:pPr>
            <w:r>
              <w:rPr>
                <w:rFonts w:hint="default"/>
              </w:rPr>
              <w:t>项目</w:t>
            </w:r>
            <w:r>
              <w:t>生产废水为</w:t>
            </w:r>
            <w:r>
              <w:rPr>
                <w:rFonts w:hint="default"/>
              </w:rPr>
              <w:t>冷却水循环使用，不外排。</w:t>
            </w:r>
            <w:r>
              <w:rPr>
                <w:rFonts w:ascii="Times New Roman" w:hAnsi="Times New Roman"/>
                <w:color w:val="000000"/>
                <w:szCs w:val="22"/>
              </w:rPr>
              <w:t>项目无其他生产废水排放，只有少量的职工生活污水；</w:t>
            </w:r>
            <w:r>
              <w:t>项目生活污水依托万洋化粪池预处理后</w:t>
            </w:r>
            <w:r>
              <w:rPr>
                <w:rFonts w:hint="default"/>
              </w:rPr>
              <w:t>达《污水综合排放标准》</w:t>
            </w:r>
            <w:r>
              <w:t>（</w:t>
            </w:r>
            <w:r>
              <w:rPr>
                <w:rFonts w:hint="default"/>
              </w:rPr>
              <w:t>GB8978-1996</w:t>
            </w:r>
            <w:r>
              <w:t>）</w:t>
            </w:r>
            <w:r>
              <w:rPr>
                <w:rFonts w:hint="default"/>
              </w:rPr>
              <w:t>表4中三级标准</w:t>
            </w:r>
            <w:r>
              <w:t>及污水处理厂进水水质</w:t>
            </w:r>
            <w:r>
              <w:rPr>
                <w:rFonts w:hint="default"/>
              </w:rPr>
              <w:t>要求后，接入</w:t>
            </w:r>
            <w:r>
              <w:t>长安污水处理厂</w:t>
            </w:r>
            <w:r>
              <w:rPr>
                <w:rFonts w:hint="default"/>
              </w:rPr>
              <w:t>处理。</w:t>
            </w:r>
          </w:p>
          <w:p>
            <w:pPr>
              <w:pStyle w:val="6"/>
            </w:pPr>
            <w:r>
              <w:rPr>
                <w:bCs/>
                <w:color w:val="000000"/>
              </w:rPr>
              <w:t>依托厂区化粪池</w:t>
            </w:r>
            <w:r>
              <w:rPr>
                <w:rFonts w:hint="eastAsia"/>
                <w:bCs/>
                <w:color w:val="000000"/>
              </w:rPr>
              <w:t>治理措施</w:t>
            </w:r>
            <w:r>
              <w:rPr>
                <w:rFonts w:hint="eastAsia"/>
              </w:rPr>
              <w:t>可行性分析</w:t>
            </w:r>
          </w:p>
          <w:p>
            <w:pPr>
              <w:rPr>
                <w:rFonts w:cs="宋体"/>
                <w:color w:val="000000"/>
              </w:rPr>
            </w:pPr>
            <w:r>
              <w:rPr>
                <w:rFonts w:hint="eastAsia"/>
                <w:color w:val="000000"/>
                <w:szCs w:val="22"/>
                <w:lang w:val="en-US" w:eastAsia="zh-CN"/>
              </w:rPr>
              <w:t>万洋众创城B区共有11座化粪池，总体积342m</w:t>
            </w:r>
            <w:r>
              <w:rPr>
                <w:rFonts w:hint="eastAsia"/>
                <w:color w:val="000000"/>
                <w:szCs w:val="22"/>
                <w:vertAlign w:val="superscript"/>
                <w:lang w:val="en-US" w:eastAsia="zh-CN"/>
              </w:rPr>
              <w:t>3</w:t>
            </w:r>
            <w:r>
              <w:rPr>
                <w:rFonts w:hint="eastAsia"/>
                <w:color w:val="000000"/>
                <w:szCs w:val="22"/>
                <w:lang w:val="en-US" w:eastAsia="zh-CN"/>
              </w:rPr>
              <w:t>，</w:t>
            </w:r>
            <w:r>
              <w:rPr>
                <w:rFonts w:hint="eastAsia"/>
                <w:color w:val="000000"/>
                <w:szCs w:val="22"/>
              </w:rPr>
              <w:t>化粪池是利用沉淀和厌氧发酵原理去除生活污水中悬浮性有机物的处理设备。设备内部设有隔板，隔板上的孔上下错位，不易形成短流，并将整体罐体分成三部分；一级厌氧室、二级厌氧室和澄清室，一级、二级厌氧室底部相通，内部加有“MDS专用特型填料”。这样的分隔减少了污水与污泥的接触时间，使酸性发酵和碱性发酵两个过程互不干扰，同时填料的存在增加了污水污泥与厌氧菌的接触表面积，大大提高了反应效率</w:t>
            </w:r>
            <w:r>
              <w:rPr>
                <w:rFonts w:cs="宋体"/>
                <w:color w:val="000000"/>
              </w:rPr>
              <w:t>。</w:t>
            </w:r>
          </w:p>
          <w:p>
            <w:pPr>
              <w:pStyle w:val="6"/>
              <w:rPr>
                <w:color w:val="000000"/>
              </w:rPr>
            </w:pPr>
            <w:r>
              <w:rPr>
                <w:rFonts w:hint="eastAsia"/>
              </w:rPr>
              <w:t>纳入长安污水处理厂的可行性分析</w:t>
            </w:r>
          </w:p>
          <w:p>
            <w:r>
              <w:rPr>
                <w:rFonts w:hint="eastAsia"/>
              </w:rPr>
              <w:t>项目废水</w:t>
            </w:r>
            <w:r>
              <w:t>属于间接排放，根据《建设项目环境影响报告表编制技术指南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要求，废水间接排放的建设项目应从处理能力、处理工艺、设计进出水水质等方面，分析依托集中污水处理厂的可行性。</w:t>
            </w:r>
          </w:p>
          <w:p>
            <w:r>
              <w:rPr>
                <w:rFonts w:hint="eastAsia"/>
              </w:rPr>
              <w:t>（1）长安污水处理厂概况</w:t>
            </w:r>
          </w:p>
          <w:p>
            <w:r>
              <w:rPr>
                <w:rFonts w:hint="eastAsia"/>
              </w:rPr>
              <w:t>建设规模和服务范围：</w:t>
            </w:r>
            <w:r>
              <w:t>长安污水处理厂主要接纳福州经济技术开发区长安延伸区的工业污水和生活污水，1994年开始投入设计、土建施工、设备安装，于1998年投入运行。经过两次扩建后，长安污水处理厂合计处理规模为4.0万m</w:t>
            </w:r>
            <w:r>
              <w:rPr>
                <w:vertAlign w:val="superscript"/>
              </w:rPr>
              <w:t>3</w:t>
            </w:r>
            <w:r>
              <w:t>/d。长安污水处理厂的服务范围东起胐头村，西至磨溪，南至闽江，北连鼓山脚，包括范围内的生活污水和工业污水。本项目所在区域属于长安污水处理厂设计纳污范围内。</w:t>
            </w:r>
          </w:p>
          <w:p>
            <w:r>
              <w:rPr>
                <w:rFonts w:hint="eastAsia"/>
              </w:rPr>
              <w:t>进出水指标：</w:t>
            </w:r>
            <w:r>
              <w:t>长安污水处理厂的设计进水水质指标见下表。现有出水要求达到《城镇污水 处理厂污染物排放标准》（GB18918-2002）中的一级A标准执行。</w:t>
            </w:r>
          </w:p>
          <w:p>
            <w:pPr>
              <w:pStyle w:val="96"/>
            </w:pPr>
            <w:r>
              <w:t>表</w:t>
            </w:r>
            <w:r>
              <w:rPr>
                <w:rFonts w:hint="eastAsia"/>
              </w:rPr>
              <w:t>4.2.3 长安污水处理厂设计进水水质 单位：mg/L（pH除外）</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334"/>
              <w:gridCol w:w="681"/>
              <w:gridCol w:w="936"/>
              <w:gridCol w:w="936"/>
              <w:gridCol w:w="1021"/>
              <w:gridCol w:w="803"/>
              <w:gridCol w:w="936"/>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tcBorders>
                    <w:left w:val="nil"/>
                  </w:tcBorders>
                  <w:vAlign w:val="center"/>
                </w:tcPr>
                <w:p>
                  <w:pPr>
                    <w:pStyle w:val="53"/>
                  </w:pPr>
                  <w:r>
                    <w:rPr>
                      <w:rFonts w:hint="eastAsia"/>
                    </w:rPr>
                    <w:t>序号</w:t>
                  </w:r>
                </w:p>
              </w:tc>
              <w:tc>
                <w:tcPr>
                  <w:tcW w:w="801" w:type="pct"/>
                  <w:vAlign w:val="center"/>
                </w:tcPr>
                <w:p>
                  <w:pPr>
                    <w:pStyle w:val="53"/>
                  </w:pPr>
                  <w:r>
                    <w:rPr>
                      <w:rFonts w:hint="eastAsia"/>
                    </w:rPr>
                    <w:t>情况</w:t>
                  </w:r>
                </w:p>
              </w:tc>
              <w:tc>
                <w:tcPr>
                  <w:tcW w:w="409" w:type="pct"/>
                  <w:vAlign w:val="center"/>
                </w:tcPr>
                <w:p>
                  <w:pPr>
                    <w:pStyle w:val="53"/>
                  </w:pPr>
                  <w:r>
                    <w:rPr>
                      <w:rFonts w:hint="eastAsia"/>
                    </w:rPr>
                    <w:t>pH</w:t>
                  </w:r>
                </w:p>
              </w:tc>
              <w:tc>
                <w:tcPr>
                  <w:tcW w:w="562" w:type="pct"/>
                  <w:vAlign w:val="center"/>
                </w:tcPr>
                <w:p>
                  <w:pPr>
                    <w:pStyle w:val="53"/>
                  </w:pPr>
                  <w:r>
                    <w:rPr>
                      <w:rFonts w:hint="eastAsia"/>
                    </w:rPr>
                    <w:t>COD</w:t>
                  </w:r>
                </w:p>
              </w:tc>
              <w:tc>
                <w:tcPr>
                  <w:tcW w:w="562" w:type="pct"/>
                  <w:vAlign w:val="center"/>
                </w:tcPr>
                <w:p>
                  <w:pPr>
                    <w:pStyle w:val="53"/>
                  </w:pPr>
                  <w:r>
                    <w:rPr>
                      <w:rFonts w:hint="eastAsia"/>
                    </w:rPr>
                    <w:t>BOD</w:t>
                  </w:r>
                  <w:r>
                    <w:rPr>
                      <w:rFonts w:hint="eastAsia"/>
                      <w:vertAlign w:val="subscript"/>
                    </w:rPr>
                    <w:t>5</w:t>
                  </w:r>
                </w:p>
              </w:tc>
              <w:tc>
                <w:tcPr>
                  <w:tcW w:w="613" w:type="pct"/>
                  <w:vAlign w:val="center"/>
                </w:tcPr>
                <w:p>
                  <w:pPr>
                    <w:pStyle w:val="53"/>
                  </w:pPr>
                  <w:r>
                    <w:rPr>
                      <w:rFonts w:hint="eastAsia"/>
                    </w:rPr>
                    <w:t>NH</w:t>
                  </w:r>
                  <w:r>
                    <w:rPr>
                      <w:rFonts w:hint="eastAsia"/>
                      <w:vertAlign w:val="subscript"/>
                    </w:rPr>
                    <w:t>3</w:t>
                  </w:r>
                  <w:r>
                    <w:rPr>
                      <w:rFonts w:hint="eastAsia"/>
                    </w:rPr>
                    <w:t>-N</w:t>
                  </w:r>
                </w:p>
              </w:tc>
              <w:tc>
                <w:tcPr>
                  <w:tcW w:w="482" w:type="pct"/>
                  <w:vAlign w:val="center"/>
                </w:tcPr>
                <w:p>
                  <w:pPr>
                    <w:pStyle w:val="53"/>
                  </w:pPr>
                  <w:r>
                    <w:rPr>
                      <w:rFonts w:hint="eastAsia"/>
                    </w:rPr>
                    <w:t>TN</w:t>
                  </w:r>
                </w:p>
              </w:tc>
              <w:tc>
                <w:tcPr>
                  <w:tcW w:w="562" w:type="pct"/>
                  <w:vAlign w:val="center"/>
                </w:tcPr>
                <w:p>
                  <w:pPr>
                    <w:pStyle w:val="53"/>
                  </w:pPr>
                  <w:r>
                    <w:rPr>
                      <w:rFonts w:hint="eastAsia"/>
                    </w:rPr>
                    <w:t>SS</w:t>
                  </w:r>
                </w:p>
              </w:tc>
              <w:tc>
                <w:tcPr>
                  <w:tcW w:w="522" w:type="pct"/>
                  <w:tcBorders>
                    <w:right w:val="nil"/>
                  </w:tcBorders>
                  <w:vAlign w:val="center"/>
                </w:tcPr>
                <w:p>
                  <w:pPr>
                    <w:pStyle w:val="53"/>
                  </w:pPr>
                  <w:r>
                    <w:rPr>
                      <w:rFonts w:hint="eastAsia"/>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tcBorders>
                    <w:left w:val="nil"/>
                  </w:tcBorders>
                  <w:vAlign w:val="center"/>
                </w:tcPr>
                <w:p>
                  <w:pPr>
                    <w:pStyle w:val="53"/>
                  </w:pPr>
                  <w:r>
                    <w:rPr>
                      <w:rFonts w:hint="eastAsia"/>
                    </w:rPr>
                    <w:t>1</w:t>
                  </w:r>
                </w:p>
              </w:tc>
              <w:tc>
                <w:tcPr>
                  <w:tcW w:w="801" w:type="pct"/>
                  <w:vAlign w:val="center"/>
                </w:tcPr>
                <w:p>
                  <w:pPr>
                    <w:pStyle w:val="53"/>
                  </w:pPr>
                  <w:r>
                    <w:rPr>
                      <w:rFonts w:hint="eastAsia"/>
                    </w:rPr>
                    <w:t>进水水质</w:t>
                  </w:r>
                </w:p>
              </w:tc>
              <w:tc>
                <w:tcPr>
                  <w:tcW w:w="409" w:type="pct"/>
                  <w:vAlign w:val="center"/>
                </w:tcPr>
                <w:p>
                  <w:pPr>
                    <w:pStyle w:val="53"/>
                  </w:pPr>
                  <w:r>
                    <w:rPr>
                      <w:rFonts w:hint="eastAsia"/>
                    </w:rPr>
                    <w:t>6~9</w:t>
                  </w:r>
                </w:p>
              </w:tc>
              <w:tc>
                <w:tcPr>
                  <w:tcW w:w="562" w:type="pct"/>
                  <w:vAlign w:val="center"/>
                </w:tcPr>
                <w:p>
                  <w:pPr>
                    <w:pStyle w:val="53"/>
                  </w:pPr>
                  <w:r>
                    <w:rPr>
                      <w:rFonts w:hint="eastAsia"/>
                    </w:rPr>
                    <w:t>≤300</w:t>
                  </w:r>
                </w:p>
              </w:tc>
              <w:tc>
                <w:tcPr>
                  <w:tcW w:w="562" w:type="pct"/>
                  <w:vAlign w:val="center"/>
                </w:tcPr>
                <w:p>
                  <w:pPr>
                    <w:pStyle w:val="53"/>
                  </w:pPr>
                  <w:r>
                    <w:rPr>
                      <w:rFonts w:hint="eastAsia"/>
                    </w:rPr>
                    <w:t>≤150</w:t>
                  </w:r>
                </w:p>
              </w:tc>
              <w:tc>
                <w:tcPr>
                  <w:tcW w:w="613" w:type="pct"/>
                  <w:vAlign w:val="center"/>
                </w:tcPr>
                <w:p>
                  <w:pPr>
                    <w:pStyle w:val="53"/>
                  </w:pPr>
                  <w:r>
                    <w:rPr>
                      <w:rFonts w:hint="eastAsia"/>
                    </w:rPr>
                    <w:t>≤30</w:t>
                  </w:r>
                </w:p>
              </w:tc>
              <w:tc>
                <w:tcPr>
                  <w:tcW w:w="482" w:type="pct"/>
                  <w:vAlign w:val="center"/>
                </w:tcPr>
                <w:p>
                  <w:pPr>
                    <w:pStyle w:val="53"/>
                  </w:pPr>
                  <w:r>
                    <w:rPr>
                      <w:rFonts w:hint="eastAsia"/>
                    </w:rPr>
                    <w:t>≤45</w:t>
                  </w:r>
                </w:p>
              </w:tc>
              <w:tc>
                <w:tcPr>
                  <w:tcW w:w="562" w:type="pct"/>
                  <w:vAlign w:val="center"/>
                </w:tcPr>
                <w:p>
                  <w:pPr>
                    <w:pStyle w:val="53"/>
                  </w:pPr>
                  <w:r>
                    <w:rPr>
                      <w:rFonts w:hint="eastAsia"/>
                    </w:rPr>
                    <w:t>≤250</w:t>
                  </w:r>
                </w:p>
              </w:tc>
              <w:tc>
                <w:tcPr>
                  <w:tcW w:w="522" w:type="pct"/>
                  <w:tcBorders>
                    <w:right w:val="nil"/>
                  </w:tcBorders>
                  <w:vAlign w:val="center"/>
                </w:tcPr>
                <w:p>
                  <w:pPr>
                    <w:pStyle w:val="53"/>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tcBorders>
                    <w:left w:val="nil"/>
                  </w:tcBorders>
                  <w:vAlign w:val="center"/>
                </w:tcPr>
                <w:p>
                  <w:pPr>
                    <w:pStyle w:val="53"/>
                  </w:pPr>
                  <w:r>
                    <w:rPr>
                      <w:rFonts w:hint="eastAsia"/>
                    </w:rPr>
                    <w:t>2</w:t>
                  </w:r>
                </w:p>
              </w:tc>
              <w:tc>
                <w:tcPr>
                  <w:tcW w:w="801" w:type="pct"/>
                  <w:vAlign w:val="center"/>
                </w:tcPr>
                <w:p>
                  <w:pPr>
                    <w:pStyle w:val="53"/>
                  </w:pPr>
                  <w:r>
                    <w:rPr>
                      <w:rFonts w:hint="eastAsia"/>
                    </w:rPr>
                    <w:t>出水水质</w:t>
                  </w:r>
                </w:p>
              </w:tc>
              <w:tc>
                <w:tcPr>
                  <w:tcW w:w="409" w:type="pct"/>
                  <w:vAlign w:val="center"/>
                </w:tcPr>
                <w:p>
                  <w:pPr>
                    <w:pStyle w:val="53"/>
                  </w:pPr>
                  <w:r>
                    <w:rPr>
                      <w:rFonts w:hint="eastAsia"/>
                    </w:rPr>
                    <w:t>6~9</w:t>
                  </w:r>
                </w:p>
              </w:tc>
              <w:tc>
                <w:tcPr>
                  <w:tcW w:w="562" w:type="pct"/>
                  <w:vAlign w:val="center"/>
                </w:tcPr>
                <w:p>
                  <w:pPr>
                    <w:pStyle w:val="53"/>
                  </w:pPr>
                  <w:r>
                    <w:rPr>
                      <w:rFonts w:hint="eastAsia"/>
                    </w:rPr>
                    <w:t>≤50</w:t>
                  </w:r>
                </w:p>
              </w:tc>
              <w:tc>
                <w:tcPr>
                  <w:tcW w:w="562" w:type="pct"/>
                  <w:vAlign w:val="center"/>
                </w:tcPr>
                <w:p>
                  <w:pPr>
                    <w:pStyle w:val="53"/>
                  </w:pPr>
                  <w:r>
                    <w:rPr>
                      <w:rFonts w:hint="eastAsia"/>
                    </w:rPr>
                    <w:t>≤10</w:t>
                  </w:r>
                </w:p>
              </w:tc>
              <w:tc>
                <w:tcPr>
                  <w:tcW w:w="613" w:type="pct"/>
                  <w:vAlign w:val="center"/>
                </w:tcPr>
                <w:p>
                  <w:pPr>
                    <w:pStyle w:val="53"/>
                  </w:pPr>
                  <w:r>
                    <w:rPr>
                      <w:rFonts w:hint="eastAsia"/>
                    </w:rPr>
                    <w:t>≤5</w:t>
                  </w:r>
                </w:p>
              </w:tc>
              <w:tc>
                <w:tcPr>
                  <w:tcW w:w="482" w:type="pct"/>
                  <w:vAlign w:val="center"/>
                </w:tcPr>
                <w:p>
                  <w:pPr>
                    <w:pStyle w:val="53"/>
                  </w:pPr>
                  <w:r>
                    <w:rPr>
                      <w:rFonts w:hint="eastAsia"/>
                    </w:rPr>
                    <w:t>≤15</w:t>
                  </w:r>
                </w:p>
              </w:tc>
              <w:tc>
                <w:tcPr>
                  <w:tcW w:w="562" w:type="pct"/>
                  <w:vAlign w:val="center"/>
                </w:tcPr>
                <w:p>
                  <w:pPr>
                    <w:pStyle w:val="53"/>
                  </w:pPr>
                  <w:r>
                    <w:rPr>
                      <w:rFonts w:hint="eastAsia"/>
                    </w:rPr>
                    <w:t>≤10</w:t>
                  </w:r>
                </w:p>
              </w:tc>
              <w:tc>
                <w:tcPr>
                  <w:tcW w:w="522" w:type="pct"/>
                  <w:tcBorders>
                    <w:right w:val="nil"/>
                  </w:tcBorders>
                  <w:vAlign w:val="center"/>
                </w:tcPr>
                <w:p>
                  <w:pPr>
                    <w:pStyle w:val="53"/>
                  </w:pPr>
                  <w:r>
                    <w:rPr>
                      <w:rFonts w:hint="eastAsia"/>
                    </w:rPr>
                    <w:t>≤0.5</w:t>
                  </w:r>
                </w:p>
              </w:tc>
            </w:tr>
          </w:tbl>
          <w:p>
            <w:r>
              <w:rPr>
                <w:rFonts w:hint="eastAsia"/>
              </w:rPr>
              <w:t>长安污水处理厂处理工艺流程图详见下图4.2-2</w:t>
            </w:r>
          </w:p>
          <w:p>
            <w:pPr>
              <w:pStyle w:val="19"/>
              <w:ind w:firstLineChars="0"/>
              <w:jc w:val="center"/>
            </w:pPr>
            <w:r>
              <w:rPr>
                <w:rFonts w:hint="eastAsia"/>
              </w:rPr>
              <w:drawing>
                <wp:inline distT="0" distB="0" distL="114300" distR="114300">
                  <wp:extent cx="5035550" cy="2051685"/>
                  <wp:effectExtent l="0" t="0" r="12700" b="5715"/>
                  <wp:docPr id="67" name="图片 2" descr="17441854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1744185405034"/>
                          <pic:cNvPicPr>
                            <a:picLocks noChangeAspect="1"/>
                          </pic:cNvPicPr>
                        </pic:nvPicPr>
                        <pic:blipFill>
                          <a:blip r:embed="rId23" cstate="print"/>
                          <a:stretch>
                            <a:fillRect/>
                          </a:stretch>
                        </pic:blipFill>
                        <pic:spPr>
                          <a:xfrm>
                            <a:off x="0" y="0"/>
                            <a:ext cx="5035550" cy="2051685"/>
                          </a:xfrm>
                          <a:prstGeom prst="rect">
                            <a:avLst/>
                          </a:prstGeom>
                          <a:noFill/>
                          <a:ln>
                            <a:noFill/>
                          </a:ln>
                        </pic:spPr>
                      </pic:pic>
                    </a:graphicData>
                  </a:graphic>
                </wp:inline>
              </w:drawing>
            </w:r>
          </w:p>
          <w:p>
            <w:pPr>
              <w:pStyle w:val="19"/>
              <w:ind w:firstLine="482"/>
              <w:jc w:val="center"/>
              <w:rPr>
                <w:b/>
                <w:bCs/>
              </w:rPr>
            </w:pPr>
            <w:r>
              <w:rPr>
                <w:rFonts w:hint="eastAsia"/>
                <w:b/>
                <w:bCs/>
              </w:rPr>
              <w:t>图4.2-2 长安污水处理厂处理工艺流程图</w:t>
            </w:r>
          </w:p>
          <w:p>
            <w:pPr>
              <w:ind w:left="480" w:leftChars="200" w:firstLine="0" w:firstLineChars="0"/>
            </w:pPr>
            <w:r>
              <w:rPr>
                <w:rFonts w:hint="eastAsia"/>
              </w:rPr>
              <w:t>（2）接管可行性分析</w:t>
            </w:r>
          </w:p>
          <w:p>
            <w:pPr>
              <w:numPr>
                <w:ilvl w:val="0"/>
                <w:numId w:val="6"/>
              </w:numPr>
            </w:pPr>
            <w:r>
              <w:t xml:space="preserve">管网衔接 </w:t>
            </w:r>
          </w:p>
          <w:p>
            <w:r>
              <w:rPr>
                <w:rFonts w:ascii="Times New Roman" w:hAnsi="Times New Roman" w:eastAsia="宋体" w:cs="宋体"/>
                <w:color w:val="auto"/>
                <w:sz w:val="24"/>
                <w:szCs w:val="24"/>
              </w:rPr>
              <w:t>长安污水处理厂的</w:t>
            </w:r>
            <w:r>
              <w:rPr>
                <w:rFonts w:hint="eastAsia" w:ascii="Times New Roman" w:hAnsi="Times New Roman" w:eastAsia="宋体" w:cs="宋体"/>
                <w:color w:val="auto"/>
                <w:sz w:val="24"/>
                <w:szCs w:val="24"/>
                <w:lang w:val="en-US" w:eastAsia="zh-CN"/>
              </w:rPr>
              <w:t>纳污</w:t>
            </w:r>
            <w:r>
              <w:rPr>
                <w:rFonts w:ascii="Times New Roman" w:hAnsi="Times New Roman" w:eastAsia="宋体" w:cs="宋体"/>
                <w:color w:val="auto"/>
                <w:sz w:val="24"/>
                <w:szCs w:val="24"/>
              </w:rPr>
              <w:t>范围包括范围内福州经济技术开发区长安延伸区的的生活污水和工业污水两部分。本项目所在区域属于长安污水处理厂设计纳污范围内。</w:t>
            </w:r>
            <w:r>
              <w:t>据现场调查，目前项目周边市政污水管网配套完善，项目生活污水</w:t>
            </w:r>
            <w:r>
              <w:rPr>
                <w:rFonts w:hint="eastAsia"/>
              </w:rPr>
              <w:t>依托万洋化粪池</w:t>
            </w:r>
            <w:r>
              <w:t>预处理后排入市政污水管网，汇入长安污水处理厂集中处理，项目接管可行。</w:t>
            </w:r>
          </w:p>
          <w:p>
            <w:pPr>
              <w:numPr>
                <w:ilvl w:val="0"/>
                <w:numId w:val="6"/>
              </w:numPr>
            </w:pPr>
            <w:r>
              <w:t>水量、水质</w:t>
            </w:r>
          </w:p>
          <w:p>
            <w:r>
              <w:t>本项目生活污水污染物成分简单，经化粪池处理后，水质满足长安污水处理厂设计进水水质要求，生活污水量为</w:t>
            </w:r>
            <w:r>
              <w:rPr>
                <w:rFonts w:hint="eastAsia"/>
              </w:rPr>
              <w:t>2.4</w:t>
            </w:r>
            <w:r>
              <w:t>t/d，根据调查，长安污水处理厂目前实际处理污水量2.2万m</w:t>
            </w:r>
            <w:r>
              <w:rPr>
                <w:vertAlign w:val="superscript"/>
              </w:rPr>
              <w:t>3</w:t>
            </w:r>
            <w:r>
              <w:t>/d-2.5万m</w:t>
            </w:r>
            <w:r>
              <w:rPr>
                <w:vertAlign w:val="superscript"/>
              </w:rPr>
              <w:t>3</w:t>
            </w:r>
            <w:r>
              <w:t>/d，尚余1.</w:t>
            </w:r>
            <w:r>
              <w:rPr>
                <w:rFonts w:hint="eastAsia"/>
                <w:lang w:val="en-US" w:eastAsia="zh-CN"/>
              </w:rPr>
              <w:t>5</w:t>
            </w:r>
            <w:r>
              <w:t>-1.</w:t>
            </w:r>
            <w:r>
              <w:rPr>
                <w:rFonts w:hint="eastAsia"/>
                <w:lang w:val="en-US" w:eastAsia="zh-CN"/>
              </w:rPr>
              <w:t>8</w:t>
            </w:r>
            <w:r>
              <w:t>万m</w:t>
            </w:r>
            <w:r>
              <w:rPr>
                <w:vertAlign w:val="superscript"/>
              </w:rPr>
              <w:t>3</w:t>
            </w:r>
            <w:r>
              <w:t>/d，项目废水排放量远小于长安污水处理厂的处理余量，不会对污水处理厂造成负荷冲击，可纳入污水处理厂处理。因此纳入长安污水处理厂可行，不会对该污水处理厂处理工艺造成冲击。项目生活污水中污染成分较简单且不含有毒污染物成分。根据预测，项目生活污水经预处理后可达到长安污水处理厂的进水水质要求。由于该项目外排污水仅为职工生活污水，可生化性强，污水排放不会对污水处理厂处理工艺产生影响，因此，从长安污水处理厂的服务范围、建成时间、处理能力、进水水质要求及城市下水道进水要求上来看，该项目的生活污水</w:t>
            </w:r>
            <w:r>
              <w:rPr>
                <w:rFonts w:hint="eastAsia"/>
              </w:rPr>
              <w:t>依托万洋化粪池</w:t>
            </w:r>
            <w:r>
              <w:t>预处理后，通过市政污水管网排入长安污水处理厂进行处理是可行的。综上分析可知，项目采取的污水处理措施可行。</w:t>
            </w:r>
          </w:p>
          <w:p>
            <w:pPr>
              <w:pStyle w:val="4"/>
            </w:pPr>
            <w:r>
              <w:t>运营期声环境影响分析和污染防治措施</w:t>
            </w:r>
            <w:bookmarkEnd w:id="62"/>
            <w:bookmarkEnd w:id="63"/>
            <w:bookmarkEnd w:id="64"/>
          </w:p>
          <w:p>
            <w:pPr>
              <w:pStyle w:val="5"/>
              <w:spacing w:before="120"/>
            </w:pPr>
            <w:r>
              <w:t>运营期噪声源强核算</w:t>
            </w:r>
          </w:p>
          <w:p>
            <w:pPr>
              <w:rPr>
                <w:color w:val="000000"/>
              </w:rPr>
            </w:pPr>
            <w:r>
              <w:rPr>
                <w:color w:val="000000"/>
              </w:rPr>
              <w:t>本项目主要噪声污染源为项目生产设备运行过程中产生的噪声，根据类比分析，各设备噪声源强详见表4.3-1。</w:t>
            </w:r>
          </w:p>
          <w:p>
            <w:pPr>
              <w:pStyle w:val="96"/>
            </w:pPr>
            <w:r>
              <w:t>表4.3-1 项目新增设备噪声一览表 单位：dB</w:t>
            </w:r>
            <w:r>
              <w:rPr>
                <w:rFonts w:hint="eastAsia"/>
              </w:rPr>
              <w:t>（</w:t>
            </w:r>
            <w:r>
              <w:t>A</w:t>
            </w:r>
            <w:r>
              <w:rPr>
                <w:rFonts w:hint="eastAsia"/>
              </w:rPr>
              <w:t>）</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200"/>
              <w:gridCol w:w="1020"/>
              <w:gridCol w:w="705"/>
              <w:gridCol w:w="885"/>
              <w:gridCol w:w="1992"/>
              <w:gridCol w:w="1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21" w:type="pct"/>
                  <w:tcBorders>
                    <w:tl2br w:val="nil"/>
                    <w:tr2bl w:val="nil"/>
                  </w:tcBorders>
                  <w:vAlign w:val="center"/>
                </w:tcPr>
                <w:p>
                  <w:pPr>
                    <w:pStyle w:val="53"/>
                  </w:pPr>
                  <w:r>
                    <w:rPr>
                      <w:rFonts w:hint="eastAsia"/>
                    </w:rPr>
                    <w:t>编号</w:t>
                  </w:r>
                </w:p>
              </w:tc>
              <w:tc>
                <w:tcPr>
                  <w:tcW w:w="1332" w:type="pct"/>
                  <w:gridSpan w:val="2"/>
                  <w:tcBorders>
                    <w:tl2br w:val="nil"/>
                    <w:tr2bl w:val="nil"/>
                  </w:tcBorders>
                  <w:vAlign w:val="center"/>
                </w:tcPr>
                <w:p>
                  <w:pPr>
                    <w:pStyle w:val="53"/>
                  </w:pPr>
                  <w:r>
                    <w:rPr>
                      <w:rFonts w:hint="eastAsia"/>
                    </w:rPr>
                    <w:t>噪声源</w:t>
                  </w:r>
                </w:p>
              </w:tc>
              <w:tc>
                <w:tcPr>
                  <w:tcW w:w="423" w:type="pct"/>
                  <w:tcBorders>
                    <w:tl2br w:val="nil"/>
                    <w:tr2bl w:val="nil"/>
                  </w:tcBorders>
                  <w:vAlign w:val="center"/>
                </w:tcPr>
                <w:p>
                  <w:pPr>
                    <w:pStyle w:val="53"/>
                  </w:pPr>
                  <w:r>
                    <w:rPr>
                      <w:rFonts w:hint="eastAsia"/>
                    </w:rPr>
                    <w:t>数量</w:t>
                  </w:r>
                </w:p>
              </w:tc>
              <w:tc>
                <w:tcPr>
                  <w:tcW w:w="531" w:type="pct"/>
                  <w:tcBorders>
                    <w:tl2br w:val="nil"/>
                    <w:tr2bl w:val="nil"/>
                  </w:tcBorders>
                  <w:vAlign w:val="center"/>
                </w:tcPr>
                <w:p>
                  <w:pPr>
                    <w:pStyle w:val="53"/>
                  </w:pPr>
                  <w:r>
                    <w:rPr>
                      <w:rFonts w:hint="eastAsia"/>
                    </w:rPr>
                    <w:t>产生噪声值</w:t>
                  </w:r>
                </w:p>
              </w:tc>
              <w:tc>
                <w:tcPr>
                  <w:tcW w:w="1195" w:type="pct"/>
                  <w:tcBorders>
                    <w:tl2br w:val="nil"/>
                    <w:tr2bl w:val="nil"/>
                  </w:tcBorders>
                  <w:vAlign w:val="center"/>
                </w:tcPr>
                <w:p>
                  <w:pPr>
                    <w:pStyle w:val="53"/>
                    <w:rPr>
                      <w:rFonts w:hint="default" w:eastAsia="宋体"/>
                      <w:lang w:val="en-US" w:eastAsia="zh-CN"/>
                    </w:rPr>
                  </w:pPr>
                  <w:r>
                    <w:rPr>
                      <w:rFonts w:hint="eastAsia"/>
                      <w:lang w:val="en-US" w:eastAsia="zh-CN"/>
                    </w:rPr>
                    <w:t>经纬度</w:t>
                  </w:r>
                </w:p>
              </w:tc>
              <w:tc>
                <w:tcPr>
                  <w:tcW w:w="1196" w:type="pct"/>
                  <w:tcBorders>
                    <w:tl2br w:val="nil"/>
                    <w:tr2bl w:val="nil"/>
                  </w:tcBorders>
                  <w:vAlign w:val="center"/>
                </w:tcPr>
                <w:p>
                  <w:pPr>
                    <w:pStyle w:val="53"/>
                  </w:pPr>
                  <w:r>
                    <w:rPr>
                      <w:rFonts w:hint="eastAsia"/>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21" w:type="pct"/>
                  <w:tcBorders>
                    <w:tl2br w:val="nil"/>
                    <w:tr2bl w:val="nil"/>
                  </w:tcBorders>
                  <w:vAlign w:val="center"/>
                </w:tcPr>
                <w:p>
                  <w:pPr>
                    <w:pStyle w:val="53"/>
                  </w:pPr>
                  <w:r>
                    <w:t>1</w:t>
                  </w:r>
                </w:p>
              </w:tc>
              <w:tc>
                <w:tcPr>
                  <w:tcW w:w="720" w:type="pct"/>
                  <w:vMerge w:val="restart"/>
                  <w:tcBorders>
                    <w:tl2br w:val="nil"/>
                    <w:tr2bl w:val="nil"/>
                  </w:tcBorders>
                  <w:vAlign w:val="center"/>
                </w:tcPr>
                <w:p>
                  <w:pPr>
                    <w:pStyle w:val="53"/>
                  </w:pPr>
                  <w:r>
                    <w:rPr>
                      <w:rFonts w:hint="eastAsia"/>
                    </w:rPr>
                    <w:t>生产车间</w:t>
                  </w:r>
                </w:p>
              </w:tc>
              <w:tc>
                <w:tcPr>
                  <w:tcW w:w="612" w:type="pct"/>
                  <w:tcBorders>
                    <w:tl2br w:val="nil"/>
                    <w:tr2bl w:val="nil"/>
                  </w:tcBorders>
                  <w:vAlign w:val="center"/>
                </w:tcPr>
                <w:p>
                  <w:pPr>
                    <w:pStyle w:val="53"/>
                  </w:pPr>
                  <w:r>
                    <w:rPr>
                      <w:rFonts w:hint="eastAsia"/>
                    </w:rPr>
                    <w:t>注塑机</w:t>
                  </w:r>
                </w:p>
              </w:tc>
              <w:tc>
                <w:tcPr>
                  <w:tcW w:w="423" w:type="pct"/>
                  <w:tcBorders>
                    <w:tl2br w:val="nil"/>
                    <w:tr2bl w:val="nil"/>
                  </w:tcBorders>
                  <w:vAlign w:val="center"/>
                </w:tcPr>
                <w:p>
                  <w:pPr>
                    <w:pStyle w:val="53"/>
                  </w:pPr>
                  <w:r>
                    <w:rPr>
                      <w:rFonts w:hint="eastAsia"/>
                    </w:rPr>
                    <w:t>10台</w:t>
                  </w:r>
                </w:p>
              </w:tc>
              <w:tc>
                <w:tcPr>
                  <w:tcW w:w="531" w:type="pct"/>
                  <w:tcBorders>
                    <w:tl2br w:val="nil"/>
                    <w:tr2bl w:val="nil"/>
                  </w:tcBorders>
                  <w:vAlign w:val="center"/>
                </w:tcPr>
                <w:p>
                  <w:pPr>
                    <w:pStyle w:val="53"/>
                    <w:bidi w:val="0"/>
                  </w:pPr>
                  <w:r>
                    <w:rPr>
                      <w:rFonts w:hint="default"/>
                      <w:lang w:val="en-US" w:eastAsia="zh-CN"/>
                    </w:rPr>
                    <w:t>70-80</w:t>
                  </w:r>
                </w:p>
              </w:tc>
              <w:tc>
                <w:tcPr>
                  <w:tcW w:w="1195" w:type="pct"/>
                  <w:tcBorders>
                    <w:tl2br w:val="nil"/>
                    <w:tr2bl w:val="nil"/>
                  </w:tcBorders>
                  <w:vAlign w:val="center"/>
                </w:tcPr>
                <w:p>
                  <w:pPr>
                    <w:pStyle w:val="53"/>
                    <w:bidi w:val="0"/>
                    <w:rPr>
                      <w:rFonts w:hint="eastAsia"/>
                    </w:rPr>
                  </w:pPr>
                  <w:r>
                    <w:rPr>
                      <w:rFonts w:hint="eastAsia"/>
                      <w:lang w:val="en-US" w:eastAsia="zh-CN"/>
                    </w:rPr>
                    <w:t>119.4927，26.0730</w:t>
                  </w:r>
                </w:p>
              </w:tc>
              <w:tc>
                <w:tcPr>
                  <w:tcW w:w="1196" w:type="pct"/>
                  <w:vMerge w:val="restart"/>
                  <w:tcBorders>
                    <w:tl2br w:val="nil"/>
                    <w:tr2bl w:val="nil"/>
                  </w:tcBorders>
                  <w:vAlign w:val="center"/>
                </w:tcPr>
                <w:p>
                  <w:pPr>
                    <w:pStyle w:val="53"/>
                  </w:pPr>
                  <w:r>
                    <w:rPr>
                      <w:rFonts w:hint="eastAsia"/>
                    </w:rPr>
                    <w:t>车间隔声、设备基础减振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tcBorders>
                    <w:tl2br w:val="nil"/>
                    <w:tr2bl w:val="nil"/>
                  </w:tcBorders>
                  <w:vAlign w:val="center"/>
                </w:tcPr>
                <w:p>
                  <w:pPr>
                    <w:pStyle w:val="53"/>
                  </w:pPr>
                  <w:r>
                    <w:t>2</w:t>
                  </w:r>
                </w:p>
              </w:tc>
              <w:tc>
                <w:tcPr>
                  <w:tcW w:w="720" w:type="pct"/>
                  <w:vMerge w:val="continue"/>
                  <w:tcBorders>
                    <w:tl2br w:val="nil"/>
                    <w:tr2bl w:val="nil"/>
                  </w:tcBorders>
                  <w:vAlign w:val="center"/>
                </w:tcPr>
                <w:p>
                  <w:pPr>
                    <w:pStyle w:val="53"/>
                  </w:pPr>
                </w:p>
              </w:tc>
              <w:tc>
                <w:tcPr>
                  <w:tcW w:w="612" w:type="pct"/>
                  <w:tcBorders>
                    <w:tl2br w:val="nil"/>
                    <w:tr2bl w:val="nil"/>
                  </w:tcBorders>
                  <w:vAlign w:val="center"/>
                </w:tcPr>
                <w:p>
                  <w:pPr>
                    <w:spacing w:line="240" w:lineRule="auto"/>
                    <w:ind w:firstLine="0" w:firstLineChars="0"/>
                    <w:jc w:val="center"/>
                  </w:pPr>
                  <w:r>
                    <w:rPr>
                      <w:rFonts w:hint="eastAsia"/>
                      <w:bCs/>
                      <w:sz w:val="21"/>
                      <w:szCs w:val="21"/>
                    </w:rPr>
                    <w:t>螺杆空压机</w:t>
                  </w:r>
                </w:p>
              </w:tc>
              <w:tc>
                <w:tcPr>
                  <w:tcW w:w="423" w:type="pct"/>
                  <w:tcBorders>
                    <w:tl2br w:val="nil"/>
                    <w:tr2bl w:val="nil"/>
                  </w:tcBorders>
                  <w:vAlign w:val="center"/>
                </w:tcPr>
                <w:p>
                  <w:pPr>
                    <w:pStyle w:val="53"/>
                  </w:pPr>
                  <w:r>
                    <w:rPr>
                      <w:rFonts w:hint="eastAsia"/>
                    </w:rPr>
                    <w:t>1台</w:t>
                  </w:r>
                </w:p>
              </w:tc>
              <w:tc>
                <w:tcPr>
                  <w:tcW w:w="531" w:type="pct"/>
                  <w:tcBorders>
                    <w:tl2br w:val="nil"/>
                    <w:tr2bl w:val="nil"/>
                  </w:tcBorders>
                  <w:vAlign w:val="center"/>
                </w:tcPr>
                <w:p>
                  <w:pPr>
                    <w:pStyle w:val="53"/>
                    <w:bidi w:val="0"/>
                  </w:pPr>
                  <w:r>
                    <w:rPr>
                      <w:rFonts w:hint="default"/>
                      <w:lang w:val="en-US" w:eastAsia="zh-CN"/>
                    </w:rPr>
                    <w:t>75-85</w:t>
                  </w:r>
                </w:p>
              </w:tc>
              <w:tc>
                <w:tcPr>
                  <w:tcW w:w="1195" w:type="pct"/>
                  <w:tcBorders>
                    <w:tl2br w:val="nil"/>
                    <w:tr2bl w:val="nil"/>
                  </w:tcBorders>
                  <w:vAlign w:val="center"/>
                </w:tcPr>
                <w:p>
                  <w:pPr>
                    <w:pStyle w:val="53"/>
                    <w:bidi w:val="0"/>
                  </w:pPr>
                  <w:r>
                    <w:rPr>
                      <w:rFonts w:hint="eastAsia"/>
                      <w:lang w:val="en-US" w:eastAsia="zh-CN"/>
                    </w:rPr>
                    <w:t>119.4927，26.0731</w:t>
                  </w:r>
                </w:p>
              </w:tc>
              <w:tc>
                <w:tcPr>
                  <w:tcW w:w="1196" w:type="pct"/>
                  <w:vMerge w:val="continue"/>
                  <w:tcBorders>
                    <w:tl2br w:val="nil"/>
                    <w:tr2bl w:val="nil"/>
                  </w:tcBorders>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21" w:type="pct"/>
                  <w:tcBorders>
                    <w:tl2br w:val="nil"/>
                    <w:tr2bl w:val="nil"/>
                  </w:tcBorders>
                  <w:vAlign w:val="center"/>
                </w:tcPr>
                <w:p>
                  <w:pPr>
                    <w:pStyle w:val="53"/>
                  </w:pPr>
                  <w:r>
                    <w:t>3</w:t>
                  </w:r>
                </w:p>
              </w:tc>
              <w:tc>
                <w:tcPr>
                  <w:tcW w:w="720" w:type="pct"/>
                  <w:vMerge w:val="continue"/>
                  <w:tcBorders>
                    <w:tl2br w:val="nil"/>
                    <w:tr2bl w:val="nil"/>
                  </w:tcBorders>
                  <w:vAlign w:val="center"/>
                </w:tcPr>
                <w:p>
                  <w:pPr>
                    <w:pStyle w:val="53"/>
                  </w:pPr>
                </w:p>
              </w:tc>
              <w:tc>
                <w:tcPr>
                  <w:tcW w:w="612" w:type="pct"/>
                  <w:tcBorders>
                    <w:tl2br w:val="nil"/>
                    <w:tr2bl w:val="nil"/>
                  </w:tcBorders>
                  <w:vAlign w:val="center"/>
                </w:tcPr>
                <w:p>
                  <w:pPr>
                    <w:spacing w:line="240" w:lineRule="auto"/>
                    <w:ind w:firstLine="0" w:firstLineChars="0"/>
                    <w:jc w:val="center"/>
                  </w:pPr>
                  <w:r>
                    <w:rPr>
                      <w:rFonts w:hint="eastAsia"/>
                      <w:bCs/>
                      <w:sz w:val="21"/>
                      <w:szCs w:val="21"/>
                    </w:rPr>
                    <w:t>破碎机</w:t>
                  </w:r>
                </w:p>
              </w:tc>
              <w:tc>
                <w:tcPr>
                  <w:tcW w:w="423" w:type="pct"/>
                  <w:tcBorders>
                    <w:tl2br w:val="nil"/>
                    <w:tr2bl w:val="nil"/>
                  </w:tcBorders>
                  <w:vAlign w:val="center"/>
                </w:tcPr>
                <w:p>
                  <w:pPr>
                    <w:pStyle w:val="53"/>
                  </w:pPr>
                  <w:r>
                    <w:rPr>
                      <w:rFonts w:hint="eastAsia"/>
                    </w:rPr>
                    <w:t>1台</w:t>
                  </w:r>
                </w:p>
              </w:tc>
              <w:tc>
                <w:tcPr>
                  <w:tcW w:w="531" w:type="pct"/>
                  <w:tcBorders>
                    <w:tl2br w:val="nil"/>
                    <w:tr2bl w:val="nil"/>
                  </w:tcBorders>
                  <w:vAlign w:val="center"/>
                </w:tcPr>
                <w:p>
                  <w:pPr>
                    <w:pStyle w:val="53"/>
                    <w:bidi w:val="0"/>
                  </w:pPr>
                  <w:r>
                    <w:rPr>
                      <w:rFonts w:hint="default"/>
                      <w:lang w:val="en-US" w:eastAsia="zh-CN"/>
                    </w:rPr>
                    <w:t>80-95</w:t>
                  </w:r>
                </w:p>
              </w:tc>
              <w:tc>
                <w:tcPr>
                  <w:tcW w:w="1195" w:type="pct"/>
                  <w:tcBorders>
                    <w:tl2br w:val="nil"/>
                    <w:tr2bl w:val="nil"/>
                  </w:tcBorders>
                  <w:vAlign w:val="center"/>
                </w:tcPr>
                <w:p>
                  <w:pPr>
                    <w:pStyle w:val="53"/>
                    <w:bidi w:val="0"/>
                  </w:pPr>
                  <w:r>
                    <w:rPr>
                      <w:rFonts w:hint="default"/>
                      <w:lang w:val="en-US" w:eastAsia="zh-CN"/>
                    </w:rPr>
                    <w:t>119.4927</w:t>
                  </w:r>
                  <w:r>
                    <w:rPr>
                      <w:rFonts w:hint="eastAsia"/>
                      <w:lang w:val="en-US" w:eastAsia="zh-CN"/>
                    </w:rPr>
                    <w:t>，</w:t>
                  </w:r>
                  <w:r>
                    <w:rPr>
                      <w:rFonts w:hint="default"/>
                      <w:lang w:val="en-US" w:eastAsia="zh-CN"/>
                    </w:rPr>
                    <w:t>26.0729</w:t>
                  </w:r>
                </w:p>
              </w:tc>
              <w:tc>
                <w:tcPr>
                  <w:tcW w:w="1196" w:type="pct"/>
                  <w:vMerge w:val="continue"/>
                  <w:tcBorders>
                    <w:tl2br w:val="nil"/>
                    <w:tr2bl w:val="nil"/>
                  </w:tcBorders>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21" w:type="pct"/>
                  <w:tcBorders>
                    <w:tl2br w:val="nil"/>
                    <w:tr2bl w:val="nil"/>
                  </w:tcBorders>
                  <w:vAlign w:val="center"/>
                </w:tcPr>
                <w:p>
                  <w:pPr>
                    <w:pStyle w:val="53"/>
                    <w:rPr>
                      <w:rFonts w:hint="eastAsia" w:eastAsia="宋体"/>
                      <w:lang w:val="en-US" w:eastAsia="zh-CN"/>
                    </w:rPr>
                  </w:pPr>
                  <w:r>
                    <w:rPr>
                      <w:rFonts w:hint="eastAsia"/>
                      <w:lang w:val="en-US" w:eastAsia="zh-CN"/>
                    </w:rPr>
                    <w:t>4</w:t>
                  </w:r>
                </w:p>
              </w:tc>
              <w:tc>
                <w:tcPr>
                  <w:tcW w:w="720" w:type="pct"/>
                  <w:tcBorders>
                    <w:tl2br w:val="nil"/>
                    <w:tr2bl w:val="nil"/>
                  </w:tcBorders>
                  <w:vAlign w:val="center"/>
                </w:tcPr>
                <w:p>
                  <w:pPr>
                    <w:pStyle w:val="53"/>
                    <w:rPr>
                      <w:rFonts w:hint="default" w:eastAsia="宋体"/>
                      <w:lang w:val="en-US" w:eastAsia="zh-CN"/>
                    </w:rPr>
                  </w:pPr>
                  <w:r>
                    <w:rPr>
                      <w:rFonts w:hint="eastAsia"/>
                      <w:lang w:val="en-US" w:eastAsia="zh-CN"/>
                    </w:rPr>
                    <w:t>公共设备</w:t>
                  </w:r>
                </w:p>
              </w:tc>
              <w:tc>
                <w:tcPr>
                  <w:tcW w:w="612" w:type="pct"/>
                  <w:tcBorders>
                    <w:tl2br w:val="nil"/>
                    <w:tr2bl w:val="nil"/>
                  </w:tcBorders>
                  <w:vAlign w:val="center"/>
                </w:tcPr>
                <w:p>
                  <w:pPr>
                    <w:spacing w:line="240" w:lineRule="auto"/>
                    <w:ind w:firstLine="0" w:firstLineChars="0"/>
                    <w:jc w:val="center"/>
                    <w:rPr>
                      <w:rFonts w:hint="eastAsia" w:eastAsia="宋体"/>
                      <w:bCs/>
                      <w:sz w:val="21"/>
                      <w:szCs w:val="21"/>
                      <w:lang w:val="en-US" w:eastAsia="zh-CN"/>
                    </w:rPr>
                  </w:pPr>
                  <w:r>
                    <w:rPr>
                      <w:rFonts w:hint="eastAsia"/>
                      <w:bCs/>
                      <w:sz w:val="21"/>
                      <w:szCs w:val="21"/>
                      <w:lang w:val="en-US" w:eastAsia="zh-CN"/>
                    </w:rPr>
                    <w:t>风机</w:t>
                  </w:r>
                </w:p>
              </w:tc>
              <w:tc>
                <w:tcPr>
                  <w:tcW w:w="423" w:type="pct"/>
                  <w:tcBorders>
                    <w:tl2br w:val="nil"/>
                    <w:tr2bl w:val="nil"/>
                  </w:tcBorders>
                  <w:vAlign w:val="center"/>
                </w:tcPr>
                <w:p>
                  <w:pPr>
                    <w:pStyle w:val="53"/>
                    <w:rPr>
                      <w:rFonts w:hint="default" w:eastAsia="宋体"/>
                      <w:lang w:val="en-US" w:eastAsia="zh-CN"/>
                    </w:rPr>
                  </w:pPr>
                  <w:r>
                    <w:rPr>
                      <w:rFonts w:hint="eastAsia"/>
                      <w:lang w:val="en-US" w:eastAsia="zh-CN"/>
                    </w:rPr>
                    <w:t>1台</w:t>
                  </w:r>
                </w:p>
              </w:tc>
              <w:tc>
                <w:tcPr>
                  <w:tcW w:w="531" w:type="pct"/>
                  <w:tcBorders>
                    <w:tl2br w:val="nil"/>
                    <w:tr2bl w:val="nil"/>
                  </w:tcBorders>
                  <w:vAlign w:val="center"/>
                </w:tcPr>
                <w:p>
                  <w:pPr>
                    <w:pStyle w:val="53"/>
                    <w:bidi w:val="0"/>
                  </w:pPr>
                  <w:r>
                    <w:rPr>
                      <w:rFonts w:hint="default"/>
                      <w:lang w:val="en-US" w:eastAsia="zh-CN"/>
                    </w:rPr>
                    <w:t>85-90</w:t>
                  </w:r>
                </w:p>
              </w:tc>
              <w:tc>
                <w:tcPr>
                  <w:tcW w:w="1195" w:type="pct"/>
                  <w:tcBorders>
                    <w:tl2br w:val="nil"/>
                    <w:tr2bl w:val="nil"/>
                  </w:tcBorders>
                  <w:vAlign w:val="center"/>
                </w:tcPr>
                <w:p>
                  <w:pPr>
                    <w:pStyle w:val="53"/>
                    <w:bidi w:val="0"/>
                    <w:rPr>
                      <w:rFonts w:hint="eastAsia"/>
                    </w:rPr>
                  </w:pPr>
                  <w:r>
                    <w:rPr>
                      <w:rFonts w:hint="eastAsia"/>
                      <w:lang w:val="en-US" w:eastAsia="zh-CN"/>
                    </w:rPr>
                    <w:t>119.4928，26.0732</w:t>
                  </w:r>
                </w:p>
              </w:tc>
              <w:tc>
                <w:tcPr>
                  <w:tcW w:w="1196" w:type="pct"/>
                  <w:tcBorders>
                    <w:tl2br w:val="nil"/>
                    <w:tr2bl w:val="nil"/>
                  </w:tcBorders>
                  <w:vAlign w:val="center"/>
                </w:tcPr>
                <w:p>
                  <w:pPr>
                    <w:pStyle w:val="53"/>
                  </w:pPr>
                  <w:r>
                    <w:rPr>
                      <w:rFonts w:hint="eastAsia"/>
                    </w:rPr>
                    <w:t>设备基础减振</w:t>
                  </w:r>
                </w:p>
              </w:tc>
            </w:tr>
          </w:tbl>
          <w:p>
            <w:pPr>
              <w:pStyle w:val="5"/>
              <w:spacing w:before="120"/>
            </w:pPr>
            <w:r>
              <w:t>运营期声环境影响分析</w:t>
            </w:r>
          </w:p>
          <w:p>
            <w:r>
              <w:t>项目噪声预测模式采用《环境影响评价技术导则</w:t>
            </w:r>
            <w:r>
              <w:rPr>
                <w:rFonts w:hint="eastAsia"/>
              </w:rPr>
              <w:t xml:space="preserve"> </w:t>
            </w:r>
            <w:r>
              <w:t>声环境》</w:t>
            </w:r>
            <w:r>
              <w:rPr>
                <w:rFonts w:hint="eastAsia"/>
              </w:rPr>
              <w:t>（</w:t>
            </w:r>
            <w:r>
              <w:t>HJ2.4-20</w:t>
            </w:r>
            <w:r>
              <w:rPr>
                <w:rFonts w:hint="eastAsia"/>
              </w:rPr>
              <w:t>21）</w:t>
            </w:r>
            <w:r>
              <w:t>中</w:t>
            </w:r>
            <w:r>
              <w:rPr>
                <w:rFonts w:hint="eastAsia"/>
              </w:rPr>
              <w:t>附录A户外声传播的衰减及附录B典型行业噪声预测模型进行分析。</w:t>
            </w:r>
          </w:p>
          <w:p>
            <w:r>
              <w:rPr>
                <w:rFonts w:hint="eastAsia"/>
              </w:rPr>
              <w:t>（</w:t>
            </w:r>
            <w:r>
              <w:t>1</w:t>
            </w:r>
            <w:r>
              <w:rPr>
                <w:rFonts w:hint="eastAsia"/>
              </w:rPr>
              <w:t>）</w:t>
            </w:r>
            <w:r>
              <w:t>噪声源调查</w:t>
            </w:r>
          </w:p>
          <w:p>
            <w:r>
              <w:rPr>
                <w:rFonts w:hint="eastAsia"/>
              </w:rPr>
              <w:t>根据现场勘查，</w:t>
            </w:r>
            <w:r>
              <w:t>项目噪声主要来自</w:t>
            </w:r>
            <w:r>
              <w:rPr>
                <w:rFonts w:hint="eastAsia"/>
              </w:rPr>
              <w:t>设备运行</w:t>
            </w:r>
            <w:r>
              <w:t>机械噪声，坐标原点以</w:t>
            </w:r>
            <w:r>
              <w:rPr>
                <w:rFonts w:hint="eastAsia"/>
              </w:rPr>
              <w:t>车间一</w:t>
            </w:r>
            <w:r>
              <w:t>中心点位</w:t>
            </w:r>
            <w:r>
              <w:rPr>
                <w:rFonts w:hint="eastAsia"/>
              </w:rPr>
              <w:t>为</w:t>
            </w:r>
            <w:r>
              <w:t>原点。</w:t>
            </w:r>
          </w:p>
          <w:p>
            <w:pPr>
              <w:rPr>
                <w:color w:val="000000"/>
                <w:kern w:val="0"/>
              </w:rPr>
            </w:pPr>
            <w:r>
              <w:rPr>
                <w:rFonts w:hint="eastAsia"/>
                <w:color w:val="000000"/>
                <w:kern w:val="0"/>
              </w:rPr>
              <w:t>（</w:t>
            </w:r>
            <w:r>
              <w:rPr>
                <w:color w:val="000000"/>
                <w:kern w:val="0"/>
              </w:rPr>
              <w:t>2</w:t>
            </w:r>
            <w:r>
              <w:rPr>
                <w:rFonts w:hint="eastAsia"/>
                <w:color w:val="000000"/>
                <w:kern w:val="0"/>
              </w:rPr>
              <w:t>）</w:t>
            </w:r>
            <w:r>
              <w:rPr>
                <w:color w:val="000000"/>
                <w:kern w:val="0"/>
              </w:rPr>
              <w:t>噪声预测分析</w:t>
            </w:r>
          </w:p>
          <w:p>
            <w:pPr>
              <w:pStyle w:val="67"/>
              <w:rPr>
                <w:rFonts w:ascii="Times New Roman" w:hAnsi="Times New Roman" w:cs="Times New Roman"/>
              </w:rPr>
            </w:pPr>
            <w:r>
              <w:rPr>
                <w:rFonts w:ascii="Times New Roman" w:hAnsi="Times New Roman" w:cs="Times New Roman"/>
              </w:rPr>
              <w:t>根据《</w:t>
            </w:r>
            <w:r>
              <w:rPr>
                <w:rFonts w:hint="eastAsia" w:ascii="Times New Roman" w:hAnsi="Times New Roman" w:cs="Times New Roman"/>
              </w:rPr>
              <w:t xml:space="preserve">环境影响评价技术导则 </w:t>
            </w:r>
            <w:r>
              <w:rPr>
                <w:rFonts w:ascii="Times New Roman" w:hAnsi="Times New Roman" w:cs="Times New Roman"/>
              </w:rPr>
              <w:t>声环境》</w:t>
            </w:r>
            <w:r>
              <w:rPr>
                <w:rFonts w:hint="eastAsia" w:ascii="Times New Roman" w:hAnsi="Times New Roman" w:cs="Times New Roman"/>
              </w:rPr>
              <w:t>（</w:t>
            </w:r>
            <w:r>
              <w:rPr>
                <w:rFonts w:ascii="Times New Roman" w:hAnsi="Times New Roman" w:cs="Times New Roman"/>
              </w:rPr>
              <w:t>HJ2.4-20</w:t>
            </w:r>
            <w:r>
              <w:rPr>
                <w:rFonts w:hint="eastAsia" w:ascii="Times New Roman" w:hAnsi="Times New Roman" w:cs="Times New Roman"/>
              </w:rPr>
              <w:t>21）</w:t>
            </w:r>
            <w:r>
              <w:rPr>
                <w:rFonts w:ascii="Times New Roman" w:hAnsi="Times New Roman" w:cs="Times New Roman"/>
              </w:rPr>
              <w:t>推荐方法，</w:t>
            </w:r>
            <w:r>
              <w:rPr>
                <w:szCs w:val="20"/>
              </w:rPr>
              <w:t>本次评价采用的噪声预测模型如下</w:t>
            </w:r>
            <w:r>
              <w:rPr>
                <w:rFonts w:hint="eastAsia"/>
                <w:szCs w:val="20"/>
              </w:rPr>
              <w:t>：</w:t>
            </w:r>
          </w:p>
          <w:p>
            <w:pPr>
              <w:adjustRightInd w:val="0"/>
              <w:snapToGrid w:val="0"/>
              <w:rPr>
                <w:color w:val="000000"/>
                <w:szCs w:val="20"/>
              </w:rPr>
            </w:pPr>
            <w:r>
              <w:rPr>
                <w:color w:val="000000"/>
                <w:szCs w:val="20"/>
              </w:rPr>
              <w:t>1</w:t>
            </w:r>
            <w:r>
              <w:rPr>
                <w:rFonts w:hint="eastAsia"/>
                <w:color w:val="000000"/>
                <w:szCs w:val="20"/>
              </w:rPr>
              <w:t>）</w:t>
            </w:r>
            <w:r>
              <w:rPr>
                <w:color w:val="000000"/>
                <w:szCs w:val="20"/>
              </w:rPr>
              <w:t>单个室外的点声源在预测点产生的声级计算基本公式</w:t>
            </w:r>
          </w:p>
          <w:p>
            <w:pPr>
              <w:adjustRightInd w:val="0"/>
              <w:snapToGrid w:val="0"/>
              <w:rPr>
                <w:color w:val="000000"/>
                <w:szCs w:val="20"/>
              </w:rPr>
            </w:pPr>
            <w:r>
              <w:rPr>
                <w:color w:val="000000"/>
                <w:szCs w:val="20"/>
              </w:rPr>
              <w:t>某个声源在预测点的倍频带声压级的计算公式如下：</w:t>
            </w:r>
          </w:p>
          <w:p>
            <w:pPr>
              <w:adjustRightInd w:val="0"/>
              <w:snapToGrid w:val="0"/>
              <w:jc w:val="center"/>
              <w:rPr>
                <w:color w:val="000000"/>
                <w:szCs w:val="20"/>
              </w:rPr>
            </w:pPr>
            <w:r>
              <w:rPr>
                <w:color w:val="000000"/>
                <w:szCs w:val="20"/>
              </w:rPr>
              <w:t>Lp</w:t>
            </w:r>
            <w:r>
              <w:rPr>
                <w:rFonts w:hint="eastAsia"/>
                <w:color w:val="000000"/>
                <w:szCs w:val="20"/>
              </w:rPr>
              <w:t>（</w:t>
            </w:r>
            <w:r>
              <w:rPr>
                <w:color w:val="000000"/>
                <w:szCs w:val="20"/>
              </w:rPr>
              <w:t>r</w:t>
            </w:r>
            <w:r>
              <w:rPr>
                <w:rFonts w:hint="eastAsia"/>
                <w:color w:val="000000"/>
                <w:szCs w:val="20"/>
              </w:rPr>
              <w:t>）</w:t>
            </w:r>
            <w:r>
              <w:rPr>
                <w:color w:val="000000"/>
                <w:szCs w:val="20"/>
              </w:rPr>
              <w:t>=Lp</w:t>
            </w:r>
            <w:r>
              <w:rPr>
                <w:rFonts w:hint="eastAsia"/>
                <w:color w:val="000000"/>
                <w:szCs w:val="20"/>
              </w:rPr>
              <w:t>（</w:t>
            </w:r>
            <w:r>
              <w:rPr>
                <w:color w:val="000000"/>
                <w:szCs w:val="20"/>
              </w:rPr>
              <w:t>r</w:t>
            </w:r>
            <w:r>
              <w:rPr>
                <w:color w:val="000000"/>
                <w:szCs w:val="20"/>
                <w:vertAlign w:val="subscript"/>
              </w:rPr>
              <w:t>0</w:t>
            </w:r>
            <w:r>
              <w:rPr>
                <w:rFonts w:hint="eastAsia"/>
                <w:color w:val="000000"/>
                <w:szCs w:val="20"/>
              </w:rPr>
              <w:t>）</w:t>
            </w:r>
            <w:r>
              <w:rPr>
                <w:color w:val="000000"/>
                <w:szCs w:val="20"/>
              </w:rPr>
              <w:t>+Dc-A</w:t>
            </w:r>
            <w:r>
              <w:rPr>
                <w:color w:val="000000"/>
                <w:szCs w:val="20"/>
                <w:vertAlign w:val="subscript"/>
              </w:rPr>
              <w:t>div</w:t>
            </w:r>
            <w:r>
              <w:rPr>
                <w:color w:val="000000"/>
                <w:szCs w:val="20"/>
              </w:rPr>
              <w:t>+A</w:t>
            </w:r>
            <w:r>
              <w:rPr>
                <w:color w:val="000000"/>
                <w:szCs w:val="20"/>
                <w:vertAlign w:val="subscript"/>
              </w:rPr>
              <w:t>atm</w:t>
            </w:r>
            <w:r>
              <w:rPr>
                <w:color w:val="000000"/>
                <w:szCs w:val="20"/>
              </w:rPr>
              <w:t>+A</w:t>
            </w:r>
            <w:r>
              <w:rPr>
                <w:color w:val="000000"/>
                <w:szCs w:val="20"/>
                <w:vertAlign w:val="subscript"/>
              </w:rPr>
              <w:t>gr</w:t>
            </w:r>
            <w:r>
              <w:rPr>
                <w:color w:val="000000"/>
                <w:szCs w:val="20"/>
              </w:rPr>
              <w:t>+A</w:t>
            </w:r>
            <w:r>
              <w:rPr>
                <w:color w:val="000000"/>
                <w:szCs w:val="20"/>
                <w:vertAlign w:val="subscript"/>
              </w:rPr>
              <w:t>bar</w:t>
            </w:r>
            <w:r>
              <w:rPr>
                <w:color w:val="000000"/>
                <w:szCs w:val="20"/>
              </w:rPr>
              <w:t>+A</w:t>
            </w:r>
            <w:r>
              <w:rPr>
                <w:color w:val="000000"/>
                <w:szCs w:val="20"/>
                <w:vertAlign w:val="subscript"/>
              </w:rPr>
              <w:t>misc</w:t>
            </w:r>
          </w:p>
          <w:p>
            <w:pPr>
              <w:adjustRightInd w:val="0"/>
              <w:snapToGrid w:val="0"/>
              <w:rPr>
                <w:color w:val="000000"/>
                <w:szCs w:val="20"/>
              </w:rPr>
            </w:pPr>
            <w:r>
              <w:rPr>
                <w:color w:val="000000"/>
                <w:szCs w:val="20"/>
              </w:rPr>
              <w:t>式中：</w:t>
            </w:r>
          </w:p>
          <w:p>
            <w:pPr>
              <w:adjustRightInd w:val="0"/>
              <w:snapToGrid w:val="0"/>
              <w:rPr>
                <w:color w:val="000000"/>
                <w:szCs w:val="20"/>
              </w:rPr>
            </w:pPr>
            <w:r>
              <w:rPr>
                <w:color w:val="000000"/>
                <w:szCs w:val="20"/>
              </w:rPr>
              <w:t>Lp</w:t>
            </w:r>
            <w:r>
              <w:rPr>
                <w:rFonts w:hint="eastAsia"/>
                <w:color w:val="000000"/>
                <w:szCs w:val="20"/>
              </w:rPr>
              <w:t>（</w:t>
            </w:r>
            <w:r>
              <w:rPr>
                <w:color w:val="000000"/>
                <w:szCs w:val="20"/>
              </w:rPr>
              <w:t>r</w:t>
            </w:r>
            <w:r>
              <w:rPr>
                <w:rFonts w:hint="eastAsia"/>
                <w:color w:val="000000"/>
                <w:szCs w:val="20"/>
              </w:rPr>
              <w:t>）</w:t>
            </w:r>
            <w:r>
              <w:rPr>
                <w:color w:val="000000"/>
                <w:szCs w:val="20"/>
              </w:rPr>
              <w:t>—预测点处声压级，dB；</w:t>
            </w:r>
          </w:p>
          <w:p>
            <w:pPr>
              <w:adjustRightInd w:val="0"/>
              <w:snapToGrid w:val="0"/>
              <w:rPr>
                <w:color w:val="000000"/>
                <w:szCs w:val="20"/>
              </w:rPr>
            </w:pPr>
            <w:r>
              <w:rPr>
                <w:color w:val="000000"/>
                <w:szCs w:val="20"/>
              </w:rPr>
              <w:t>Lp</w:t>
            </w:r>
            <w:r>
              <w:rPr>
                <w:rFonts w:hint="eastAsia"/>
                <w:color w:val="000000"/>
                <w:szCs w:val="20"/>
              </w:rPr>
              <w:t>（</w:t>
            </w:r>
            <w:r>
              <w:rPr>
                <w:color w:val="000000"/>
                <w:szCs w:val="20"/>
              </w:rPr>
              <w:t>r</w:t>
            </w:r>
            <w:r>
              <w:rPr>
                <w:color w:val="000000"/>
                <w:szCs w:val="20"/>
                <w:vertAlign w:val="subscript"/>
              </w:rPr>
              <w:t>0</w:t>
            </w:r>
            <w:r>
              <w:rPr>
                <w:rFonts w:hint="eastAsia"/>
                <w:color w:val="000000"/>
                <w:szCs w:val="20"/>
              </w:rPr>
              <w:t>）</w:t>
            </w:r>
            <w:r>
              <w:rPr>
                <w:color w:val="000000"/>
                <w:szCs w:val="20"/>
              </w:rPr>
              <w:t>—参考位置r</w:t>
            </w:r>
            <w:r>
              <w:rPr>
                <w:color w:val="000000"/>
                <w:szCs w:val="20"/>
                <w:vertAlign w:val="subscript"/>
              </w:rPr>
              <w:t>0</w:t>
            </w:r>
            <w:r>
              <w:rPr>
                <w:color w:val="000000"/>
                <w:szCs w:val="20"/>
              </w:rPr>
              <w:t>处声压级，dB；</w:t>
            </w:r>
          </w:p>
          <w:p>
            <w:pPr>
              <w:adjustRightInd w:val="0"/>
              <w:snapToGrid w:val="0"/>
              <w:rPr>
                <w:color w:val="000000"/>
                <w:szCs w:val="20"/>
              </w:rPr>
            </w:pPr>
            <w:r>
              <w:rPr>
                <w:color w:val="000000"/>
                <w:szCs w:val="20"/>
              </w:rPr>
              <w:t>Dc--指向性校正，它描述点声源的等效连续声压级与产生声功率级Lw的全向点声源在规定方向的声级的偏差程度，dB，Dc=0dB；</w:t>
            </w:r>
          </w:p>
          <w:p>
            <w:pPr>
              <w:adjustRightInd w:val="0"/>
              <w:snapToGrid w:val="0"/>
              <w:rPr>
                <w:color w:val="000000"/>
                <w:szCs w:val="20"/>
              </w:rPr>
            </w:pPr>
            <w:r>
              <w:rPr>
                <w:color w:val="000000"/>
                <w:szCs w:val="20"/>
              </w:rPr>
              <w:t>A</w:t>
            </w:r>
            <w:r>
              <w:rPr>
                <w:color w:val="000000"/>
                <w:szCs w:val="20"/>
                <w:vertAlign w:val="subscript"/>
              </w:rPr>
              <w:t>div-</w:t>
            </w:r>
            <w:r>
              <w:rPr>
                <w:color w:val="000000"/>
                <w:szCs w:val="20"/>
              </w:rPr>
              <w:t xml:space="preserve">-几何发散引起的倍频带衰减，dB； </w:t>
            </w:r>
          </w:p>
          <w:p>
            <w:pPr>
              <w:adjustRightInd w:val="0"/>
              <w:snapToGrid w:val="0"/>
              <w:rPr>
                <w:color w:val="000000"/>
                <w:szCs w:val="20"/>
              </w:rPr>
            </w:pPr>
            <w:r>
              <w:rPr>
                <w:color w:val="000000"/>
                <w:szCs w:val="20"/>
              </w:rPr>
              <w:t>A</w:t>
            </w:r>
            <w:r>
              <w:rPr>
                <w:color w:val="000000"/>
                <w:szCs w:val="20"/>
                <w:vertAlign w:val="subscript"/>
              </w:rPr>
              <w:t>atm</w:t>
            </w:r>
            <w:r>
              <w:rPr>
                <w:color w:val="000000"/>
                <w:szCs w:val="20"/>
              </w:rPr>
              <w:t xml:space="preserve">--大气吸收引起的倍频带衰减，dB； </w:t>
            </w:r>
          </w:p>
          <w:p>
            <w:pPr>
              <w:adjustRightInd w:val="0"/>
              <w:snapToGrid w:val="0"/>
              <w:rPr>
                <w:color w:val="000000"/>
                <w:szCs w:val="20"/>
              </w:rPr>
            </w:pPr>
            <w:r>
              <w:rPr>
                <w:color w:val="000000"/>
                <w:szCs w:val="20"/>
              </w:rPr>
              <w:t>A</w:t>
            </w:r>
            <w:r>
              <w:rPr>
                <w:color w:val="000000"/>
                <w:szCs w:val="20"/>
                <w:vertAlign w:val="subscript"/>
              </w:rPr>
              <w:t>gr</w:t>
            </w:r>
            <w:r>
              <w:rPr>
                <w:color w:val="000000"/>
                <w:szCs w:val="20"/>
              </w:rPr>
              <w:t>--地面效应引起的倍频带衰减，dB；</w:t>
            </w:r>
          </w:p>
          <w:p>
            <w:pPr>
              <w:adjustRightInd w:val="0"/>
              <w:snapToGrid w:val="0"/>
              <w:rPr>
                <w:color w:val="000000"/>
                <w:szCs w:val="20"/>
              </w:rPr>
            </w:pPr>
            <w:r>
              <w:rPr>
                <w:color w:val="000000"/>
                <w:szCs w:val="20"/>
              </w:rPr>
              <w:t>A</w:t>
            </w:r>
            <w:r>
              <w:rPr>
                <w:color w:val="000000"/>
                <w:szCs w:val="20"/>
                <w:vertAlign w:val="subscript"/>
              </w:rPr>
              <w:t>bar</w:t>
            </w:r>
            <w:r>
              <w:rPr>
                <w:color w:val="000000"/>
                <w:szCs w:val="20"/>
              </w:rPr>
              <w:t>--障碍物屏蔽引起的衰减，dB；</w:t>
            </w:r>
          </w:p>
          <w:p>
            <w:pPr>
              <w:adjustRightInd w:val="0"/>
              <w:snapToGrid w:val="0"/>
              <w:rPr>
                <w:color w:val="000000"/>
                <w:szCs w:val="20"/>
              </w:rPr>
            </w:pPr>
            <w:r>
              <w:rPr>
                <w:color w:val="000000"/>
                <w:szCs w:val="20"/>
              </w:rPr>
              <w:t>A</w:t>
            </w:r>
            <w:r>
              <w:rPr>
                <w:color w:val="000000"/>
                <w:szCs w:val="20"/>
                <w:vertAlign w:val="subscript"/>
              </w:rPr>
              <w:t>misc-</w:t>
            </w:r>
            <w:r>
              <w:rPr>
                <w:color w:val="000000"/>
                <w:szCs w:val="20"/>
              </w:rPr>
              <w:t>-其他多方面效应引起的倍频带衰减，dB。</w:t>
            </w:r>
          </w:p>
          <w:p>
            <w:pPr>
              <w:adjustRightInd w:val="0"/>
              <w:snapToGrid w:val="0"/>
              <w:rPr>
                <w:color w:val="000000"/>
                <w:szCs w:val="20"/>
              </w:rPr>
            </w:pPr>
            <w:r>
              <w:rPr>
                <w:color w:val="000000"/>
                <w:szCs w:val="20"/>
              </w:rPr>
              <w:t>衰减项计算按导则附录A相关模式计算。</w:t>
            </w:r>
          </w:p>
          <w:p>
            <w:pPr>
              <w:adjustRightInd w:val="0"/>
              <w:snapToGrid w:val="0"/>
              <w:rPr>
                <w:color w:val="000000"/>
                <w:szCs w:val="20"/>
              </w:rPr>
            </w:pPr>
            <w:r>
              <w:rPr>
                <w:color w:val="000000"/>
                <w:szCs w:val="20"/>
              </w:rPr>
              <w:t>预测点的A声级LA</w:t>
            </w:r>
            <w:r>
              <w:rPr>
                <w:rFonts w:hint="eastAsia"/>
                <w:color w:val="000000"/>
                <w:szCs w:val="20"/>
              </w:rPr>
              <w:t>（</w:t>
            </w:r>
            <w:r>
              <w:rPr>
                <w:color w:val="000000"/>
                <w:szCs w:val="20"/>
              </w:rPr>
              <w:t>r</w:t>
            </w:r>
            <w:r>
              <w:rPr>
                <w:rFonts w:hint="eastAsia"/>
                <w:color w:val="000000"/>
                <w:szCs w:val="20"/>
              </w:rPr>
              <w:t>）</w:t>
            </w:r>
            <w:r>
              <w:rPr>
                <w:color w:val="000000"/>
                <w:szCs w:val="20"/>
              </w:rPr>
              <w:t>，可利用8个倍频带的声压级按下式计算：</w:t>
            </w:r>
          </w:p>
          <w:p>
            <w:pPr>
              <w:adjustRightInd w:val="0"/>
              <w:snapToGrid w:val="0"/>
              <w:ind w:firstLine="2640" w:firstLineChars="1100"/>
              <w:rPr>
                <w:color w:val="000000"/>
                <w:szCs w:val="20"/>
              </w:rPr>
            </w:pPr>
            <w:r>
              <w:rPr>
                <w:color w:val="000000"/>
                <w:szCs w:val="20"/>
              </w:rPr>
              <w:pict>
                <v:shape id="Object 33285" o:spid="_x0000_s2352" o:spt="75" type="#_x0000_t75" style="position:absolute;left:0pt;margin-left:132.1pt;margin-top:0.3pt;height:33.75pt;width:149.25pt;z-index:-251656192;mso-width-relative:page;mso-height-relative:page;" o:ole="t" filled="f" o:preferrelative="t" stroked="f" coordsize="21600,21600">
                  <v:path/>
                  <v:fill on="f" focussize="0,0"/>
                  <v:stroke on="f" joinstyle="miter"/>
                  <v:imagedata r:id="rId25" o:title=""/>
                  <o:lock v:ext="edit" aspectratio="t"/>
                </v:shape>
                <o:OLEObject Type="Embed" ProgID="" ShapeID="Object 33285" DrawAspect="Content" ObjectID="_1468075725" r:id="rId24">
                  <o:LockedField>false</o:LockedField>
                </o:OLEObject>
              </w:pict>
            </w:r>
          </w:p>
          <w:p>
            <w:pPr>
              <w:adjustRightInd w:val="0"/>
              <w:snapToGrid w:val="0"/>
              <w:rPr>
                <w:color w:val="000000"/>
                <w:szCs w:val="20"/>
              </w:rPr>
            </w:pPr>
            <w:r>
              <w:rPr>
                <w:color w:val="000000"/>
                <w:szCs w:val="20"/>
              </w:rPr>
              <w:t>式中：</w:t>
            </w:r>
          </w:p>
          <w:p>
            <w:pPr>
              <w:adjustRightInd w:val="0"/>
              <w:snapToGrid w:val="0"/>
              <w:rPr>
                <w:color w:val="000000"/>
                <w:szCs w:val="20"/>
              </w:rPr>
            </w:pPr>
            <w:r>
              <w:rPr>
                <w:color w:val="000000"/>
                <w:szCs w:val="20"/>
              </w:rPr>
              <w:t>L</w:t>
            </w:r>
            <w:r>
              <w:rPr>
                <w:color w:val="000000"/>
                <w:szCs w:val="20"/>
                <w:vertAlign w:val="subscript"/>
              </w:rPr>
              <w:t>A</w:t>
            </w:r>
            <w:r>
              <w:rPr>
                <w:rFonts w:hint="eastAsia"/>
                <w:color w:val="000000"/>
                <w:szCs w:val="20"/>
              </w:rPr>
              <w:t>（</w:t>
            </w:r>
            <w:r>
              <w:rPr>
                <w:color w:val="000000"/>
                <w:szCs w:val="20"/>
              </w:rPr>
              <w:t>r</w:t>
            </w:r>
            <w:r>
              <w:rPr>
                <w:rFonts w:hint="eastAsia"/>
                <w:color w:val="000000"/>
                <w:szCs w:val="20"/>
              </w:rPr>
              <w:t>）</w:t>
            </w:r>
            <w:r>
              <w:rPr>
                <w:color w:val="000000"/>
                <w:szCs w:val="20"/>
              </w:rPr>
              <w:t>—距离声源r处的A声级，dB</w:t>
            </w:r>
            <w:r>
              <w:rPr>
                <w:rFonts w:hint="eastAsia"/>
                <w:color w:val="000000"/>
                <w:szCs w:val="20"/>
              </w:rPr>
              <w:t>（</w:t>
            </w:r>
            <w:r>
              <w:rPr>
                <w:color w:val="000000"/>
                <w:szCs w:val="20"/>
              </w:rPr>
              <w:t>A</w:t>
            </w:r>
            <w:r>
              <w:rPr>
                <w:rFonts w:hint="eastAsia"/>
                <w:color w:val="000000"/>
                <w:szCs w:val="20"/>
              </w:rPr>
              <w:t>）</w:t>
            </w:r>
            <w:r>
              <w:rPr>
                <w:color w:val="000000"/>
                <w:szCs w:val="20"/>
              </w:rPr>
              <w:t>；</w:t>
            </w:r>
          </w:p>
          <w:p>
            <w:pPr>
              <w:adjustRightInd w:val="0"/>
              <w:snapToGrid w:val="0"/>
              <w:rPr>
                <w:color w:val="000000"/>
                <w:szCs w:val="20"/>
              </w:rPr>
            </w:pPr>
            <w:r>
              <w:rPr>
                <w:color w:val="000000"/>
                <w:szCs w:val="20"/>
              </w:rPr>
              <w:t>Lpi</w:t>
            </w:r>
            <w:r>
              <w:rPr>
                <w:rFonts w:hint="eastAsia"/>
                <w:color w:val="000000"/>
                <w:szCs w:val="20"/>
              </w:rPr>
              <w:t>（</w:t>
            </w:r>
            <w:r>
              <w:rPr>
                <w:color w:val="000000"/>
                <w:szCs w:val="20"/>
              </w:rPr>
              <w:t>r</w:t>
            </w:r>
            <w:r>
              <w:rPr>
                <w:rFonts w:hint="eastAsia"/>
                <w:color w:val="000000"/>
                <w:szCs w:val="20"/>
              </w:rPr>
              <w:t>）－－</w:t>
            </w:r>
            <w:r>
              <w:rPr>
                <w:color w:val="000000"/>
                <w:szCs w:val="20"/>
              </w:rPr>
              <w:t>预测点</w:t>
            </w:r>
            <w:r>
              <w:rPr>
                <w:rFonts w:hint="eastAsia"/>
                <w:color w:val="000000"/>
                <w:szCs w:val="20"/>
              </w:rPr>
              <w:t>（</w:t>
            </w:r>
            <w:r>
              <w:rPr>
                <w:color w:val="000000"/>
                <w:szCs w:val="20"/>
              </w:rPr>
              <w:t>r</w:t>
            </w:r>
            <w:r>
              <w:rPr>
                <w:rFonts w:hint="eastAsia"/>
                <w:color w:val="000000"/>
                <w:szCs w:val="20"/>
              </w:rPr>
              <w:t>）</w:t>
            </w:r>
            <w:r>
              <w:rPr>
                <w:color w:val="000000"/>
                <w:szCs w:val="20"/>
              </w:rPr>
              <w:t>处，第i倍频带声压级，dB；</w:t>
            </w:r>
          </w:p>
          <w:p>
            <w:pPr>
              <w:adjustRightInd w:val="0"/>
              <w:snapToGrid w:val="0"/>
              <w:rPr>
                <w:color w:val="000000"/>
                <w:szCs w:val="20"/>
              </w:rPr>
            </w:pPr>
            <w:r>
              <w:rPr>
                <w:rFonts w:ascii="Cambria Math" w:hAnsi="Cambria Math" w:cs="Cambria Math"/>
                <w:color w:val="000000"/>
                <w:szCs w:val="20"/>
              </w:rPr>
              <w:t>△</w:t>
            </w:r>
            <w:r>
              <w:rPr>
                <w:color w:val="000000"/>
                <w:szCs w:val="20"/>
              </w:rPr>
              <w:t>Li--i倍频带A计算网络修正值，dB。</w:t>
            </w:r>
          </w:p>
          <w:p>
            <w:pPr>
              <w:adjustRightInd w:val="0"/>
              <w:snapToGrid w:val="0"/>
              <w:rPr>
                <w:color w:val="000000"/>
                <w:szCs w:val="20"/>
              </w:rPr>
            </w:pPr>
            <w:r>
              <w:rPr>
                <w:color w:val="000000"/>
                <w:szCs w:val="20"/>
              </w:rPr>
              <w:t>2</w:t>
            </w:r>
            <w:r>
              <w:rPr>
                <w:rFonts w:hint="eastAsia"/>
                <w:color w:val="000000"/>
                <w:szCs w:val="20"/>
              </w:rPr>
              <w:t>）</w:t>
            </w:r>
            <w:r>
              <w:rPr>
                <w:color w:val="000000"/>
                <w:szCs w:val="20"/>
              </w:rPr>
              <w:t>室内声源等效室外声源声功率级计算方法</w:t>
            </w:r>
          </w:p>
          <w:p>
            <w:pPr>
              <w:adjustRightInd w:val="0"/>
              <w:snapToGrid w:val="0"/>
              <w:rPr>
                <w:color w:val="000000"/>
                <w:szCs w:val="20"/>
              </w:rPr>
            </w:pPr>
            <w:r>
              <w:rPr>
                <w:rFonts w:hint="eastAsia"/>
                <w:color w:val="000000"/>
                <w:szCs w:val="20"/>
              </w:rPr>
              <w:t>①</w:t>
            </w:r>
            <w:r>
              <w:rPr>
                <w:color w:val="000000"/>
                <w:szCs w:val="20"/>
              </w:rPr>
              <w:t>如下图所示，声源位于室内，室内声源可采用等效室外声源声功率级法进行计算。设靠近开口处</w:t>
            </w:r>
            <w:r>
              <w:rPr>
                <w:rFonts w:hint="eastAsia"/>
                <w:color w:val="000000"/>
                <w:szCs w:val="20"/>
              </w:rPr>
              <w:t>（</w:t>
            </w:r>
            <w:r>
              <w:rPr>
                <w:color w:val="000000"/>
                <w:szCs w:val="20"/>
              </w:rPr>
              <w:t>或窗户</w:t>
            </w:r>
            <w:r>
              <w:rPr>
                <w:rFonts w:hint="eastAsia"/>
                <w:color w:val="000000"/>
                <w:szCs w:val="20"/>
              </w:rPr>
              <w:t>）</w:t>
            </w:r>
            <w:r>
              <w:rPr>
                <w:color w:val="000000"/>
                <w:szCs w:val="20"/>
              </w:rPr>
              <w:t>室内、室外某倍频带的声压级分别为Lp1和Lp2。若声源所在室内声场为近似扩散声场，则室内的倍频带声压级可按下式近似求出：</w:t>
            </w:r>
          </w:p>
          <w:p>
            <w:pPr>
              <w:adjustRightInd w:val="0"/>
              <w:snapToGrid w:val="0"/>
              <w:ind w:firstLine="3000" w:firstLineChars="1250"/>
              <w:rPr>
                <w:color w:val="000000"/>
                <w:szCs w:val="20"/>
              </w:rPr>
            </w:pPr>
            <w:r>
              <w:rPr>
                <w:color w:val="000000"/>
                <w:szCs w:val="20"/>
              </w:rPr>
              <w:pict>
                <v:shape id="Object 33286" o:spid="_x0000_s2353" o:spt="75" type="#_x0000_t75" style="position:absolute;left:0pt;margin-left:150.25pt;margin-top:0.3pt;height:18.75pt;width:98.25pt;z-index:-251655168;mso-width-relative:page;mso-height-relative:page;" o:ole="t" filled="f" o:preferrelative="t" stroked="f" coordsize="21600,21600">
                  <v:path/>
                  <v:fill on="f" focussize="0,0"/>
                  <v:stroke on="f" joinstyle="miter"/>
                  <v:imagedata r:id="rId27" o:title=""/>
                  <o:lock v:ext="edit" aspectratio="t"/>
                </v:shape>
                <o:OLEObject Type="Embed" ProgID="" ShapeID="Object 33286" DrawAspect="Content" ObjectID="_1468075726" r:id="rId26">
                  <o:LockedField>false</o:LockedField>
                </o:OLEObject>
              </w:pict>
            </w:r>
          </w:p>
          <w:p>
            <w:pPr>
              <w:adjustRightInd w:val="0"/>
              <w:snapToGrid w:val="0"/>
              <w:rPr>
                <w:color w:val="000000"/>
                <w:szCs w:val="20"/>
              </w:rPr>
            </w:pPr>
            <w:r>
              <w:rPr>
                <w:color w:val="000000"/>
                <w:szCs w:val="20"/>
              </w:rPr>
              <w:t>式中：</w:t>
            </w:r>
          </w:p>
          <w:p>
            <w:pPr>
              <w:adjustRightInd w:val="0"/>
              <w:snapToGrid w:val="0"/>
              <w:rPr>
                <w:color w:val="000000"/>
                <w:szCs w:val="20"/>
              </w:rPr>
            </w:pPr>
            <w:r>
              <w:rPr>
                <w:color w:val="000000"/>
                <w:szCs w:val="20"/>
              </w:rPr>
              <w:t>Lp</w:t>
            </w:r>
            <w:r>
              <w:rPr>
                <w:color w:val="000000"/>
                <w:szCs w:val="20"/>
                <w:vertAlign w:val="subscript"/>
              </w:rPr>
              <w:t>1</w:t>
            </w:r>
            <w:r>
              <w:rPr>
                <w:rFonts w:hint="eastAsia"/>
                <w:color w:val="000000"/>
                <w:szCs w:val="20"/>
              </w:rPr>
              <w:t>－</w:t>
            </w:r>
            <w:r>
              <w:rPr>
                <w:color w:val="000000"/>
                <w:szCs w:val="20"/>
              </w:rPr>
              <w:t>靠近开口处</w:t>
            </w:r>
            <w:r>
              <w:rPr>
                <w:rFonts w:hint="eastAsia"/>
                <w:color w:val="000000"/>
                <w:szCs w:val="20"/>
              </w:rPr>
              <w:t>（</w:t>
            </w:r>
            <w:r>
              <w:rPr>
                <w:color w:val="000000"/>
                <w:szCs w:val="20"/>
              </w:rPr>
              <w:t>或窗户</w:t>
            </w:r>
            <w:r>
              <w:rPr>
                <w:rFonts w:hint="eastAsia"/>
                <w:color w:val="000000"/>
                <w:szCs w:val="20"/>
              </w:rPr>
              <w:t>）</w:t>
            </w:r>
            <w:r>
              <w:rPr>
                <w:color w:val="000000"/>
                <w:szCs w:val="20"/>
              </w:rPr>
              <w:t>室内某倍频带的声压级或A声级，dB；</w:t>
            </w:r>
          </w:p>
          <w:p>
            <w:pPr>
              <w:adjustRightInd w:val="0"/>
              <w:snapToGrid w:val="0"/>
              <w:rPr>
                <w:color w:val="000000"/>
                <w:szCs w:val="20"/>
              </w:rPr>
            </w:pPr>
            <w:r>
              <w:rPr>
                <w:color w:val="000000"/>
                <w:szCs w:val="20"/>
              </w:rPr>
              <w:t>Lp</w:t>
            </w:r>
            <w:r>
              <w:rPr>
                <w:color w:val="000000"/>
                <w:szCs w:val="20"/>
                <w:vertAlign w:val="subscript"/>
              </w:rPr>
              <w:t>2</w:t>
            </w:r>
            <w:r>
              <w:rPr>
                <w:rFonts w:hint="eastAsia"/>
                <w:color w:val="000000"/>
                <w:szCs w:val="20"/>
              </w:rPr>
              <w:t>－</w:t>
            </w:r>
            <w:r>
              <w:rPr>
                <w:color w:val="000000"/>
                <w:szCs w:val="20"/>
              </w:rPr>
              <w:t>靠近开口处</w:t>
            </w:r>
            <w:r>
              <w:rPr>
                <w:rFonts w:hint="eastAsia"/>
                <w:color w:val="000000"/>
                <w:szCs w:val="20"/>
              </w:rPr>
              <w:t>（</w:t>
            </w:r>
            <w:r>
              <w:rPr>
                <w:color w:val="000000"/>
                <w:szCs w:val="20"/>
              </w:rPr>
              <w:t>或窗户</w:t>
            </w:r>
            <w:r>
              <w:rPr>
                <w:rFonts w:hint="eastAsia"/>
                <w:color w:val="000000"/>
                <w:szCs w:val="20"/>
              </w:rPr>
              <w:t>）</w:t>
            </w:r>
            <w:r>
              <w:rPr>
                <w:color w:val="000000"/>
                <w:szCs w:val="20"/>
              </w:rPr>
              <w:t>室外某倍频带的声压级或A声级，dB；</w:t>
            </w:r>
          </w:p>
          <w:p>
            <w:pPr>
              <w:adjustRightInd w:val="0"/>
              <w:snapToGrid w:val="0"/>
              <w:rPr>
                <w:color w:val="000000"/>
                <w:szCs w:val="20"/>
              </w:rPr>
            </w:pPr>
            <w:r>
              <w:rPr>
                <w:color w:val="000000"/>
                <w:szCs w:val="20"/>
              </w:rPr>
              <w:t>TL</w:t>
            </w:r>
            <w:r>
              <w:rPr>
                <w:rFonts w:hint="eastAsia"/>
                <w:color w:val="000000"/>
                <w:szCs w:val="20"/>
              </w:rPr>
              <w:t>－</w:t>
            </w:r>
            <w:r>
              <w:rPr>
                <w:color w:val="000000"/>
                <w:szCs w:val="20"/>
              </w:rPr>
              <w:t>隔墙</w:t>
            </w:r>
            <w:r>
              <w:rPr>
                <w:rFonts w:hint="eastAsia"/>
                <w:color w:val="000000"/>
                <w:szCs w:val="20"/>
              </w:rPr>
              <w:t>（</w:t>
            </w:r>
            <w:r>
              <w:rPr>
                <w:color w:val="000000"/>
                <w:szCs w:val="20"/>
              </w:rPr>
              <w:t>或窗户</w:t>
            </w:r>
            <w:r>
              <w:rPr>
                <w:rFonts w:hint="eastAsia"/>
                <w:color w:val="000000"/>
                <w:szCs w:val="20"/>
              </w:rPr>
              <w:t>）</w:t>
            </w:r>
            <w:r>
              <w:rPr>
                <w:color w:val="000000"/>
                <w:szCs w:val="20"/>
              </w:rPr>
              <w:t>倍频带的隔声量，dB。</w:t>
            </w:r>
          </w:p>
          <w:p>
            <w:pPr>
              <w:adjustRightInd w:val="0"/>
              <w:snapToGrid w:val="0"/>
              <w:ind w:firstLine="0" w:firstLineChars="0"/>
              <w:jc w:val="center"/>
              <w:rPr>
                <w:color w:val="000000"/>
              </w:rPr>
            </w:pPr>
            <w:r>
              <w:rPr>
                <w:color w:val="000000"/>
                <w:szCs w:val="20"/>
              </w:rPr>
              <w:drawing>
                <wp:inline distT="0" distB="0" distL="114300" distR="114300">
                  <wp:extent cx="2743200" cy="1419225"/>
                  <wp:effectExtent l="0" t="0" r="0" b="9525"/>
                  <wp:docPr id="90"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19"/>
                          <pic:cNvPicPr>
                            <a:picLocks noChangeAspect="1"/>
                          </pic:cNvPicPr>
                        </pic:nvPicPr>
                        <pic:blipFill>
                          <a:blip r:embed="rId28" cstate="print"/>
                          <a:srcRect l="1706" t="3087" b="4938"/>
                          <a:stretch>
                            <a:fillRect/>
                          </a:stretch>
                        </pic:blipFill>
                        <pic:spPr>
                          <a:xfrm>
                            <a:off x="0" y="0"/>
                            <a:ext cx="2743200" cy="1419225"/>
                          </a:xfrm>
                          <a:prstGeom prst="rect">
                            <a:avLst/>
                          </a:prstGeom>
                          <a:noFill/>
                          <a:ln>
                            <a:noFill/>
                          </a:ln>
                        </pic:spPr>
                      </pic:pic>
                    </a:graphicData>
                  </a:graphic>
                </wp:inline>
              </w:drawing>
            </w:r>
          </w:p>
          <w:p>
            <w:pPr>
              <w:adjustRightInd w:val="0"/>
              <w:snapToGrid w:val="0"/>
              <w:ind w:firstLine="0" w:firstLineChars="0"/>
              <w:jc w:val="center"/>
              <w:rPr>
                <w:color w:val="000000"/>
              </w:rPr>
            </w:pPr>
            <w:r>
              <w:rPr>
                <w:b/>
                <w:color w:val="000000"/>
              </w:rPr>
              <w:t>室内声源等效室外声源图例</w:t>
            </w:r>
          </w:p>
          <w:p>
            <w:pPr>
              <w:adjustRightInd w:val="0"/>
              <w:snapToGrid w:val="0"/>
              <w:rPr>
                <w:color w:val="000000"/>
                <w:szCs w:val="20"/>
              </w:rPr>
            </w:pPr>
            <w:r>
              <w:rPr>
                <w:color w:val="000000"/>
                <w:szCs w:val="20"/>
              </w:rPr>
              <w:t>也可按下式计算某一室内声源靠近围护结构处产生的倍频带声压级或A声级：</w:t>
            </w:r>
          </w:p>
          <w:p>
            <w:pPr>
              <w:adjustRightInd w:val="0"/>
              <w:snapToGrid w:val="0"/>
              <w:ind w:firstLine="2880" w:firstLineChars="1200"/>
              <w:rPr>
                <w:color w:val="000000"/>
                <w:szCs w:val="20"/>
              </w:rPr>
            </w:pPr>
            <w:r>
              <w:rPr>
                <w:color w:val="000000"/>
                <w:szCs w:val="20"/>
              </w:rPr>
              <w:pict>
                <v:shape id="Object 33287" o:spid="_x0000_s2354" o:spt="75" type="#_x0000_t75" style="position:absolute;left:0pt;margin-left:144pt;margin-top:0pt;height:38.25pt;width:135pt;z-index:-251654144;mso-width-relative:page;mso-height-relative:page;" o:ole="t" filled="f" o:preferrelative="t" stroked="f" coordsize="21600,21600">
                  <v:path/>
                  <v:fill on="f" focussize="0,0"/>
                  <v:stroke on="f" joinstyle="miter"/>
                  <v:imagedata r:id="rId30" o:title=""/>
                  <o:lock v:ext="edit" aspectratio="t"/>
                </v:shape>
                <o:OLEObject Type="Embed" ProgID="" ShapeID="Object 33287" DrawAspect="Content" ObjectID="_1468075727" r:id="rId29">
                  <o:LockedField>false</o:LockedField>
                </o:OLEObject>
              </w:pict>
            </w:r>
          </w:p>
          <w:p>
            <w:pPr>
              <w:adjustRightInd w:val="0"/>
              <w:snapToGrid w:val="0"/>
              <w:rPr>
                <w:color w:val="000000"/>
                <w:szCs w:val="20"/>
              </w:rPr>
            </w:pPr>
          </w:p>
          <w:p>
            <w:pPr>
              <w:adjustRightInd w:val="0"/>
              <w:snapToGrid w:val="0"/>
              <w:rPr>
                <w:color w:val="000000"/>
                <w:szCs w:val="20"/>
              </w:rPr>
            </w:pPr>
            <w:r>
              <w:rPr>
                <w:color w:val="000000"/>
                <w:szCs w:val="20"/>
              </w:rPr>
              <w:t>式中：</w:t>
            </w:r>
          </w:p>
          <w:p>
            <w:pPr>
              <w:adjustRightInd w:val="0"/>
              <w:snapToGrid w:val="0"/>
              <w:rPr>
                <w:color w:val="000000"/>
                <w:szCs w:val="20"/>
              </w:rPr>
            </w:pPr>
            <w:r>
              <w:rPr>
                <w:color w:val="000000"/>
                <w:szCs w:val="20"/>
              </w:rPr>
              <w:t>Lp</w:t>
            </w:r>
            <w:r>
              <w:rPr>
                <w:color w:val="000000"/>
                <w:szCs w:val="20"/>
                <w:vertAlign w:val="subscript"/>
              </w:rPr>
              <w:t>1</w:t>
            </w:r>
            <w:r>
              <w:rPr>
                <w:rFonts w:hint="eastAsia"/>
                <w:color w:val="000000"/>
                <w:szCs w:val="20"/>
              </w:rPr>
              <w:t>－</w:t>
            </w:r>
            <w:r>
              <w:rPr>
                <w:color w:val="000000"/>
                <w:szCs w:val="20"/>
              </w:rPr>
              <w:t>靠近开口处</w:t>
            </w:r>
            <w:r>
              <w:rPr>
                <w:rFonts w:hint="eastAsia"/>
                <w:color w:val="000000"/>
                <w:szCs w:val="20"/>
              </w:rPr>
              <w:t>（</w:t>
            </w:r>
            <w:r>
              <w:rPr>
                <w:color w:val="000000"/>
                <w:szCs w:val="20"/>
              </w:rPr>
              <w:t>或窗户</w:t>
            </w:r>
            <w:r>
              <w:rPr>
                <w:rFonts w:hint="eastAsia"/>
                <w:color w:val="000000"/>
                <w:szCs w:val="20"/>
              </w:rPr>
              <w:t>）</w:t>
            </w:r>
            <w:r>
              <w:rPr>
                <w:color w:val="000000"/>
                <w:szCs w:val="20"/>
              </w:rPr>
              <w:t>室内某倍频带的声压级或A声级，dB；</w:t>
            </w:r>
          </w:p>
          <w:p>
            <w:pPr>
              <w:adjustRightInd w:val="0"/>
              <w:snapToGrid w:val="0"/>
              <w:rPr>
                <w:color w:val="000000"/>
                <w:szCs w:val="20"/>
              </w:rPr>
            </w:pPr>
            <w:r>
              <w:rPr>
                <w:color w:val="000000"/>
                <w:szCs w:val="20"/>
              </w:rPr>
              <w:t>Lw</w:t>
            </w:r>
            <w:r>
              <w:rPr>
                <w:rFonts w:hint="eastAsia"/>
                <w:color w:val="000000"/>
                <w:szCs w:val="20"/>
              </w:rPr>
              <w:t>－</w:t>
            </w:r>
            <w:r>
              <w:rPr>
                <w:color w:val="000000"/>
                <w:szCs w:val="20"/>
              </w:rPr>
              <w:t>点声源声功率级</w:t>
            </w:r>
            <w:r>
              <w:rPr>
                <w:rFonts w:hint="eastAsia"/>
                <w:color w:val="000000"/>
                <w:szCs w:val="20"/>
              </w:rPr>
              <w:t>（</w:t>
            </w:r>
            <w:r>
              <w:rPr>
                <w:color w:val="000000"/>
                <w:szCs w:val="20"/>
              </w:rPr>
              <w:t>A计权或倍频带</w:t>
            </w:r>
            <w:r>
              <w:rPr>
                <w:rFonts w:hint="eastAsia"/>
                <w:color w:val="000000"/>
                <w:szCs w:val="20"/>
              </w:rPr>
              <w:t>）</w:t>
            </w:r>
            <w:r>
              <w:rPr>
                <w:color w:val="000000"/>
                <w:szCs w:val="20"/>
              </w:rPr>
              <w:t>，dB；</w:t>
            </w:r>
          </w:p>
          <w:p>
            <w:pPr>
              <w:adjustRightInd w:val="0"/>
              <w:snapToGrid w:val="0"/>
              <w:rPr>
                <w:color w:val="000000"/>
                <w:szCs w:val="20"/>
              </w:rPr>
            </w:pPr>
            <w:r>
              <w:rPr>
                <w:color w:val="000000"/>
                <w:szCs w:val="20"/>
              </w:rPr>
              <w:t>Q</w:t>
            </w:r>
            <w:r>
              <w:rPr>
                <w:rFonts w:hint="eastAsia"/>
                <w:color w:val="000000"/>
                <w:szCs w:val="20"/>
              </w:rPr>
              <w:t>－</w:t>
            </w:r>
            <w:r>
              <w:rPr>
                <w:color w:val="000000"/>
                <w:szCs w:val="20"/>
              </w:rPr>
              <w:t>指向性因素；通常对无指向性声源，当声源放在房间中心时，Q=1；当放在一面墙的中心时，Q=2；当放在两面墙夹角处时；Q=4；当放在三面墙夹角处时，Q=8。</w:t>
            </w:r>
          </w:p>
          <w:p>
            <w:pPr>
              <w:adjustRightInd w:val="0"/>
              <w:snapToGrid w:val="0"/>
              <w:rPr>
                <w:color w:val="000000"/>
                <w:szCs w:val="20"/>
              </w:rPr>
            </w:pPr>
            <w:r>
              <w:rPr>
                <w:color w:val="000000"/>
                <w:szCs w:val="20"/>
              </w:rPr>
              <w:t>R--房间系数；R=Sα/</w:t>
            </w:r>
            <w:r>
              <w:rPr>
                <w:rFonts w:hint="eastAsia"/>
                <w:color w:val="000000"/>
                <w:szCs w:val="20"/>
              </w:rPr>
              <w:t>（</w:t>
            </w:r>
            <w:r>
              <w:rPr>
                <w:color w:val="000000"/>
                <w:szCs w:val="20"/>
              </w:rPr>
              <w:t>1-α</w:t>
            </w:r>
            <w:r>
              <w:rPr>
                <w:rFonts w:hint="eastAsia"/>
                <w:color w:val="000000"/>
                <w:szCs w:val="20"/>
              </w:rPr>
              <w:t>）</w:t>
            </w:r>
            <w:r>
              <w:rPr>
                <w:color w:val="000000"/>
                <w:szCs w:val="20"/>
              </w:rPr>
              <w:t>，S为房间内表面面积，m</w:t>
            </w:r>
            <w:r>
              <w:rPr>
                <w:color w:val="000000"/>
                <w:szCs w:val="20"/>
                <w:vertAlign w:val="superscript"/>
              </w:rPr>
              <w:t>2</w:t>
            </w:r>
            <w:r>
              <w:rPr>
                <w:color w:val="000000"/>
                <w:szCs w:val="20"/>
              </w:rPr>
              <w:t>；α为平均吸声系数。</w:t>
            </w:r>
          </w:p>
          <w:p>
            <w:pPr>
              <w:adjustRightInd w:val="0"/>
              <w:snapToGrid w:val="0"/>
              <w:rPr>
                <w:color w:val="000000"/>
                <w:szCs w:val="20"/>
              </w:rPr>
            </w:pPr>
            <w:r>
              <w:rPr>
                <w:color w:val="000000"/>
                <w:szCs w:val="20"/>
              </w:rPr>
              <w:t>r--声源到靠近围护结构某点处的距离，m。</w:t>
            </w:r>
          </w:p>
          <w:p>
            <w:pPr>
              <w:adjustRightInd w:val="0"/>
              <w:snapToGrid w:val="0"/>
              <w:rPr>
                <w:color w:val="000000"/>
                <w:szCs w:val="20"/>
              </w:rPr>
            </w:pPr>
            <w:r>
              <w:rPr>
                <w:rFonts w:hint="eastAsia" w:ascii="宋体" w:hAnsi="宋体" w:cs="宋体"/>
                <w:color w:val="000000"/>
                <w:szCs w:val="20"/>
              </w:rPr>
              <w:t>②</w:t>
            </w:r>
            <w:r>
              <w:rPr>
                <w:color w:val="000000"/>
                <w:szCs w:val="20"/>
              </w:rPr>
              <w:t>计算出所有室内声源在靠近围护结构处产生的i倍频带叠加声压级：</w:t>
            </w:r>
          </w:p>
          <w:p>
            <w:pPr>
              <w:adjustRightInd w:val="0"/>
              <w:snapToGrid w:val="0"/>
              <w:ind w:firstLine="2880" w:firstLineChars="1200"/>
              <w:rPr>
                <w:color w:val="000000"/>
                <w:szCs w:val="20"/>
              </w:rPr>
            </w:pPr>
            <w:r>
              <w:rPr>
                <w:color w:val="000000"/>
                <w:szCs w:val="20"/>
              </w:rPr>
              <w:pict>
                <v:shape id="Object 33288" o:spid="_x0000_s2355" o:spt="75" type="#_x0000_t75" style="position:absolute;left:0pt;margin-left:144pt;margin-top:0pt;height:38.25pt;width:132.75pt;z-index:-251653120;mso-width-relative:page;mso-height-relative:page;" o:ole="t" filled="f" o:preferrelative="t" stroked="f" coordsize="21600,21600">
                  <v:path/>
                  <v:fill on="f" focussize="0,0"/>
                  <v:stroke on="f" joinstyle="miter"/>
                  <v:imagedata r:id="rId32" o:title=""/>
                  <o:lock v:ext="edit" aspectratio="t"/>
                </v:shape>
                <o:OLEObject Type="Embed" ProgID="" ShapeID="Object 33288" DrawAspect="Content" ObjectID="_1468075728" r:id="rId31">
                  <o:LockedField>false</o:LockedField>
                </o:OLEObject>
              </w:pict>
            </w:r>
          </w:p>
          <w:p>
            <w:pPr>
              <w:adjustRightInd w:val="0"/>
              <w:snapToGrid w:val="0"/>
              <w:rPr>
                <w:color w:val="000000"/>
                <w:szCs w:val="20"/>
              </w:rPr>
            </w:pPr>
          </w:p>
          <w:p>
            <w:pPr>
              <w:adjustRightInd w:val="0"/>
              <w:snapToGrid w:val="0"/>
              <w:rPr>
                <w:color w:val="000000"/>
                <w:szCs w:val="20"/>
              </w:rPr>
            </w:pPr>
            <w:r>
              <w:rPr>
                <w:color w:val="000000"/>
                <w:szCs w:val="20"/>
              </w:rPr>
              <w:t>式中：</w:t>
            </w:r>
          </w:p>
          <w:p>
            <w:pPr>
              <w:adjustRightInd w:val="0"/>
              <w:snapToGrid w:val="0"/>
              <w:rPr>
                <w:color w:val="000000"/>
                <w:szCs w:val="20"/>
              </w:rPr>
            </w:pPr>
            <w:r>
              <w:rPr>
                <w:color w:val="000000"/>
                <w:szCs w:val="20"/>
              </w:rPr>
              <w:t>L</w:t>
            </w:r>
            <w:r>
              <w:rPr>
                <w:color w:val="000000"/>
                <w:szCs w:val="20"/>
                <w:vertAlign w:val="subscript"/>
              </w:rPr>
              <w:t>p1i</w:t>
            </w:r>
            <w:r>
              <w:rPr>
                <w:rFonts w:hint="eastAsia"/>
                <w:color w:val="000000"/>
                <w:szCs w:val="20"/>
              </w:rPr>
              <w:t>（</w:t>
            </w:r>
            <w:r>
              <w:rPr>
                <w:color w:val="000000"/>
                <w:szCs w:val="20"/>
              </w:rPr>
              <w:t>T</w:t>
            </w:r>
            <w:r>
              <w:rPr>
                <w:rFonts w:hint="eastAsia"/>
                <w:color w:val="000000"/>
                <w:szCs w:val="20"/>
              </w:rPr>
              <w:t>）</w:t>
            </w:r>
            <w:r>
              <w:rPr>
                <w:color w:val="000000"/>
                <w:szCs w:val="20"/>
              </w:rPr>
              <w:t>---靠近围护结构处室内N个声源i倍频带的叠加声压级，dB；</w:t>
            </w:r>
          </w:p>
          <w:p>
            <w:pPr>
              <w:adjustRightInd w:val="0"/>
              <w:snapToGrid w:val="0"/>
              <w:rPr>
                <w:color w:val="000000"/>
                <w:szCs w:val="20"/>
              </w:rPr>
            </w:pPr>
            <w:r>
              <w:rPr>
                <w:color w:val="000000"/>
                <w:szCs w:val="20"/>
              </w:rPr>
              <w:t>L</w:t>
            </w:r>
            <w:r>
              <w:rPr>
                <w:color w:val="000000"/>
                <w:szCs w:val="20"/>
                <w:vertAlign w:val="subscript"/>
              </w:rPr>
              <w:t>p1ij</w:t>
            </w:r>
            <w:r>
              <w:rPr>
                <w:color w:val="000000"/>
                <w:szCs w:val="20"/>
              </w:rPr>
              <w:t>---室内j声源i倍频带的声压级，dB；</w:t>
            </w:r>
          </w:p>
          <w:p>
            <w:pPr>
              <w:adjustRightInd w:val="0"/>
              <w:snapToGrid w:val="0"/>
              <w:rPr>
                <w:color w:val="000000"/>
                <w:szCs w:val="20"/>
              </w:rPr>
            </w:pPr>
            <w:r>
              <w:rPr>
                <w:color w:val="000000"/>
                <w:szCs w:val="20"/>
              </w:rPr>
              <w:t>N---室内声源总数。</w:t>
            </w:r>
          </w:p>
          <w:p>
            <w:pPr>
              <w:adjustRightInd w:val="0"/>
              <w:snapToGrid w:val="0"/>
              <w:rPr>
                <w:color w:val="000000"/>
                <w:szCs w:val="20"/>
              </w:rPr>
            </w:pPr>
            <w:r>
              <w:rPr>
                <w:rFonts w:hint="eastAsia" w:ascii="宋体" w:hAnsi="宋体" w:cs="宋体"/>
                <w:color w:val="000000"/>
                <w:szCs w:val="20"/>
              </w:rPr>
              <w:t>③</w:t>
            </w:r>
            <w:r>
              <w:rPr>
                <w:color w:val="000000"/>
                <w:szCs w:val="20"/>
              </w:rPr>
              <w:t>在室内近似为扩散声场时，计算出室外靠近围护结构处的声压级：</w:t>
            </w:r>
          </w:p>
          <w:p>
            <w:pPr>
              <w:adjustRightInd w:val="0"/>
              <w:snapToGrid w:val="0"/>
              <w:ind w:firstLine="2880" w:firstLineChars="1200"/>
              <w:rPr>
                <w:color w:val="000000"/>
                <w:szCs w:val="20"/>
              </w:rPr>
            </w:pPr>
            <w:r>
              <w:rPr>
                <w:color w:val="000000"/>
                <w:szCs w:val="20"/>
              </w:rPr>
              <w:pict>
                <v:shape id="Object 33289" o:spid="_x0000_s2356" o:spt="75" type="#_x0000_t75" style="position:absolute;left:0pt;margin-left:144pt;margin-top:0.55pt;height:18.75pt;width:140.25pt;z-index:-251652096;mso-width-relative:page;mso-height-relative:page;" o:ole="t" filled="f" o:preferrelative="t" stroked="f" coordsize="21600,21600">
                  <v:path/>
                  <v:fill on="f" focussize="0,0"/>
                  <v:stroke on="f" joinstyle="miter"/>
                  <v:imagedata r:id="rId34" o:title=""/>
                  <o:lock v:ext="edit" aspectratio="t"/>
                </v:shape>
                <o:OLEObject Type="Embed" ProgID="" ShapeID="Object 33289" DrawAspect="Content" ObjectID="_1468075729" r:id="rId33">
                  <o:LockedField>false</o:LockedField>
                </o:OLEObject>
              </w:pict>
            </w:r>
          </w:p>
          <w:p>
            <w:pPr>
              <w:adjustRightInd w:val="0"/>
              <w:snapToGrid w:val="0"/>
              <w:rPr>
                <w:color w:val="000000"/>
                <w:szCs w:val="20"/>
              </w:rPr>
            </w:pPr>
            <w:r>
              <w:rPr>
                <w:color w:val="000000"/>
                <w:szCs w:val="20"/>
              </w:rPr>
              <w:t>式中：</w:t>
            </w:r>
          </w:p>
          <w:p>
            <w:pPr>
              <w:adjustRightInd w:val="0"/>
              <w:snapToGrid w:val="0"/>
              <w:rPr>
                <w:color w:val="000000"/>
                <w:szCs w:val="20"/>
              </w:rPr>
            </w:pPr>
            <w:r>
              <w:rPr>
                <w:color w:val="000000"/>
                <w:szCs w:val="20"/>
              </w:rPr>
              <w:t>L</w:t>
            </w:r>
            <w:r>
              <w:rPr>
                <w:color w:val="000000"/>
                <w:szCs w:val="20"/>
                <w:vertAlign w:val="subscript"/>
              </w:rPr>
              <w:t>p1i</w:t>
            </w:r>
            <w:r>
              <w:rPr>
                <w:rFonts w:hint="eastAsia"/>
                <w:color w:val="000000"/>
                <w:szCs w:val="20"/>
              </w:rPr>
              <w:t>（</w:t>
            </w:r>
            <w:r>
              <w:rPr>
                <w:color w:val="000000"/>
                <w:szCs w:val="20"/>
              </w:rPr>
              <w:t>T</w:t>
            </w:r>
            <w:r>
              <w:rPr>
                <w:rFonts w:hint="eastAsia"/>
                <w:color w:val="000000"/>
                <w:szCs w:val="20"/>
              </w:rPr>
              <w:t>）</w:t>
            </w:r>
            <w:r>
              <w:rPr>
                <w:color w:val="000000"/>
                <w:szCs w:val="20"/>
              </w:rPr>
              <w:t>---靠近围护结构处室内N个声源i倍频带的叠加声压级，dB；</w:t>
            </w:r>
          </w:p>
          <w:p>
            <w:pPr>
              <w:adjustRightInd w:val="0"/>
              <w:snapToGrid w:val="0"/>
              <w:rPr>
                <w:color w:val="000000"/>
                <w:szCs w:val="20"/>
              </w:rPr>
            </w:pPr>
            <w:r>
              <w:rPr>
                <w:color w:val="000000"/>
                <w:szCs w:val="20"/>
              </w:rPr>
              <w:t>L</w:t>
            </w:r>
            <w:r>
              <w:rPr>
                <w:color w:val="000000"/>
                <w:szCs w:val="20"/>
                <w:vertAlign w:val="subscript"/>
              </w:rPr>
              <w:t>p2i</w:t>
            </w:r>
            <w:r>
              <w:rPr>
                <w:rFonts w:hint="eastAsia"/>
                <w:color w:val="000000"/>
                <w:szCs w:val="20"/>
              </w:rPr>
              <w:t>（</w:t>
            </w:r>
            <w:r>
              <w:rPr>
                <w:color w:val="000000"/>
                <w:szCs w:val="20"/>
              </w:rPr>
              <w:t>T</w:t>
            </w:r>
            <w:r>
              <w:rPr>
                <w:rFonts w:hint="eastAsia"/>
                <w:color w:val="000000"/>
                <w:szCs w:val="20"/>
              </w:rPr>
              <w:t>）</w:t>
            </w:r>
            <w:r>
              <w:rPr>
                <w:color w:val="000000"/>
                <w:szCs w:val="20"/>
              </w:rPr>
              <w:t>--靠近围护结构处室内N个声源i倍频带的叠加声压级，dB；</w:t>
            </w:r>
          </w:p>
          <w:p>
            <w:pPr>
              <w:adjustRightInd w:val="0"/>
              <w:snapToGrid w:val="0"/>
              <w:rPr>
                <w:color w:val="000000"/>
                <w:szCs w:val="20"/>
              </w:rPr>
            </w:pPr>
            <w:r>
              <w:rPr>
                <w:color w:val="000000"/>
                <w:szCs w:val="20"/>
              </w:rPr>
              <w:t>TLi--围护结构i倍频带的隔声量，dB。</w:t>
            </w:r>
          </w:p>
          <w:p>
            <w:pPr>
              <w:adjustRightInd w:val="0"/>
              <w:snapToGrid w:val="0"/>
              <w:rPr>
                <w:color w:val="000000"/>
                <w:szCs w:val="20"/>
              </w:rPr>
            </w:pPr>
            <w:r>
              <w:rPr>
                <w:rFonts w:hint="eastAsia" w:ascii="宋体" w:hAnsi="宋体" w:cs="宋体"/>
                <w:color w:val="000000"/>
                <w:szCs w:val="20"/>
              </w:rPr>
              <w:t>④</w:t>
            </w:r>
            <w:r>
              <w:rPr>
                <w:color w:val="000000"/>
                <w:szCs w:val="20"/>
              </w:rPr>
              <w:t>将室外声源的声压级和透过面积换算成等效的室外声源，计算出中心位置位于透声面积</w:t>
            </w:r>
            <w:r>
              <w:rPr>
                <w:rFonts w:hint="eastAsia"/>
                <w:color w:val="000000"/>
                <w:szCs w:val="20"/>
              </w:rPr>
              <w:t>（</w:t>
            </w:r>
            <w:r>
              <w:rPr>
                <w:color w:val="000000"/>
                <w:szCs w:val="20"/>
              </w:rPr>
              <w:t>S</w:t>
            </w:r>
            <w:r>
              <w:rPr>
                <w:rFonts w:hint="eastAsia"/>
                <w:color w:val="000000"/>
                <w:szCs w:val="20"/>
              </w:rPr>
              <w:t>）</w:t>
            </w:r>
            <w:r>
              <w:rPr>
                <w:color w:val="000000"/>
                <w:szCs w:val="20"/>
              </w:rPr>
              <w:t>处的等效声源的倍频带的声功率级：</w:t>
            </w:r>
          </w:p>
          <w:p>
            <w:pPr>
              <w:adjustRightInd w:val="0"/>
              <w:snapToGrid w:val="0"/>
              <w:ind w:firstLine="3240" w:firstLineChars="1350"/>
              <w:rPr>
                <w:color w:val="000000"/>
                <w:szCs w:val="20"/>
              </w:rPr>
            </w:pPr>
            <w:r>
              <w:rPr>
                <w:color w:val="000000"/>
                <w:szCs w:val="20"/>
              </w:rPr>
              <w:pict>
                <v:shape id="Object 33290" o:spid="_x0000_s2357" o:spt="75" type="#_x0000_t75" style="position:absolute;left:0pt;margin-left:162.15pt;margin-top:0.55pt;height:18.75pt;width:105pt;z-index:-251651072;mso-width-relative:page;mso-height-relative:page;" o:ole="t" filled="f" o:preferrelative="t" stroked="f" coordsize="21600,21600">
                  <v:path/>
                  <v:fill on="f" focussize="0,0"/>
                  <v:stroke on="f" joinstyle="miter"/>
                  <v:imagedata r:id="rId36" o:title=""/>
                  <o:lock v:ext="edit" aspectratio="t"/>
                </v:shape>
                <o:OLEObject Type="Embed" ProgID="" ShapeID="Object 33290" DrawAspect="Content" ObjectID="_1468075730" r:id="rId35">
                  <o:LockedField>false</o:LockedField>
                </o:OLEObject>
              </w:pict>
            </w:r>
          </w:p>
          <w:p>
            <w:pPr>
              <w:adjustRightInd w:val="0"/>
              <w:snapToGrid w:val="0"/>
              <w:rPr>
                <w:color w:val="000000"/>
                <w:szCs w:val="20"/>
              </w:rPr>
            </w:pPr>
            <w:r>
              <w:rPr>
                <w:color w:val="000000"/>
                <w:szCs w:val="20"/>
              </w:rPr>
              <w:t>式中：</w:t>
            </w:r>
          </w:p>
          <w:p>
            <w:pPr>
              <w:adjustRightInd w:val="0"/>
              <w:snapToGrid w:val="0"/>
              <w:rPr>
                <w:color w:val="000000"/>
                <w:szCs w:val="20"/>
              </w:rPr>
            </w:pPr>
            <w:r>
              <w:rPr>
                <w:color w:val="000000"/>
                <w:szCs w:val="20"/>
              </w:rPr>
              <w:t>Lw---中心位置位于透声面积</w:t>
            </w:r>
            <w:r>
              <w:rPr>
                <w:rFonts w:hint="eastAsia"/>
                <w:color w:val="000000"/>
                <w:szCs w:val="20"/>
              </w:rPr>
              <w:t>（</w:t>
            </w:r>
            <w:r>
              <w:rPr>
                <w:color w:val="000000"/>
                <w:szCs w:val="20"/>
              </w:rPr>
              <w:t>S</w:t>
            </w:r>
            <w:r>
              <w:rPr>
                <w:rFonts w:hint="eastAsia"/>
                <w:color w:val="000000"/>
                <w:szCs w:val="20"/>
              </w:rPr>
              <w:t>）</w:t>
            </w:r>
            <w:r>
              <w:rPr>
                <w:color w:val="000000"/>
                <w:szCs w:val="20"/>
              </w:rPr>
              <w:t>处的等效声源的倍频带声功率级，dB；</w:t>
            </w:r>
          </w:p>
          <w:p>
            <w:pPr>
              <w:adjustRightInd w:val="0"/>
              <w:snapToGrid w:val="0"/>
              <w:rPr>
                <w:color w:val="000000"/>
                <w:szCs w:val="20"/>
              </w:rPr>
            </w:pPr>
            <w:r>
              <w:rPr>
                <w:color w:val="000000"/>
                <w:szCs w:val="20"/>
              </w:rPr>
              <w:t>L</w:t>
            </w:r>
            <w:r>
              <w:rPr>
                <w:color w:val="000000"/>
                <w:szCs w:val="20"/>
                <w:vertAlign w:val="subscript"/>
              </w:rPr>
              <w:t>p1i</w:t>
            </w:r>
            <w:r>
              <w:rPr>
                <w:rFonts w:hint="eastAsia"/>
                <w:color w:val="000000"/>
                <w:szCs w:val="20"/>
              </w:rPr>
              <w:t>（</w:t>
            </w:r>
            <w:r>
              <w:rPr>
                <w:color w:val="000000"/>
                <w:szCs w:val="20"/>
              </w:rPr>
              <w:t>T</w:t>
            </w:r>
            <w:r>
              <w:rPr>
                <w:rFonts w:hint="eastAsia"/>
                <w:color w:val="000000"/>
                <w:szCs w:val="20"/>
              </w:rPr>
              <w:t>）</w:t>
            </w:r>
            <w:r>
              <w:rPr>
                <w:color w:val="000000"/>
                <w:szCs w:val="20"/>
              </w:rPr>
              <w:t>---靠近围护结构处室内N个声源i倍频带的叠加声压级，dB；</w:t>
            </w:r>
          </w:p>
          <w:p>
            <w:pPr>
              <w:adjustRightInd w:val="0"/>
              <w:snapToGrid w:val="0"/>
              <w:rPr>
                <w:color w:val="000000"/>
                <w:szCs w:val="20"/>
              </w:rPr>
            </w:pPr>
            <w:r>
              <w:rPr>
                <w:color w:val="000000"/>
                <w:szCs w:val="20"/>
              </w:rPr>
              <w:t>S---透声面积，m</w:t>
            </w:r>
            <w:r>
              <w:rPr>
                <w:color w:val="000000"/>
                <w:szCs w:val="20"/>
                <w:vertAlign w:val="superscript"/>
              </w:rPr>
              <w:t>2</w:t>
            </w:r>
            <w:r>
              <w:rPr>
                <w:color w:val="000000"/>
                <w:szCs w:val="20"/>
              </w:rPr>
              <w:t>。</w:t>
            </w:r>
          </w:p>
          <w:p>
            <w:pPr>
              <w:adjustRightInd w:val="0"/>
              <w:snapToGrid w:val="0"/>
              <w:rPr>
                <w:color w:val="000000"/>
                <w:szCs w:val="20"/>
              </w:rPr>
            </w:pPr>
            <w:r>
              <w:rPr>
                <w:rFonts w:hint="eastAsia" w:ascii="宋体" w:hAnsi="宋体" w:cs="宋体"/>
                <w:color w:val="000000"/>
                <w:szCs w:val="20"/>
              </w:rPr>
              <w:t>⑤</w:t>
            </w:r>
            <w:r>
              <w:rPr>
                <w:color w:val="000000"/>
                <w:szCs w:val="20"/>
              </w:rPr>
              <w:t>然后按室外声源预测方法计算预测点处的A声级。</w:t>
            </w:r>
          </w:p>
          <w:p>
            <w:pPr>
              <w:adjustRightInd w:val="0"/>
              <w:snapToGrid w:val="0"/>
              <w:rPr>
                <w:color w:val="000000"/>
                <w:szCs w:val="20"/>
              </w:rPr>
            </w:pPr>
            <w:r>
              <w:rPr>
                <w:rFonts w:hint="eastAsia"/>
                <w:color w:val="000000"/>
                <w:szCs w:val="20"/>
              </w:rPr>
              <w:t>（</w:t>
            </w:r>
            <w:r>
              <w:rPr>
                <w:color w:val="000000"/>
                <w:szCs w:val="20"/>
              </w:rPr>
              <w:t>3</w:t>
            </w:r>
            <w:r>
              <w:rPr>
                <w:rFonts w:hint="eastAsia"/>
                <w:color w:val="000000"/>
                <w:szCs w:val="20"/>
              </w:rPr>
              <w:t>）</w:t>
            </w:r>
            <w:r>
              <w:rPr>
                <w:color w:val="000000"/>
                <w:szCs w:val="20"/>
              </w:rPr>
              <w:t>噪声贡献值计算</w:t>
            </w:r>
          </w:p>
          <w:p>
            <w:pPr>
              <w:adjustRightInd w:val="0"/>
              <w:snapToGrid w:val="0"/>
              <w:rPr>
                <w:color w:val="000000"/>
                <w:szCs w:val="20"/>
              </w:rPr>
            </w:pPr>
            <w:r>
              <w:rPr>
                <w:color w:val="000000"/>
                <w:szCs w:val="20"/>
              </w:rPr>
              <w:t>设第i个室外声源在预测点产生的A声级为L</w:t>
            </w:r>
            <w:r>
              <w:rPr>
                <w:color w:val="000000"/>
                <w:szCs w:val="20"/>
                <w:vertAlign w:val="subscript"/>
              </w:rPr>
              <w:t>Ai</w:t>
            </w:r>
            <w:r>
              <w:rPr>
                <w:color w:val="000000"/>
                <w:szCs w:val="20"/>
              </w:rPr>
              <w:t>，在T时间内该声源工作时间为t</w:t>
            </w:r>
            <w:r>
              <w:rPr>
                <w:color w:val="000000"/>
                <w:szCs w:val="20"/>
                <w:vertAlign w:val="subscript"/>
              </w:rPr>
              <w:t>i</w:t>
            </w:r>
            <w:r>
              <w:rPr>
                <w:color w:val="000000"/>
                <w:szCs w:val="20"/>
              </w:rPr>
              <w:t>；第j个等效室外声源在预测点产生的A声级为L</w:t>
            </w:r>
            <w:r>
              <w:rPr>
                <w:color w:val="000000"/>
                <w:szCs w:val="20"/>
                <w:vertAlign w:val="subscript"/>
              </w:rPr>
              <w:t>A,j</w:t>
            </w:r>
            <w:r>
              <w:rPr>
                <w:color w:val="000000"/>
                <w:szCs w:val="20"/>
              </w:rPr>
              <w:t>，在T时间内该声源工作时间为t</w:t>
            </w:r>
            <w:r>
              <w:rPr>
                <w:color w:val="000000"/>
                <w:szCs w:val="20"/>
                <w:vertAlign w:val="subscript"/>
              </w:rPr>
              <w:t>j</w:t>
            </w:r>
            <w:r>
              <w:rPr>
                <w:color w:val="000000"/>
                <w:szCs w:val="20"/>
              </w:rPr>
              <w:t>，在拟建工程声源对预测点产生的贡献值</w:t>
            </w:r>
            <w:r>
              <w:rPr>
                <w:rFonts w:hint="eastAsia"/>
                <w:color w:val="000000"/>
                <w:szCs w:val="20"/>
              </w:rPr>
              <w:t>（</w:t>
            </w:r>
            <w:r>
              <w:rPr>
                <w:color w:val="000000"/>
                <w:szCs w:val="20"/>
              </w:rPr>
              <w:t>Leqg</w:t>
            </w:r>
            <w:r>
              <w:rPr>
                <w:rFonts w:hint="eastAsia"/>
                <w:color w:val="000000"/>
                <w:szCs w:val="20"/>
              </w:rPr>
              <w:t>）</w:t>
            </w:r>
            <w:r>
              <w:rPr>
                <w:color w:val="000000"/>
                <w:szCs w:val="20"/>
              </w:rPr>
              <w:t>为：</w:t>
            </w:r>
          </w:p>
          <w:p>
            <w:pPr>
              <w:adjustRightInd w:val="0"/>
              <w:snapToGrid w:val="0"/>
              <w:ind w:firstLine="2280" w:firstLineChars="950"/>
              <w:rPr>
                <w:color w:val="000000"/>
                <w:szCs w:val="20"/>
              </w:rPr>
            </w:pPr>
            <w:r>
              <w:rPr>
                <w:color w:val="000000"/>
                <w:szCs w:val="20"/>
              </w:rPr>
              <w:pict>
                <v:shape id="Object 33291" o:spid="_x0000_s2358" o:spt="75" type="#_x0000_t75" style="position:absolute;left:0pt;margin-left:114.25pt;margin-top:0pt;height:38.25pt;width:216.75pt;z-index:-251650048;mso-width-relative:page;mso-height-relative:page;" o:ole="t" filled="f" o:preferrelative="t" stroked="f" coordsize="21600,21600">
                  <v:path/>
                  <v:fill on="f" focussize="0,0"/>
                  <v:stroke on="f" joinstyle="miter"/>
                  <v:imagedata r:id="rId38" o:title=""/>
                  <o:lock v:ext="edit" aspectratio="t"/>
                </v:shape>
                <o:OLEObject Type="Embed" ProgID="" ShapeID="Object 33291" DrawAspect="Content" ObjectID="_1468075731" r:id="rId37">
                  <o:LockedField>false</o:LockedField>
                </o:OLEObject>
              </w:pict>
            </w:r>
          </w:p>
          <w:p>
            <w:pPr>
              <w:adjustRightInd w:val="0"/>
              <w:snapToGrid w:val="0"/>
              <w:rPr>
                <w:color w:val="000000"/>
                <w:szCs w:val="20"/>
              </w:rPr>
            </w:pPr>
          </w:p>
          <w:p>
            <w:pPr>
              <w:adjustRightInd w:val="0"/>
              <w:snapToGrid w:val="0"/>
              <w:rPr>
                <w:color w:val="000000"/>
                <w:szCs w:val="20"/>
              </w:rPr>
            </w:pPr>
            <w:r>
              <w:rPr>
                <w:color w:val="000000"/>
                <w:szCs w:val="20"/>
              </w:rPr>
              <w:t>式中：</w:t>
            </w:r>
          </w:p>
          <w:p>
            <w:pPr>
              <w:adjustRightInd w:val="0"/>
              <w:snapToGrid w:val="0"/>
              <w:rPr>
                <w:color w:val="000000"/>
                <w:szCs w:val="20"/>
              </w:rPr>
            </w:pPr>
            <w:r>
              <w:rPr>
                <w:color w:val="000000"/>
                <w:szCs w:val="20"/>
              </w:rPr>
              <w:t>Leqg--建设项目声源在预测点产生的噪声贡献值，dB</w:t>
            </w:r>
          </w:p>
          <w:p>
            <w:pPr>
              <w:adjustRightInd w:val="0"/>
              <w:snapToGrid w:val="0"/>
              <w:rPr>
                <w:color w:val="000000"/>
                <w:szCs w:val="20"/>
              </w:rPr>
            </w:pPr>
            <w:r>
              <w:rPr>
                <w:color w:val="000000"/>
                <w:szCs w:val="20"/>
              </w:rPr>
              <w:t>T--用于计算等效声级的时间，s；</w:t>
            </w:r>
          </w:p>
          <w:p>
            <w:pPr>
              <w:adjustRightInd w:val="0"/>
              <w:snapToGrid w:val="0"/>
              <w:rPr>
                <w:color w:val="000000"/>
                <w:szCs w:val="20"/>
              </w:rPr>
            </w:pPr>
            <w:r>
              <w:rPr>
                <w:color w:val="000000"/>
                <w:szCs w:val="20"/>
              </w:rPr>
              <w:t>N--室外声源个数；</w:t>
            </w:r>
          </w:p>
          <w:p>
            <w:pPr>
              <w:adjustRightInd w:val="0"/>
              <w:snapToGrid w:val="0"/>
              <w:rPr>
                <w:color w:val="000000"/>
                <w:szCs w:val="20"/>
              </w:rPr>
            </w:pPr>
            <w:r>
              <w:rPr>
                <w:color w:val="000000"/>
                <w:szCs w:val="20"/>
              </w:rPr>
              <w:t>t</w:t>
            </w:r>
            <w:r>
              <w:rPr>
                <w:color w:val="000000"/>
                <w:szCs w:val="20"/>
                <w:vertAlign w:val="subscript"/>
              </w:rPr>
              <w:t>i</w:t>
            </w:r>
            <w:r>
              <w:rPr>
                <w:color w:val="000000"/>
                <w:szCs w:val="20"/>
              </w:rPr>
              <w:t>--在T时间内i声源工作时间，s；</w:t>
            </w:r>
          </w:p>
          <w:p>
            <w:pPr>
              <w:adjustRightInd w:val="0"/>
              <w:snapToGrid w:val="0"/>
              <w:rPr>
                <w:color w:val="000000"/>
                <w:szCs w:val="20"/>
              </w:rPr>
            </w:pPr>
            <w:r>
              <w:rPr>
                <w:color w:val="000000"/>
                <w:szCs w:val="20"/>
              </w:rPr>
              <w:t>M--室内声源个数；</w:t>
            </w:r>
          </w:p>
          <w:p>
            <w:pPr>
              <w:adjustRightInd w:val="0"/>
              <w:snapToGrid w:val="0"/>
              <w:rPr>
                <w:color w:val="000000"/>
                <w:szCs w:val="20"/>
              </w:rPr>
            </w:pPr>
            <w:r>
              <w:rPr>
                <w:color w:val="000000"/>
                <w:szCs w:val="20"/>
              </w:rPr>
              <w:t>t</w:t>
            </w:r>
            <w:r>
              <w:rPr>
                <w:color w:val="000000"/>
                <w:szCs w:val="20"/>
                <w:vertAlign w:val="subscript"/>
              </w:rPr>
              <w:t>j</w:t>
            </w:r>
            <w:r>
              <w:rPr>
                <w:color w:val="000000"/>
                <w:szCs w:val="20"/>
              </w:rPr>
              <w:t>--在T时间内j声源工作时间，s。</w:t>
            </w:r>
          </w:p>
          <w:p>
            <w:pPr>
              <w:adjustRightInd w:val="0"/>
              <w:snapToGrid w:val="0"/>
              <w:rPr>
                <w:color w:val="000000"/>
                <w:szCs w:val="20"/>
              </w:rPr>
            </w:pPr>
            <w:r>
              <w:rPr>
                <w:rFonts w:hint="eastAsia"/>
                <w:color w:val="000000"/>
                <w:szCs w:val="20"/>
              </w:rPr>
              <w:t>（</w:t>
            </w:r>
            <w:r>
              <w:rPr>
                <w:color w:val="000000"/>
                <w:szCs w:val="20"/>
              </w:rPr>
              <w:t>4</w:t>
            </w:r>
            <w:r>
              <w:rPr>
                <w:rFonts w:hint="eastAsia"/>
                <w:color w:val="000000"/>
                <w:szCs w:val="20"/>
              </w:rPr>
              <w:t>）</w:t>
            </w:r>
            <w:r>
              <w:rPr>
                <w:color w:val="000000"/>
                <w:szCs w:val="20"/>
              </w:rPr>
              <w:t>预测值计算</w:t>
            </w:r>
          </w:p>
          <w:p>
            <w:pPr>
              <w:adjustRightInd w:val="0"/>
              <w:snapToGrid w:val="0"/>
              <w:rPr>
                <w:color w:val="000000"/>
                <w:szCs w:val="20"/>
              </w:rPr>
            </w:pPr>
            <w:r>
              <w:rPr>
                <w:color w:val="000000"/>
                <w:szCs w:val="20"/>
              </w:rPr>
              <w:t>预测点的预测等效声级</w:t>
            </w:r>
            <w:r>
              <w:rPr>
                <w:rFonts w:hint="eastAsia"/>
                <w:color w:val="000000"/>
                <w:szCs w:val="20"/>
              </w:rPr>
              <w:t>（</w:t>
            </w:r>
            <w:r>
              <w:rPr>
                <w:color w:val="000000"/>
                <w:szCs w:val="20"/>
              </w:rPr>
              <w:t>Leq</w:t>
            </w:r>
            <w:r>
              <w:rPr>
                <w:rFonts w:hint="eastAsia"/>
                <w:color w:val="000000"/>
                <w:szCs w:val="20"/>
              </w:rPr>
              <w:t>）</w:t>
            </w:r>
            <w:r>
              <w:rPr>
                <w:color w:val="000000"/>
                <w:szCs w:val="20"/>
              </w:rPr>
              <w:t>计算公式为：</w:t>
            </w:r>
          </w:p>
          <w:p>
            <w:pPr>
              <w:adjustRightInd w:val="0"/>
              <w:snapToGrid w:val="0"/>
              <w:ind w:firstLine="2880" w:firstLineChars="1200"/>
              <w:rPr>
                <w:color w:val="000000"/>
                <w:szCs w:val="20"/>
              </w:rPr>
            </w:pPr>
            <w:r>
              <w:rPr>
                <w:color w:val="000000"/>
                <w:szCs w:val="20"/>
              </w:rPr>
              <w:pict>
                <v:shape id="Object 33292" o:spid="_x0000_s2359" o:spt="75" type="#_x0000_t75" style="position:absolute;left:0pt;margin-left:144pt;margin-top:0pt;height:21pt;width:141pt;z-index:-251649024;mso-width-relative:page;mso-height-relative:page;" o:ole="t" filled="f" o:preferrelative="t" stroked="f" coordsize="21600,21600">
                  <v:path/>
                  <v:fill on="f" focussize="0,0"/>
                  <v:stroke on="f" joinstyle="miter"/>
                  <v:imagedata r:id="rId40" o:title=""/>
                  <o:lock v:ext="edit" aspectratio="t"/>
                </v:shape>
                <o:OLEObject Type="Embed" ProgID="" ShapeID="Object 33292" DrawAspect="Content" ObjectID="_1468075732" r:id="rId39">
                  <o:LockedField>false</o:LockedField>
                </o:OLEObject>
              </w:pict>
            </w:r>
          </w:p>
          <w:p>
            <w:pPr>
              <w:adjustRightInd w:val="0"/>
              <w:snapToGrid w:val="0"/>
              <w:rPr>
                <w:color w:val="000000"/>
                <w:szCs w:val="20"/>
              </w:rPr>
            </w:pPr>
            <w:r>
              <w:rPr>
                <w:color w:val="000000"/>
                <w:szCs w:val="20"/>
              </w:rPr>
              <w:t>式中：</w:t>
            </w:r>
          </w:p>
          <w:p>
            <w:pPr>
              <w:adjustRightInd w:val="0"/>
              <w:snapToGrid w:val="0"/>
              <w:rPr>
                <w:color w:val="000000"/>
                <w:szCs w:val="20"/>
              </w:rPr>
            </w:pPr>
            <w:r>
              <w:rPr>
                <w:color w:val="000000"/>
                <w:szCs w:val="20"/>
              </w:rPr>
              <w:t>Leqg---建设项目声源在预测点的等效声级贡献值，dB；</w:t>
            </w:r>
          </w:p>
          <w:p>
            <w:pPr>
              <w:adjustRightInd w:val="0"/>
              <w:snapToGrid w:val="0"/>
              <w:rPr>
                <w:b/>
                <w:bCs/>
                <w:color w:val="000000"/>
                <w:kern w:val="0"/>
              </w:rPr>
            </w:pPr>
            <w:r>
              <w:rPr>
                <w:color w:val="000000"/>
                <w:szCs w:val="20"/>
              </w:rPr>
              <w:t>Leqb---预测点的背景值，dB。</w:t>
            </w:r>
          </w:p>
          <w:p>
            <w:pPr>
              <w:rPr>
                <w:color w:val="000000"/>
              </w:rPr>
            </w:pPr>
            <w:r>
              <w:rPr>
                <w:rFonts w:hint="eastAsia"/>
                <w:color w:val="000000"/>
              </w:rPr>
              <w:t>（5）厂界</w:t>
            </w:r>
            <w:r>
              <w:rPr>
                <w:color w:val="000000"/>
              </w:rPr>
              <w:t>噪声</w:t>
            </w:r>
            <w:r>
              <w:rPr>
                <w:color w:val="000000"/>
                <w:lang w:val="zh-CN"/>
              </w:rPr>
              <w:t>预测结果分析</w:t>
            </w:r>
          </w:p>
          <w:p>
            <w:pPr>
              <w:ind w:firstLine="0" w:firstLineChars="0"/>
              <w:rPr>
                <w:color w:val="000000"/>
                <w:lang w:val="zh-CN"/>
              </w:rPr>
            </w:pPr>
            <w:r>
              <w:rPr>
                <w:color w:val="000000"/>
                <w:lang w:val="zh-CN"/>
              </w:rPr>
              <w:t>利用上述模式，本项目各厂界噪声的噪声影响预测</w:t>
            </w:r>
            <w:r>
              <w:rPr>
                <w:rFonts w:hint="eastAsia"/>
                <w:color w:val="000000"/>
                <w:lang w:val="zh-CN"/>
              </w:rPr>
              <w:t>（</w:t>
            </w:r>
            <w:r>
              <w:rPr>
                <w:color w:val="000000"/>
                <w:lang w:val="zh-CN"/>
              </w:rPr>
              <w:t>综合贡献值</w:t>
            </w:r>
            <w:r>
              <w:rPr>
                <w:rFonts w:hint="eastAsia"/>
                <w:color w:val="000000"/>
                <w:lang w:val="zh-CN"/>
              </w:rPr>
              <w:t>）</w:t>
            </w:r>
            <w:r>
              <w:rPr>
                <w:color w:val="000000"/>
                <w:lang w:val="zh-CN"/>
              </w:rPr>
              <w:t>计算结果见表，具体预测结果见</w:t>
            </w:r>
            <w:r>
              <w:rPr>
                <w:rFonts w:hint="eastAsia"/>
                <w:color w:val="000000"/>
              </w:rPr>
              <w:t>下</w:t>
            </w:r>
            <w:r>
              <w:rPr>
                <w:color w:val="000000"/>
                <w:lang w:val="zh-CN"/>
              </w:rPr>
              <w:t>表所示</w:t>
            </w:r>
            <w:r>
              <w:rPr>
                <w:rFonts w:hint="eastAsia"/>
                <w:color w:val="000000"/>
                <w:lang w:val="zh-CN"/>
              </w:rPr>
              <w:t>。</w:t>
            </w:r>
          </w:p>
          <w:p>
            <w:pPr>
              <w:pStyle w:val="96"/>
            </w:pPr>
            <w:r>
              <w:t>表4.</w:t>
            </w:r>
            <w:r>
              <w:rPr>
                <w:rFonts w:hint="eastAsia"/>
              </w:rPr>
              <w:t>3</w:t>
            </w:r>
            <w:r>
              <w:t>-</w:t>
            </w:r>
            <w:r>
              <w:rPr>
                <w:rFonts w:hint="eastAsia"/>
              </w:rPr>
              <w:t>2</w:t>
            </w:r>
            <w:r>
              <w:t xml:space="preserve">  厂界噪声预测结果   单位：dB</w:t>
            </w:r>
            <w:r>
              <w:rPr>
                <w:rFonts w:hint="eastAsia"/>
              </w:rPr>
              <w:t>（</w:t>
            </w:r>
            <w:r>
              <w:t>A</w:t>
            </w:r>
            <w:r>
              <w:rPr>
                <w:rFonts w:hint="eastAsia"/>
              </w:rPr>
              <w:t>）</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10"/>
              <w:gridCol w:w="1956"/>
              <w:gridCol w:w="2009"/>
              <w:gridCol w:w="1697"/>
              <w:gridCol w:w="14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726" w:type="pct"/>
                  <w:vMerge w:val="restart"/>
                  <w:vAlign w:val="center"/>
                </w:tcPr>
                <w:p>
                  <w:pPr>
                    <w:pStyle w:val="53"/>
                  </w:pPr>
                  <w:r>
                    <w:t>编号</w:t>
                  </w:r>
                </w:p>
              </w:tc>
              <w:tc>
                <w:tcPr>
                  <w:tcW w:w="1173" w:type="pct"/>
                  <w:vMerge w:val="restart"/>
                  <w:vAlign w:val="center"/>
                </w:tcPr>
                <w:p>
                  <w:pPr>
                    <w:pStyle w:val="53"/>
                  </w:pPr>
                  <w:r>
                    <w:t>测点位置</w:t>
                  </w:r>
                </w:p>
              </w:tc>
              <w:tc>
                <w:tcPr>
                  <w:tcW w:w="1205" w:type="pct"/>
                  <w:vAlign w:val="center"/>
                </w:tcPr>
                <w:p>
                  <w:pPr>
                    <w:pStyle w:val="53"/>
                  </w:pPr>
                  <w:r>
                    <w:t>影响贡献值</w:t>
                  </w:r>
                </w:p>
              </w:tc>
              <w:tc>
                <w:tcPr>
                  <w:tcW w:w="1018" w:type="pct"/>
                  <w:vAlign w:val="center"/>
                </w:tcPr>
                <w:p>
                  <w:pPr>
                    <w:pStyle w:val="53"/>
                  </w:pPr>
                  <w:r>
                    <w:t>标准值</w:t>
                  </w:r>
                </w:p>
              </w:tc>
              <w:tc>
                <w:tcPr>
                  <w:tcW w:w="876" w:type="pct"/>
                  <w:vMerge w:val="restart"/>
                  <w:vAlign w:val="center"/>
                </w:tcPr>
                <w:p>
                  <w:pPr>
                    <w:pStyle w:val="53"/>
                  </w:pPr>
                  <w: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726" w:type="pct"/>
                  <w:vMerge w:val="continue"/>
                  <w:vAlign w:val="center"/>
                </w:tcPr>
                <w:p>
                  <w:pPr>
                    <w:pStyle w:val="53"/>
                  </w:pPr>
                </w:p>
              </w:tc>
              <w:tc>
                <w:tcPr>
                  <w:tcW w:w="1173" w:type="pct"/>
                  <w:vMerge w:val="continue"/>
                  <w:vAlign w:val="center"/>
                </w:tcPr>
                <w:p>
                  <w:pPr>
                    <w:pStyle w:val="53"/>
                  </w:pPr>
                </w:p>
              </w:tc>
              <w:tc>
                <w:tcPr>
                  <w:tcW w:w="1205" w:type="pct"/>
                  <w:vAlign w:val="center"/>
                </w:tcPr>
                <w:p>
                  <w:pPr>
                    <w:pStyle w:val="53"/>
                  </w:pPr>
                  <w:r>
                    <w:t>昼间</w:t>
                  </w:r>
                </w:p>
              </w:tc>
              <w:tc>
                <w:tcPr>
                  <w:tcW w:w="1018" w:type="pct"/>
                  <w:vAlign w:val="center"/>
                </w:tcPr>
                <w:p>
                  <w:pPr>
                    <w:pStyle w:val="53"/>
                  </w:pPr>
                  <w:r>
                    <w:t>昼间</w:t>
                  </w:r>
                </w:p>
              </w:tc>
              <w:tc>
                <w:tcPr>
                  <w:tcW w:w="876" w:type="pct"/>
                  <w:vMerge w:val="continue"/>
                  <w:vAlign w:val="center"/>
                </w:tcPr>
                <w:p>
                  <w:pPr>
                    <w:pStyle w:val="5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26" w:type="pct"/>
                  <w:vAlign w:val="center"/>
                </w:tcPr>
                <w:p>
                  <w:pPr>
                    <w:pStyle w:val="53"/>
                  </w:pPr>
                  <w:r>
                    <w:t>1</w:t>
                  </w:r>
                </w:p>
              </w:tc>
              <w:tc>
                <w:tcPr>
                  <w:tcW w:w="1173" w:type="pct"/>
                  <w:vAlign w:val="center"/>
                </w:tcPr>
                <w:p>
                  <w:pPr>
                    <w:pStyle w:val="53"/>
                  </w:pPr>
                  <w:r>
                    <w:t>北侧厂界</w:t>
                  </w:r>
                </w:p>
              </w:tc>
              <w:tc>
                <w:tcPr>
                  <w:tcW w:w="1205" w:type="pct"/>
                  <w:vAlign w:val="center"/>
                </w:tcPr>
                <w:p>
                  <w:pPr>
                    <w:widowControl/>
                    <w:ind w:firstLine="0" w:firstLineChars="0"/>
                    <w:jc w:val="center"/>
                    <w:textAlignment w:val="center"/>
                    <w:rPr>
                      <w:color w:val="000000"/>
                      <w:sz w:val="21"/>
                      <w:szCs w:val="21"/>
                    </w:rPr>
                  </w:pPr>
                  <w:r>
                    <w:rPr>
                      <w:rFonts w:hint="eastAsia"/>
                      <w:color w:val="000000"/>
                      <w:sz w:val="21"/>
                      <w:szCs w:val="21"/>
                    </w:rPr>
                    <w:t>59</w:t>
                  </w:r>
                </w:p>
              </w:tc>
              <w:tc>
                <w:tcPr>
                  <w:tcW w:w="1018" w:type="pct"/>
                  <w:vAlign w:val="center"/>
                </w:tcPr>
                <w:p>
                  <w:pPr>
                    <w:pStyle w:val="53"/>
                  </w:pPr>
                  <w:r>
                    <w:rPr>
                      <w:rFonts w:hint="eastAsia"/>
                    </w:rPr>
                    <w:t>60</w:t>
                  </w:r>
                </w:p>
              </w:tc>
              <w:tc>
                <w:tcPr>
                  <w:tcW w:w="876" w:type="pct"/>
                  <w:vAlign w:val="center"/>
                </w:tcPr>
                <w:p>
                  <w:pPr>
                    <w:pStyle w:val="53"/>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26" w:type="pct"/>
                  <w:vAlign w:val="center"/>
                </w:tcPr>
                <w:p>
                  <w:pPr>
                    <w:pStyle w:val="53"/>
                  </w:pPr>
                  <w:r>
                    <w:t>2</w:t>
                  </w:r>
                </w:p>
              </w:tc>
              <w:tc>
                <w:tcPr>
                  <w:tcW w:w="1173" w:type="pct"/>
                  <w:vAlign w:val="center"/>
                </w:tcPr>
                <w:p>
                  <w:pPr>
                    <w:pStyle w:val="53"/>
                  </w:pPr>
                  <w:r>
                    <w:t>西侧厂界</w:t>
                  </w:r>
                </w:p>
              </w:tc>
              <w:tc>
                <w:tcPr>
                  <w:tcW w:w="1205" w:type="pct"/>
                  <w:vAlign w:val="center"/>
                </w:tcPr>
                <w:p>
                  <w:pPr>
                    <w:widowControl/>
                    <w:ind w:firstLine="0" w:firstLineChars="0"/>
                    <w:jc w:val="center"/>
                    <w:textAlignment w:val="center"/>
                    <w:rPr>
                      <w:color w:val="000000"/>
                      <w:sz w:val="21"/>
                      <w:szCs w:val="21"/>
                    </w:rPr>
                  </w:pPr>
                  <w:r>
                    <w:rPr>
                      <w:rFonts w:hint="eastAsia"/>
                      <w:color w:val="000000"/>
                      <w:sz w:val="21"/>
                      <w:szCs w:val="21"/>
                    </w:rPr>
                    <w:t>58</w:t>
                  </w:r>
                </w:p>
              </w:tc>
              <w:tc>
                <w:tcPr>
                  <w:tcW w:w="1018" w:type="pct"/>
                  <w:vAlign w:val="center"/>
                </w:tcPr>
                <w:p>
                  <w:pPr>
                    <w:pStyle w:val="53"/>
                  </w:pPr>
                  <w:r>
                    <w:rPr>
                      <w:rFonts w:hint="eastAsia"/>
                    </w:rPr>
                    <w:t>60</w:t>
                  </w:r>
                </w:p>
              </w:tc>
              <w:tc>
                <w:tcPr>
                  <w:tcW w:w="876" w:type="pct"/>
                  <w:vAlign w:val="center"/>
                </w:tcPr>
                <w:p>
                  <w:pPr>
                    <w:pStyle w:val="53"/>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Align w:val="center"/>
                </w:tcPr>
                <w:p>
                  <w:pPr>
                    <w:pStyle w:val="53"/>
                  </w:pPr>
                  <w:r>
                    <w:t>3</w:t>
                  </w:r>
                </w:p>
              </w:tc>
              <w:tc>
                <w:tcPr>
                  <w:tcW w:w="1173" w:type="pct"/>
                  <w:vAlign w:val="center"/>
                </w:tcPr>
                <w:p>
                  <w:pPr>
                    <w:pStyle w:val="53"/>
                  </w:pPr>
                  <w:r>
                    <w:t>南侧厂界</w:t>
                  </w:r>
                </w:p>
              </w:tc>
              <w:tc>
                <w:tcPr>
                  <w:tcW w:w="1205" w:type="pct"/>
                  <w:vAlign w:val="center"/>
                </w:tcPr>
                <w:p>
                  <w:pPr>
                    <w:widowControl/>
                    <w:ind w:firstLine="0" w:firstLineChars="0"/>
                    <w:jc w:val="center"/>
                    <w:textAlignment w:val="center"/>
                    <w:rPr>
                      <w:color w:val="000000"/>
                      <w:sz w:val="21"/>
                      <w:szCs w:val="21"/>
                    </w:rPr>
                  </w:pPr>
                  <w:r>
                    <w:rPr>
                      <w:rFonts w:hint="eastAsia"/>
                      <w:color w:val="000000"/>
                      <w:sz w:val="21"/>
                      <w:szCs w:val="21"/>
                    </w:rPr>
                    <w:t>58</w:t>
                  </w:r>
                </w:p>
              </w:tc>
              <w:tc>
                <w:tcPr>
                  <w:tcW w:w="1018" w:type="pct"/>
                  <w:vAlign w:val="center"/>
                </w:tcPr>
                <w:p>
                  <w:pPr>
                    <w:pStyle w:val="53"/>
                  </w:pPr>
                  <w:r>
                    <w:rPr>
                      <w:rFonts w:hint="eastAsia"/>
                    </w:rPr>
                    <w:t>60</w:t>
                  </w:r>
                </w:p>
              </w:tc>
              <w:tc>
                <w:tcPr>
                  <w:tcW w:w="876" w:type="pct"/>
                  <w:vAlign w:val="center"/>
                </w:tcPr>
                <w:p>
                  <w:pPr>
                    <w:pStyle w:val="53"/>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26" w:type="pct"/>
                  <w:vAlign w:val="center"/>
                </w:tcPr>
                <w:p>
                  <w:pPr>
                    <w:pStyle w:val="53"/>
                  </w:pPr>
                  <w:r>
                    <w:t>4</w:t>
                  </w:r>
                </w:p>
              </w:tc>
              <w:tc>
                <w:tcPr>
                  <w:tcW w:w="1173" w:type="pct"/>
                  <w:vAlign w:val="center"/>
                </w:tcPr>
                <w:p>
                  <w:pPr>
                    <w:pStyle w:val="53"/>
                  </w:pPr>
                  <w:r>
                    <w:t>东侧厂界</w:t>
                  </w:r>
                </w:p>
              </w:tc>
              <w:tc>
                <w:tcPr>
                  <w:tcW w:w="1205" w:type="pct"/>
                  <w:vAlign w:val="center"/>
                </w:tcPr>
                <w:p>
                  <w:pPr>
                    <w:pStyle w:val="53"/>
                  </w:pPr>
                  <w:r>
                    <w:rPr>
                      <w:rFonts w:hint="eastAsia"/>
                    </w:rPr>
                    <w:t>55</w:t>
                  </w:r>
                </w:p>
              </w:tc>
              <w:tc>
                <w:tcPr>
                  <w:tcW w:w="1018" w:type="pct"/>
                  <w:vAlign w:val="center"/>
                </w:tcPr>
                <w:p>
                  <w:pPr>
                    <w:pStyle w:val="53"/>
                  </w:pPr>
                  <w:r>
                    <w:rPr>
                      <w:rFonts w:hint="eastAsia"/>
                    </w:rPr>
                    <w:t>60</w:t>
                  </w:r>
                </w:p>
              </w:tc>
              <w:tc>
                <w:tcPr>
                  <w:tcW w:w="876" w:type="pct"/>
                  <w:vAlign w:val="center"/>
                </w:tcPr>
                <w:p>
                  <w:pPr>
                    <w:pStyle w:val="53"/>
                  </w:pPr>
                  <w:r>
                    <w:t>达标</w:t>
                  </w:r>
                </w:p>
              </w:tc>
            </w:tr>
          </w:tbl>
          <w:p>
            <w:pPr>
              <w:spacing w:beforeLines="50"/>
              <w:rPr>
                <w:color w:val="000000"/>
              </w:rPr>
            </w:pPr>
            <w:r>
              <w:rPr>
                <w:color w:val="000000"/>
              </w:rPr>
              <w:t>厂界达标分析：根据表4.3-</w:t>
            </w:r>
            <w:r>
              <w:rPr>
                <w:rFonts w:hint="eastAsia"/>
                <w:color w:val="000000"/>
              </w:rPr>
              <w:t>2</w:t>
            </w:r>
            <w:r>
              <w:rPr>
                <w:color w:val="000000"/>
              </w:rPr>
              <w:t>预测结果表明，项目主要噪声源在采取有效的降噪措施前提下，项目厂界噪声均可满足《工业企业厂界环境噪声排放标准》</w:t>
            </w:r>
            <w:r>
              <w:rPr>
                <w:rFonts w:hint="eastAsia"/>
                <w:color w:val="000000"/>
              </w:rPr>
              <w:t>（</w:t>
            </w:r>
            <w:r>
              <w:rPr>
                <w:color w:val="000000"/>
              </w:rPr>
              <w:t>GB12348-2008</w:t>
            </w:r>
            <w:r>
              <w:rPr>
                <w:rFonts w:hint="eastAsia"/>
                <w:color w:val="000000"/>
              </w:rPr>
              <w:t>）</w:t>
            </w:r>
            <w:r>
              <w:rPr>
                <w:color w:val="000000"/>
              </w:rPr>
              <w:t>中</w:t>
            </w:r>
            <w:r>
              <w:rPr>
                <w:rFonts w:hint="eastAsia"/>
                <w:color w:val="000000"/>
              </w:rPr>
              <w:t>2</w:t>
            </w:r>
            <w:r>
              <w:rPr>
                <w:color w:val="000000"/>
              </w:rPr>
              <w:t>类标准。</w:t>
            </w:r>
          </w:p>
          <w:p>
            <w:pPr>
              <w:pStyle w:val="116"/>
              <w:ind w:firstLine="480"/>
              <w:rPr>
                <w:rFonts w:ascii="Times New Roman" w:hAnsi="Times New Roman"/>
                <w:color w:val="000000"/>
                <w:szCs w:val="24"/>
                <w:lang w:val="zh-CN"/>
              </w:rPr>
            </w:pPr>
            <w:r>
              <w:rPr>
                <w:rFonts w:hint="eastAsia" w:ascii="Times New Roman" w:hAnsi="Times New Roman"/>
                <w:color w:val="000000"/>
                <w:szCs w:val="24"/>
              </w:rPr>
              <w:t>（6）</w:t>
            </w:r>
            <w:r>
              <w:rPr>
                <w:rFonts w:ascii="Times New Roman" w:hAnsi="Times New Roman"/>
                <w:color w:val="000000"/>
                <w:szCs w:val="24"/>
                <w:lang w:val="zh-CN"/>
              </w:rPr>
              <w:t>敏感点噪声预测结果分析</w:t>
            </w:r>
          </w:p>
          <w:p>
            <w:pPr>
              <w:rPr>
                <w:color w:val="000000"/>
                <w:lang w:val="zh-CN"/>
              </w:rPr>
            </w:pPr>
            <w:r>
              <w:rPr>
                <w:color w:val="000000"/>
                <w:lang w:val="zh-CN"/>
              </w:rPr>
              <w:t>根据现场勘查，项目周边</w:t>
            </w:r>
            <w:r>
              <w:rPr>
                <w:color w:val="000000"/>
              </w:rPr>
              <w:t>50m范围内</w:t>
            </w:r>
            <w:r>
              <w:rPr>
                <w:rFonts w:hint="eastAsia"/>
                <w:color w:val="000000"/>
              </w:rPr>
              <w:t>有零散居民，已进行现状监测，现状检测报告详见</w:t>
            </w:r>
            <w:r>
              <w:rPr>
                <w:rFonts w:hint="eastAsia"/>
                <w:color w:val="000000"/>
              </w:rPr>
              <w:fldChar w:fldCharType="begin"/>
            </w:r>
            <w:r>
              <w:rPr>
                <w:rFonts w:hint="eastAsia"/>
                <w:color w:val="000000"/>
              </w:rPr>
              <w:instrText xml:space="preserve"> REF _Ref26531 \h </w:instrText>
            </w:r>
            <w:r>
              <w:rPr>
                <w:rFonts w:hint="eastAsia"/>
                <w:color w:val="000000"/>
              </w:rPr>
              <w:fldChar w:fldCharType="separate"/>
            </w:r>
            <w:r>
              <w:t>附件 15</w:t>
            </w:r>
            <w:r>
              <w:rPr>
                <w:rFonts w:hint="eastAsia"/>
                <w:color w:val="000000"/>
              </w:rPr>
              <w:fldChar w:fldCharType="end"/>
            </w:r>
          </w:p>
          <w:p>
            <w:pPr>
              <w:pStyle w:val="5"/>
              <w:spacing w:before="120"/>
            </w:pPr>
            <w:r>
              <w:t>运营期噪声防治措施</w:t>
            </w:r>
          </w:p>
          <w:p>
            <w:pPr>
              <w:adjustRightInd w:val="0"/>
              <w:snapToGrid w:val="0"/>
              <w:rPr>
                <w:bCs/>
                <w:color w:val="000000"/>
              </w:rPr>
            </w:pPr>
            <w:r>
              <w:rPr>
                <w:bCs/>
                <w:color w:val="000000"/>
              </w:rPr>
              <w:t>为了确保厂界噪声达到《工业企业厂界环境噪声排放标准》</w:t>
            </w:r>
            <w:r>
              <w:rPr>
                <w:rFonts w:hint="eastAsia"/>
                <w:bCs/>
                <w:color w:val="000000"/>
              </w:rPr>
              <w:t>（</w:t>
            </w:r>
            <w:r>
              <w:rPr>
                <w:bCs/>
                <w:color w:val="000000"/>
              </w:rPr>
              <w:t>GB 12348-2008</w:t>
            </w:r>
            <w:r>
              <w:rPr>
                <w:rFonts w:hint="eastAsia"/>
                <w:bCs/>
                <w:color w:val="000000"/>
              </w:rPr>
              <w:t>）</w:t>
            </w:r>
            <w:r>
              <w:rPr>
                <w:bCs/>
                <w:color w:val="000000"/>
              </w:rPr>
              <w:t>中</w:t>
            </w:r>
            <w:r>
              <w:rPr>
                <w:rFonts w:hint="eastAsia"/>
                <w:bCs/>
                <w:color w:val="000000"/>
              </w:rPr>
              <w:t>2</w:t>
            </w:r>
            <w:r>
              <w:rPr>
                <w:bCs/>
                <w:color w:val="000000"/>
              </w:rPr>
              <w:t>类标准，本报告建议采用以下降噪措施：</w:t>
            </w:r>
          </w:p>
          <w:p>
            <w:pPr>
              <w:adjustRightInd w:val="0"/>
              <w:snapToGrid w:val="0"/>
              <w:rPr>
                <w:bCs/>
                <w:color w:val="000000"/>
              </w:rPr>
            </w:pPr>
            <w:r>
              <w:rPr>
                <w:rFonts w:hint="eastAsia"/>
                <w:bCs/>
                <w:color w:val="000000"/>
              </w:rPr>
              <w:t>（</w:t>
            </w:r>
            <w:r>
              <w:rPr>
                <w:bCs/>
                <w:color w:val="000000"/>
              </w:rPr>
              <w:t>1</w:t>
            </w:r>
            <w:r>
              <w:rPr>
                <w:rFonts w:hint="eastAsia"/>
                <w:bCs/>
                <w:color w:val="000000"/>
              </w:rPr>
              <w:t>）</w:t>
            </w:r>
            <w:r>
              <w:rPr>
                <w:bCs/>
                <w:color w:val="000000"/>
              </w:rPr>
              <w:t>项目选用低噪声生产设备，从源头上降低噪声源强。</w:t>
            </w:r>
          </w:p>
          <w:p>
            <w:pPr>
              <w:adjustRightInd w:val="0"/>
              <w:snapToGrid w:val="0"/>
              <w:rPr>
                <w:bCs/>
                <w:color w:val="000000"/>
              </w:rPr>
            </w:pPr>
            <w:r>
              <w:rPr>
                <w:rFonts w:hint="eastAsia"/>
                <w:bCs/>
                <w:color w:val="000000"/>
              </w:rPr>
              <w:t>（</w:t>
            </w:r>
            <w:r>
              <w:rPr>
                <w:bCs/>
                <w:color w:val="000000"/>
              </w:rPr>
              <w:t>2</w:t>
            </w:r>
            <w:r>
              <w:rPr>
                <w:rFonts w:hint="eastAsia"/>
                <w:bCs/>
                <w:color w:val="000000"/>
              </w:rPr>
              <w:t>）</w:t>
            </w:r>
            <w:r>
              <w:rPr>
                <w:bCs/>
                <w:color w:val="000000"/>
              </w:rPr>
              <w:t>加强车间内的噪声治理，对厂区高噪声设备采用隔声、消声、吸声、减振等有效措施，以有效降低车间噪声。</w:t>
            </w:r>
          </w:p>
          <w:p>
            <w:pPr>
              <w:adjustRightInd w:val="0"/>
              <w:snapToGrid w:val="0"/>
              <w:rPr>
                <w:rFonts w:hint="eastAsia" w:eastAsia="宋体"/>
                <w:bCs/>
                <w:color w:val="000000"/>
                <w:lang w:val="en-US" w:eastAsia="zh-CN"/>
              </w:rPr>
            </w:pPr>
            <w:r>
              <w:rPr>
                <w:rFonts w:hint="eastAsia"/>
                <w:bCs/>
                <w:color w:val="000000"/>
              </w:rPr>
              <w:t>（</w:t>
            </w:r>
            <w:r>
              <w:rPr>
                <w:bCs/>
                <w:color w:val="000000"/>
              </w:rPr>
              <w:t>3</w:t>
            </w:r>
            <w:r>
              <w:rPr>
                <w:rFonts w:hint="eastAsia"/>
                <w:bCs/>
                <w:color w:val="000000"/>
              </w:rPr>
              <w:t>）</w:t>
            </w:r>
            <w:r>
              <w:rPr>
                <w:bCs/>
                <w:color w:val="000000"/>
              </w:rPr>
              <w:t>加强对设备的管理和维护，在有关环保人员的统一管理下，定期检查、监测，发现噪声超标要及时治理并增加相关操作岗位工人的个体防护</w:t>
            </w:r>
            <w:r>
              <w:rPr>
                <w:rFonts w:hint="eastAsia"/>
                <w:bCs/>
                <w:color w:val="000000"/>
                <w:lang w:eastAsia="zh-CN"/>
              </w:rPr>
              <w:t>。</w:t>
            </w:r>
          </w:p>
          <w:p>
            <w:pPr>
              <w:adjustRightInd w:val="0"/>
              <w:snapToGrid w:val="0"/>
              <w:rPr>
                <w:bCs/>
                <w:color w:val="000000"/>
              </w:rPr>
            </w:pPr>
            <w:r>
              <w:rPr>
                <w:rFonts w:hint="eastAsia"/>
                <w:bCs/>
                <w:color w:val="000000"/>
              </w:rPr>
              <w:t>（</w:t>
            </w:r>
            <w:r>
              <w:rPr>
                <w:bCs/>
                <w:color w:val="000000"/>
              </w:rPr>
              <w:t>4</w:t>
            </w:r>
            <w:r>
              <w:rPr>
                <w:rFonts w:hint="eastAsia"/>
                <w:bCs/>
                <w:color w:val="000000"/>
              </w:rPr>
              <w:t>）</w:t>
            </w:r>
            <w:r>
              <w:rPr>
                <w:bCs/>
                <w:color w:val="000000"/>
              </w:rPr>
              <w:t>车辆运输物料时，在靠近居民点等对声环境质量要求较高的地方，应减小车速，禁止或尽量少鸣喇叭。</w:t>
            </w:r>
          </w:p>
          <w:p>
            <w:pPr>
              <w:adjustRightInd w:val="0"/>
              <w:snapToGrid w:val="0"/>
              <w:rPr>
                <w:bCs/>
                <w:color w:val="000000"/>
              </w:rPr>
            </w:pPr>
            <w:r>
              <w:rPr>
                <w:bCs/>
                <w:color w:val="000000"/>
              </w:rPr>
              <w:t>通过以上降噪措施，有效降低设备噪声对厂界的影响程度，确保厂界噪声符合《工业企业厂界环境噪声排放标准》</w:t>
            </w:r>
            <w:r>
              <w:rPr>
                <w:rFonts w:hint="eastAsia"/>
                <w:bCs/>
                <w:color w:val="000000"/>
              </w:rPr>
              <w:t>（</w:t>
            </w:r>
            <w:r>
              <w:rPr>
                <w:bCs/>
                <w:color w:val="000000"/>
              </w:rPr>
              <w:t>GB12348-2008</w:t>
            </w:r>
            <w:r>
              <w:rPr>
                <w:rFonts w:hint="eastAsia"/>
                <w:bCs/>
                <w:color w:val="000000"/>
              </w:rPr>
              <w:t>）</w:t>
            </w:r>
            <w:r>
              <w:rPr>
                <w:bCs/>
                <w:color w:val="000000"/>
              </w:rPr>
              <w:t>中的</w:t>
            </w:r>
            <w:r>
              <w:rPr>
                <w:rFonts w:hint="eastAsia"/>
                <w:bCs/>
                <w:color w:val="000000"/>
              </w:rPr>
              <w:t>2</w:t>
            </w:r>
            <w:r>
              <w:rPr>
                <w:bCs/>
                <w:color w:val="000000"/>
              </w:rPr>
              <w:t>类标准要求，措施可行。</w:t>
            </w:r>
          </w:p>
          <w:p>
            <w:pPr>
              <w:pStyle w:val="4"/>
            </w:pPr>
            <w:bookmarkStart w:id="76" w:name="_Toc31957"/>
            <w:bookmarkStart w:id="77" w:name="_Toc19128"/>
            <w:bookmarkStart w:id="78" w:name="_Toc3323"/>
            <w:r>
              <w:t>运营期固体废物影响分析和污染防治措施</w:t>
            </w:r>
            <w:bookmarkEnd w:id="76"/>
            <w:bookmarkEnd w:id="77"/>
            <w:bookmarkEnd w:id="78"/>
          </w:p>
          <w:p>
            <w:pPr>
              <w:pStyle w:val="5"/>
              <w:spacing w:before="120"/>
            </w:pPr>
            <w:r>
              <w:t>运营期</w:t>
            </w:r>
            <w:r>
              <w:rPr>
                <w:rFonts w:hint="eastAsia"/>
              </w:rPr>
              <w:t>固体废物</w:t>
            </w:r>
            <w:r>
              <w:t>源强核算</w:t>
            </w:r>
          </w:p>
          <w:p>
            <w:pPr>
              <w:rPr>
                <w:color w:val="000000"/>
              </w:rPr>
            </w:pPr>
            <w:r>
              <w:rPr>
                <w:rFonts w:hint="eastAsia"/>
                <w:color w:val="000000"/>
              </w:rPr>
              <w:t>（1）</w:t>
            </w:r>
            <w:r>
              <w:rPr>
                <w:color w:val="000000"/>
              </w:rPr>
              <w:t>一般工业固废</w:t>
            </w:r>
          </w:p>
          <w:p>
            <w:pPr>
              <w:rPr>
                <w:bCs/>
                <w:color w:val="000000"/>
              </w:rPr>
            </w:pPr>
            <w:r>
              <w:rPr>
                <w:color w:val="000000"/>
              </w:rPr>
              <w:t>①</w:t>
            </w:r>
            <w:r>
              <w:rPr>
                <w:rFonts w:hint="eastAsia"/>
                <w:bCs/>
                <w:color w:val="000000"/>
              </w:rPr>
              <w:t>废包装物（包装纸箱、包装袋等）</w:t>
            </w:r>
          </w:p>
          <w:p>
            <w:r>
              <w:rPr>
                <w:bCs/>
                <w:color w:val="000000"/>
                <w:lang w:val="zh-CN"/>
              </w:rPr>
              <w:t>项目在生产过程中会产生原料包装废物，</w:t>
            </w:r>
            <w:r>
              <w:rPr>
                <w:rFonts w:hint="eastAsia"/>
                <w:bCs/>
                <w:color w:val="000000"/>
              </w:rPr>
              <w:t>根据业主资料提供，项目废包装物产生量为0.5t/a</w:t>
            </w:r>
            <w:r>
              <w:rPr>
                <w:bCs/>
                <w:color w:val="000000"/>
                <w:lang w:val="zh-CN"/>
              </w:rPr>
              <w:t>。项目产生的废包装</w:t>
            </w:r>
            <w:r>
              <w:rPr>
                <w:rFonts w:hint="eastAsia"/>
                <w:bCs/>
                <w:color w:val="000000"/>
              </w:rPr>
              <w:t>物</w:t>
            </w:r>
            <w:r>
              <w:rPr>
                <w:bCs/>
                <w:color w:val="000000"/>
                <w:lang w:val="zh-CN"/>
              </w:rPr>
              <w:t>属于一般工业固体废物，且回收可利用价值高，经收集后出售给</w:t>
            </w:r>
            <w:r>
              <w:rPr>
                <w:rFonts w:hint="eastAsia"/>
                <w:bCs/>
                <w:color w:val="000000"/>
              </w:rPr>
              <w:t>其他</w:t>
            </w:r>
            <w:r>
              <w:rPr>
                <w:bCs/>
                <w:color w:val="000000"/>
                <w:lang w:val="zh-CN"/>
              </w:rPr>
              <w:t>企业回收利用。</w:t>
            </w:r>
          </w:p>
          <w:p>
            <w:pPr>
              <w:rPr>
                <w:bCs/>
                <w:color w:val="000000"/>
              </w:rPr>
            </w:pPr>
            <w:r>
              <w:rPr>
                <w:rFonts w:hint="eastAsia"/>
                <w:color w:val="000000"/>
              </w:rPr>
              <w:t>②</w:t>
            </w:r>
            <w:r>
              <w:rPr>
                <w:bCs/>
                <w:color w:val="000000"/>
              </w:rPr>
              <w:t>边角料</w:t>
            </w:r>
          </w:p>
          <w:p>
            <w:pPr>
              <w:rPr>
                <w:bCs/>
                <w:color w:val="000000"/>
                <w:lang w:val="zh-CN"/>
              </w:rPr>
            </w:pPr>
            <w:r>
              <w:rPr>
                <w:bCs/>
                <w:color w:val="000000"/>
                <w:lang w:val="zh-CN"/>
              </w:rPr>
              <w:t>项目</w:t>
            </w:r>
            <w:r>
              <w:rPr>
                <w:rFonts w:hint="eastAsia"/>
                <w:bCs/>
                <w:color w:val="000000"/>
              </w:rPr>
              <w:t>检验后</w:t>
            </w:r>
            <w:r>
              <w:rPr>
                <w:bCs/>
                <w:color w:val="000000"/>
                <w:lang w:val="zh-CN"/>
              </w:rPr>
              <w:t>产生的</w:t>
            </w:r>
            <w:r>
              <w:rPr>
                <w:rFonts w:hint="eastAsia"/>
                <w:bCs/>
                <w:color w:val="000000"/>
                <w:lang w:val="zh-CN"/>
              </w:rPr>
              <w:t>不合格品为</w:t>
            </w:r>
            <w:r>
              <w:rPr>
                <w:bCs/>
                <w:color w:val="000000"/>
                <w:lang w:val="zh-CN"/>
              </w:rPr>
              <w:t>边角料属于</w:t>
            </w:r>
            <w:r>
              <w:rPr>
                <w:rFonts w:hint="eastAsia"/>
                <w:bCs/>
                <w:color w:val="000000"/>
                <w:lang w:val="zh-CN"/>
              </w:rPr>
              <w:t>一般工业固体废物</w:t>
            </w:r>
            <w:r>
              <w:rPr>
                <w:bCs/>
                <w:color w:val="000000"/>
              </w:rPr>
              <w:t>，</w:t>
            </w:r>
            <w:r>
              <w:rPr>
                <w:rFonts w:hint="eastAsia"/>
                <w:bCs/>
                <w:color w:val="000000"/>
              </w:rPr>
              <w:t>根据业主资料提供，项目边角料产生量约为0.4</w:t>
            </w:r>
            <w:r>
              <w:rPr>
                <w:bCs/>
                <w:color w:val="000000"/>
                <w:lang w:val="zh-CN"/>
              </w:rPr>
              <w:t>t/a，</w:t>
            </w:r>
            <w:r>
              <w:rPr>
                <w:rFonts w:hint="eastAsia"/>
                <w:bCs/>
                <w:color w:val="000000"/>
              </w:rPr>
              <w:t>检验</w:t>
            </w:r>
            <w:r>
              <w:rPr>
                <w:bCs/>
                <w:color w:val="000000"/>
                <w:lang w:val="zh-CN"/>
              </w:rPr>
              <w:t>产生的</w:t>
            </w:r>
            <w:r>
              <w:rPr>
                <w:rFonts w:hint="eastAsia"/>
                <w:bCs/>
                <w:color w:val="000000"/>
                <w:lang w:val="zh-CN"/>
              </w:rPr>
              <w:t>不合格品</w:t>
            </w:r>
            <w:r>
              <w:rPr>
                <w:bCs/>
                <w:color w:val="000000"/>
                <w:lang w:val="zh-CN"/>
              </w:rPr>
              <w:t>属于</w:t>
            </w:r>
            <w:r>
              <w:rPr>
                <w:rFonts w:hint="eastAsia"/>
                <w:bCs/>
                <w:color w:val="000000"/>
                <w:lang w:val="zh-CN"/>
              </w:rPr>
              <w:t>一般工业固体废物</w:t>
            </w:r>
            <w:r>
              <w:rPr>
                <w:bCs/>
                <w:color w:val="000000"/>
                <w:lang w:val="zh-CN"/>
              </w:rPr>
              <w:t>，且回收可利用价值高，经收集后出售给</w:t>
            </w:r>
            <w:r>
              <w:rPr>
                <w:rFonts w:hint="eastAsia"/>
                <w:bCs/>
                <w:color w:val="000000"/>
              </w:rPr>
              <w:t>其他</w:t>
            </w:r>
            <w:r>
              <w:rPr>
                <w:bCs/>
                <w:color w:val="000000"/>
                <w:lang w:val="zh-CN"/>
              </w:rPr>
              <w:t>企业回收利用。</w:t>
            </w:r>
          </w:p>
          <w:p>
            <w:pPr>
              <w:rPr>
                <w:color w:val="000000"/>
              </w:rPr>
            </w:pPr>
            <w:r>
              <w:rPr>
                <w:color w:val="000000"/>
              </w:rPr>
              <w:t>本评价要求项目一般工业固废妥善分类收集后暂存于一般固废</w:t>
            </w:r>
            <w:r>
              <w:rPr>
                <w:rFonts w:hint="eastAsia"/>
              </w:rPr>
              <w:t>贮存库</w:t>
            </w:r>
            <w:r>
              <w:rPr>
                <w:color w:val="000000"/>
              </w:rPr>
              <w:t>，定期出售给回收企业综合利用，一般工业固废暂存场所应符合《一般工业固体废物贮存、处理场污染控制标准》</w:t>
            </w:r>
            <w:r>
              <w:rPr>
                <w:rFonts w:hint="eastAsia"/>
                <w:color w:val="000000"/>
              </w:rPr>
              <w:t>（</w:t>
            </w:r>
            <w:r>
              <w:rPr>
                <w:color w:val="000000"/>
              </w:rPr>
              <w:t>GB18599-2020</w:t>
            </w:r>
            <w:r>
              <w:rPr>
                <w:rFonts w:hint="eastAsia"/>
                <w:color w:val="000000"/>
              </w:rPr>
              <w:t>）</w:t>
            </w:r>
            <w:r>
              <w:rPr>
                <w:color w:val="000000"/>
              </w:rPr>
              <w:t>及修改单中固废临时贮存场所的要求，具备防渗、防雨。</w:t>
            </w:r>
          </w:p>
          <w:p>
            <w:pPr>
              <w:rPr>
                <w:color w:val="000000"/>
                <w:kern w:val="0"/>
              </w:rPr>
            </w:pPr>
            <w:r>
              <w:rPr>
                <w:rFonts w:hint="eastAsia"/>
                <w:color w:val="000000"/>
              </w:rPr>
              <w:t>（2）</w:t>
            </w:r>
            <w:r>
              <w:rPr>
                <w:color w:val="000000"/>
                <w:kern w:val="0"/>
              </w:rPr>
              <w:t>危险废物</w:t>
            </w:r>
          </w:p>
          <w:p>
            <w:pPr>
              <w:rPr>
                <w:color w:val="000000"/>
                <w:kern w:val="0"/>
              </w:rPr>
            </w:pPr>
            <w:r>
              <w:rPr>
                <w:color w:val="000000"/>
                <w:kern w:val="0"/>
              </w:rPr>
              <w:t>①</w:t>
            </w:r>
            <w:r>
              <w:rPr>
                <w:color w:val="000000"/>
              </w:rPr>
              <w:t>废活性炭</w:t>
            </w:r>
          </w:p>
          <w:p>
            <w:r>
              <w:t>本项目按1t活性炭吸附0.</w:t>
            </w:r>
            <w:r>
              <w:rPr>
                <w:rFonts w:hint="eastAsia"/>
              </w:rPr>
              <w:t>3</w:t>
            </w:r>
            <w:r>
              <w:t>t有机废气计算，本项目净化量约</w:t>
            </w:r>
            <w:r>
              <w:rPr>
                <w:rFonts w:hint="eastAsia"/>
              </w:rPr>
              <w:t>0.972</w:t>
            </w:r>
            <w:r>
              <w:t>t/a，则活性炭用量为</w:t>
            </w:r>
            <w:r>
              <w:rPr>
                <w:rFonts w:hint="eastAsia"/>
              </w:rPr>
              <w:t>3.24</w:t>
            </w:r>
            <w:r>
              <w:t>t/a，废活性炭产生量为</w:t>
            </w:r>
            <w:r>
              <w:rPr>
                <w:rFonts w:hint="eastAsia"/>
              </w:rPr>
              <w:t>4.212</w:t>
            </w:r>
            <w:r>
              <w:t>t/a，项目计划</w:t>
            </w:r>
            <w:r>
              <w:rPr>
                <w:rFonts w:hint="eastAsia"/>
              </w:rPr>
              <w:t>2个月</w:t>
            </w:r>
            <w:r>
              <w:t>更换一次活性炭吸附填料，</w:t>
            </w:r>
            <w:r>
              <w:rPr>
                <w:rFonts w:hint="eastAsia"/>
                <w:lang w:val="en-US" w:eastAsia="zh-CN"/>
              </w:rPr>
              <w:t>一次填充量0.54t，</w:t>
            </w:r>
            <w:r>
              <w:t>确保项目有机废气达标排放，根据《国家危险废物名录》</w:t>
            </w:r>
            <w:r>
              <w:rPr>
                <w:rFonts w:hint="eastAsia"/>
              </w:rPr>
              <w:t>（</w:t>
            </w:r>
            <w:r>
              <w:t>202</w:t>
            </w:r>
            <w:r>
              <w:rPr>
                <w:rFonts w:hint="eastAsia"/>
              </w:rPr>
              <w:t>5</w:t>
            </w:r>
            <w:r>
              <w:t>年版</w:t>
            </w:r>
            <w:r>
              <w:rPr>
                <w:rFonts w:hint="eastAsia"/>
              </w:rPr>
              <w:t>）</w:t>
            </w:r>
            <w:r>
              <w:t>，废活性炭吸附饱和物属于危险废物，废物类别为HW49其他废物，废物代码900-039-49</w:t>
            </w:r>
            <w:r>
              <w:rPr>
                <w:rFonts w:hint="eastAsia"/>
              </w:rPr>
              <w:t>，</w:t>
            </w:r>
            <w:r>
              <w:t>妥善收集后暂存于危废</w:t>
            </w:r>
            <w:r>
              <w:rPr>
                <w:rFonts w:hint="eastAsia"/>
              </w:rPr>
              <w:t>贮存库</w:t>
            </w:r>
            <w:r>
              <w:t>，委托有资质的单位进行处理。</w:t>
            </w:r>
          </w:p>
          <w:p>
            <w:pPr>
              <w:rPr>
                <w:bCs/>
                <w:color w:val="000000"/>
              </w:rPr>
            </w:pPr>
            <w:r>
              <w:rPr>
                <w:color w:val="000000"/>
                <w:szCs w:val="22"/>
              </w:rPr>
              <w:fldChar w:fldCharType="begin"/>
            </w:r>
            <w:r>
              <w:rPr>
                <w:color w:val="000000"/>
                <w:szCs w:val="22"/>
              </w:rPr>
              <w:instrText xml:space="preserve"> = 2 \* GB3 \* MERGEFORMAT </w:instrText>
            </w:r>
            <w:r>
              <w:rPr>
                <w:color w:val="000000"/>
                <w:szCs w:val="22"/>
              </w:rPr>
              <w:fldChar w:fldCharType="separate"/>
            </w:r>
            <w:r>
              <w:rPr>
                <w:color w:val="000000"/>
              </w:rPr>
              <w:t>②</w:t>
            </w:r>
            <w:r>
              <w:rPr>
                <w:color w:val="000000"/>
                <w:szCs w:val="22"/>
              </w:rPr>
              <w:fldChar w:fldCharType="end"/>
            </w:r>
            <w:r>
              <w:rPr>
                <w:rFonts w:hint="eastAsia"/>
                <w:bCs/>
                <w:color w:val="000000"/>
              </w:rPr>
              <w:t>设备定期更换的废矿物油</w:t>
            </w:r>
          </w:p>
          <w:p>
            <w:pPr>
              <w:rPr>
                <w:bCs/>
                <w:color w:val="000000"/>
              </w:rPr>
            </w:pPr>
            <w:r>
              <w:rPr>
                <w:rFonts w:hint="eastAsia"/>
                <w:bCs/>
                <w:color w:val="000000"/>
              </w:rPr>
              <w:t>项目生产设备需要定期对机械加工设备进行更换，预计每半年更换维护一次，会产生少量的废矿物油，根据类比分析，产生量约为 0.1t/a，根据《国家危险废物名录》（202</w:t>
            </w:r>
            <w:r>
              <w:rPr>
                <w:rFonts w:hint="eastAsia"/>
                <w:bCs/>
                <w:color w:val="000000"/>
                <w:lang w:val="en-US" w:eastAsia="zh-CN"/>
              </w:rPr>
              <w:t>5</w:t>
            </w:r>
            <w:r>
              <w:rPr>
                <w:rFonts w:hint="eastAsia"/>
                <w:bCs/>
                <w:color w:val="000000"/>
              </w:rPr>
              <w:t xml:space="preserve"> 年版），废矿物油属于危险废物，废物类别 HW08 废矿物油，废物代码：900-218-08。</w:t>
            </w:r>
          </w:p>
          <w:p>
            <w:r>
              <w:rPr>
                <w:bCs/>
                <w:color w:val="000000"/>
              </w:rPr>
              <w:t>要求项目危险废物</w:t>
            </w:r>
            <w:r>
              <w:rPr>
                <w:bCs/>
                <w:color w:val="000000"/>
                <w:lang w:val="zh-CN"/>
              </w:rPr>
              <w:t>妥善分类收集后暂存于危险废物暂存间内，定期委托有资质单位统一处置，危险废物暂存间按照</w:t>
            </w:r>
            <w:r>
              <w:t>《危险废物贮存污染控制标准》</w:t>
            </w:r>
            <w:r>
              <w:rPr>
                <w:rFonts w:hint="eastAsia"/>
              </w:rPr>
              <w:t>（</w:t>
            </w:r>
            <w:r>
              <w:t>GB18597-2023</w:t>
            </w:r>
            <w:r>
              <w:rPr>
                <w:rFonts w:hint="eastAsia"/>
              </w:rPr>
              <w:t>）</w:t>
            </w:r>
            <w:r>
              <w:rPr>
                <w:bCs/>
                <w:color w:val="000000"/>
                <w:lang w:val="zh-CN"/>
              </w:rPr>
              <w:t>要求进行建设，具备防风、防雨、防晒、防渗漏等要求。</w:t>
            </w:r>
          </w:p>
          <w:p>
            <w:pPr>
              <w:rPr>
                <w:color w:val="000000"/>
                <w:szCs w:val="28"/>
              </w:rPr>
            </w:pPr>
            <w:r>
              <w:rPr>
                <w:rFonts w:hint="eastAsia"/>
                <w:color w:val="000000"/>
              </w:rPr>
              <w:t>（3）</w:t>
            </w:r>
            <w:r>
              <w:rPr>
                <w:color w:val="000000"/>
              </w:rPr>
              <w:t>生活垃圾</w:t>
            </w:r>
          </w:p>
          <w:p>
            <w:pPr>
              <w:pStyle w:val="92"/>
              <w:widowControl w:val="0"/>
              <w:ind w:firstLine="480"/>
              <w:rPr>
                <w:color w:val="000000"/>
                <w:szCs w:val="24"/>
              </w:rPr>
            </w:pPr>
            <w:r>
              <w:rPr>
                <w:color w:val="000000"/>
                <w:szCs w:val="24"/>
              </w:rPr>
              <w:t>按G=K·N计算</w:t>
            </w:r>
          </w:p>
          <w:p>
            <w:pPr>
              <w:pStyle w:val="92"/>
              <w:widowControl w:val="0"/>
              <w:ind w:firstLine="480"/>
              <w:rPr>
                <w:color w:val="000000"/>
                <w:szCs w:val="24"/>
              </w:rPr>
            </w:pPr>
            <w:r>
              <w:rPr>
                <w:color w:val="000000"/>
                <w:szCs w:val="24"/>
              </w:rPr>
              <w:t>式中：G——生活垃圾产量</w:t>
            </w:r>
            <w:r>
              <w:rPr>
                <w:rFonts w:hint="eastAsia"/>
                <w:color w:val="000000"/>
                <w:szCs w:val="24"/>
              </w:rPr>
              <w:t>（</w:t>
            </w:r>
            <w:r>
              <w:rPr>
                <w:color w:val="000000"/>
                <w:szCs w:val="24"/>
              </w:rPr>
              <w:t>kg/d</w:t>
            </w:r>
            <w:r>
              <w:rPr>
                <w:rFonts w:hint="eastAsia"/>
                <w:color w:val="000000"/>
                <w:szCs w:val="24"/>
              </w:rPr>
              <w:t>）</w:t>
            </w:r>
            <w:r>
              <w:rPr>
                <w:color w:val="000000"/>
                <w:szCs w:val="24"/>
              </w:rPr>
              <w:t>；</w:t>
            </w:r>
          </w:p>
          <w:p>
            <w:pPr>
              <w:pStyle w:val="92"/>
              <w:widowControl w:val="0"/>
              <w:ind w:firstLine="1200" w:firstLineChars="500"/>
              <w:rPr>
                <w:color w:val="000000"/>
                <w:szCs w:val="24"/>
              </w:rPr>
            </w:pPr>
            <w:r>
              <w:rPr>
                <w:color w:val="000000"/>
                <w:szCs w:val="24"/>
              </w:rPr>
              <w:t>K——人均排放系数</w:t>
            </w:r>
            <w:r>
              <w:rPr>
                <w:rFonts w:hint="eastAsia"/>
                <w:color w:val="000000"/>
                <w:szCs w:val="24"/>
              </w:rPr>
              <w:t>（</w:t>
            </w:r>
            <w:r>
              <w:rPr>
                <w:color w:val="000000"/>
                <w:szCs w:val="24"/>
              </w:rPr>
              <w:t>kg/人·d</w:t>
            </w:r>
            <w:r>
              <w:rPr>
                <w:rFonts w:hint="eastAsia"/>
                <w:color w:val="000000"/>
                <w:szCs w:val="24"/>
              </w:rPr>
              <w:t>）</w:t>
            </w:r>
            <w:r>
              <w:rPr>
                <w:color w:val="000000"/>
                <w:szCs w:val="24"/>
              </w:rPr>
              <w:t>，住宿员工按0.8kg/人·d计，不住宿员工0.5kg/人·d；</w:t>
            </w:r>
          </w:p>
          <w:p>
            <w:pPr>
              <w:pStyle w:val="92"/>
              <w:widowControl w:val="0"/>
              <w:ind w:firstLine="1200" w:firstLineChars="500"/>
              <w:rPr>
                <w:color w:val="000000"/>
                <w:szCs w:val="24"/>
              </w:rPr>
            </w:pPr>
            <w:r>
              <w:rPr>
                <w:color w:val="000000"/>
                <w:szCs w:val="24"/>
              </w:rPr>
              <w:t>N——人口数</w:t>
            </w:r>
            <w:r>
              <w:rPr>
                <w:rFonts w:hint="eastAsia"/>
                <w:color w:val="000000"/>
                <w:szCs w:val="24"/>
              </w:rPr>
              <w:t>（</w:t>
            </w:r>
            <w:r>
              <w:rPr>
                <w:color w:val="000000"/>
                <w:szCs w:val="24"/>
              </w:rPr>
              <w:t>人</w:t>
            </w:r>
            <w:r>
              <w:rPr>
                <w:rFonts w:hint="eastAsia"/>
                <w:color w:val="000000"/>
                <w:szCs w:val="24"/>
              </w:rPr>
              <w:t>）</w:t>
            </w:r>
            <w:r>
              <w:rPr>
                <w:color w:val="000000"/>
                <w:szCs w:val="24"/>
              </w:rPr>
              <w:t>。</w:t>
            </w:r>
          </w:p>
          <w:p>
            <w:pPr>
              <w:rPr>
                <w:color w:val="000000"/>
                <w:kern w:val="0"/>
              </w:rPr>
            </w:pPr>
            <w:r>
              <w:rPr>
                <w:color w:val="000000"/>
              </w:rPr>
              <w:t>本项目职工定员</w:t>
            </w:r>
            <w:r>
              <w:rPr>
                <w:rFonts w:hint="eastAsia"/>
                <w:color w:val="000000"/>
              </w:rPr>
              <w:t>15</w:t>
            </w:r>
            <w:r>
              <w:rPr>
                <w:color w:val="000000"/>
              </w:rPr>
              <w:t>人，均不住厂，</w:t>
            </w:r>
            <w:r>
              <w:rPr>
                <w:rFonts w:hint="eastAsia"/>
                <w:color w:val="000000"/>
              </w:rPr>
              <w:t>年工作300</w:t>
            </w:r>
            <w:r>
              <w:rPr>
                <w:color w:val="000000"/>
              </w:rPr>
              <w:t>天，生活垃圾产生量为</w:t>
            </w:r>
            <w:r>
              <w:rPr>
                <w:rFonts w:hint="eastAsia"/>
                <w:color w:val="000000"/>
              </w:rPr>
              <w:t>0.0075t/d（2.25</w:t>
            </w:r>
            <w:r>
              <w:rPr>
                <w:color w:val="000000"/>
              </w:rPr>
              <w:t>t/a</w:t>
            </w:r>
            <w:r>
              <w:rPr>
                <w:rFonts w:hint="eastAsia"/>
                <w:color w:val="000000"/>
              </w:rPr>
              <w:t>）</w:t>
            </w:r>
            <w:r>
              <w:rPr>
                <w:color w:val="000000"/>
              </w:rPr>
              <w:t>。产生的生活垃圾定点收集后委托当地环卫部门统一清运</w:t>
            </w:r>
            <w:r>
              <w:rPr>
                <w:color w:val="000000"/>
                <w:kern w:val="0"/>
              </w:rPr>
              <w:t>处置。</w:t>
            </w:r>
          </w:p>
          <w:p>
            <w:pPr>
              <w:pStyle w:val="96"/>
            </w:pPr>
            <w:r>
              <w:rPr>
                <w:lang w:val="zh-CN"/>
              </w:rPr>
              <w:t>表</w:t>
            </w:r>
            <w:r>
              <w:rPr>
                <w:rFonts w:hint="eastAsia"/>
              </w:rPr>
              <w:t>4.4-1</w:t>
            </w:r>
            <w:r>
              <w:t xml:space="preserve">  项目固废产生及处置情况汇总表</w:t>
            </w:r>
          </w:p>
          <w:tbl>
            <w:tblPr>
              <w:tblStyle w:val="36"/>
              <w:tblW w:w="4998" w:type="pct"/>
              <w:tblInd w:w="0" w:type="dxa"/>
              <w:tblLayout w:type="autofit"/>
              <w:tblCellMar>
                <w:top w:w="0" w:type="dxa"/>
                <w:left w:w="108" w:type="dxa"/>
                <w:bottom w:w="0" w:type="dxa"/>
                <w:right w:w="108" w:type="dxa"/>
              </w:tblCellMar>
            </w:tblPr>
            <w:tblGrid>
              <w:gridCol w:w="426"/>
              <w:gridCol w:w="686"/>
              <w:gridCol w:w="1818"/>
              <w:gridCol w:w="1899"/>
              <w:gridCol w:w="870"/>
              <w:gridCol w:w="1114"/>
              <w:gridCol w:w="1517"/>
            </w:tblGrid>
            <w:tr>
              <w:tblPrEx>
                <w:tblCellMar>
                  <w:top w:w="0" w:type="dxa"/>
                  <w:left w:w="108" w:type="dxa"/>
                  <w:bottom w:w="0" w:type="dxa"/>
                  <w:right w:w="108" w:type="dxa"/>
                </w:tblCellMar>
              </w:tblPrEx>
              <w:trPr>
                <w:trHeight w:val="540" w:hRule="atLeast"/>
              </w:trPr>
              <w:tc>
                <w:tcPr>
                  <w:tcW w:w="255" w:type="pct"/>
                  <w:tcBorders>
                    <w:top w:val="single" w:color="000000" w:sz="12" w:space="0"/>
                    <w:left w:val="nil"/>
                    <w:bottom w:val="single" w:color="000000" w:sz="8" w:space="0"/>
                    <w:right w:val="single" w:color="000000" w:sz="8" w:space="0"/>
                  </w:tcBorders>
                  <w:shd w:val="clear" w:color="auto" w:fill="auto"/>
                  <w:vAlign w:val="center"/>
                </w:tcPr>
                <w:p>
                  <w:pPr>
                    <w:pStyle w:val="53"/>
                  </w:pPr>
                  <w:r>
                    <w:rPr>
                      <w:rFonts w:hint="eastAsia"/>
                    </w:rPr>
                    <w:t>序号</w:t>
                  </w:r>
                </w:p>
              </w:tc>
              <w:tc>
                <w:tcPr>
                  <w:tcW w:w="412" w:type="pct"/>
                  <w:tcBorders>
                    <w:top w:val="single" w:color="000000" w:sz="12" w:space="0"/>
                    <w:left w:val="single" w:color="000000" w:sz="8" w:space="0"/>
                    <w:bottom w:val="single" w:color="000000" w:sz="8" w:space="0"/>
                    <w:right w:val="single" w:color="000000" w:sz="8" w:space="0"/>
                  </w:tcBorders>
                  <w:shd w:val="clear" w:color="auto" w:fill="auto"/>
                  <w:vAlign w:val="center"/>
                </w:tcPr>
                <w:p>
                  <w:pPr>
                    <w:pStyle w:val="53"/>
                  </w:pPr>
                  <w:r>
                    <w:rPr>
                      <w:rFonts w:hint="eastAsia"/>
                    </w:rPr>
                    <w:t>分类</w:t>
                  </w:r>
                </w:p>
              </w:tc>
              <w:tc>
                <w:tcPr>
                  <w:tcW w:w="1091" w:type="pct"/>
                  <w:tcBorders>
                    <w:top w:val="single" w:color="000000" w:sz="12" w:space="0"/>
                    <w:left w:val="single" w:color="000000" w:sz="8" w:space="0"/>
                    <w:bottom w:val="single" w:color="000000" w:sz="8" w:space="0"/>
                    <w:right w:val="single" w:color="000000" w:sz="8" w:space="0"/>
                  </w:tcBorders>
                  <w:shd w:val="clear" w:color="auto" w:fill="auto"/>
                  <w:vAlign w:val="center"/>
                </w:tcPr>
                <w:p>
                  <w:pPr>
                    <w:pStyle w:val="53"/>
                  </w:pPr>
                  <w:r>
                    <w:rPr>
                      <w:rFonts w:hint="eastAsia"/>
                    </w:rPr>
                    <w:t>固废名称</w:t>
                  </w:r>
                </w:p>
              </w:tc>
              <w:tc>
                <w:tcPr>
                  <w:tcW w:w="1139" w:type="pct"/>
                  <w:tcBorders>
                    <w:top w:val="single" w:color="000000" w:sz="12" w:space="0"/>
                    <w:left w:val="single" w:color="000000" w:sz="8" w:space="0"/>
                    <w:bottom w:val="single" w:color="000000" w:sz="8" w:space="0"/>
                    <w:right w:val="single" w:color="000000" w:sz="8" w:space="0"/>
                  </w:tcBorders>
                  <w:shd w:val="clear" w:color="auto" w:fill="auto"/>
                  <w:vAlign w:val="center"/>
                </w:tcPr>
                <w:p>
                  <w:pPr>
                    <w:pStyle w:val="53"/>
                  </w:pPr>
                  <w:r>
                    <w:rPr>
                      <w:rFonts w:hint="eastAsia"/>
                    </w:rPr>
                    <w:t>产生环节</w:t>
                  </w:r>
                </w:p>
              </w:tc>
              <w:tc>
                <w:tcPr>
                  <w:tcW w:w="522" w:type="pct"/>
                  <w:tcBorders>
                    <w:top w:val="single" w:color="000000" w:sz="12" w:space="0"/>
                    <w:left w:val="single" w:color="000000" w:sz="8" w:space="0"/>
                    <w:bottom w:val="single" w:color="000000" w:sz="8" w:space="0"/>
                    <w:right w:val="single" w:color="000000" w:sz="8" w:space="0"/>
                  </w:tcBorders>
                  <w:shd w:val="clear" w:color="auto" w:fill="auto"/>
                  <w:vAlign w:val="center"/>
                </w:tcPr>
                <w:p>
                  <w:pPr>
                    <w:pStyle w:val="53"/>
                  </w:pPr>
                  <w:r>
                    <w:rPr>
                      <w:rFonts w:hint="eastAsia"/>
                    </w:rPr>
                    <w:t>类别</w:t>
                  </w:r>
                </w:p>
              </w:tc>
              <w:tc>
                <w:tcPr>
                  <w:tcW w:w="668" w:type="pct"/>
                  <w:tcBorders>
                    <w:top w:val="single" w:color="000000" w:sz="12" w:space="0"/>
                    <w:left w:val="single" w:color="000000" w:sz="8" w:space="0"/>
                    <w:bottom w:val="single" w:color="000000" w:sz="8" w:space="0"/>
                    <w:right w:val="single" w:color="000000" w:sz="8" w:space="0"/>
                  </w:tcBorders>
                  <w:shd w:val="clear" w:color="auto" w:fill="auto"/>
                  <w:vAlign w:val="center"/>
                </w:tcPr>
                <w:p>
                  <w:pPr>
                    <w:pStyle w:val="53"/>
                  </w:pPr>
                  <w:r>
                    <w:rPr>
                      <w:rFonts w:hint="eastAsia"/>
                    </w:rPr>
                    <w:t>产生量</w:t>
                  </w:r>
                  <w:r>
                    <w:t>t/a</w:t>
                  </w:r>
                </w:p>
              </w:tc>
              <w:tc>
                <w:tcPr>
                  <w:tcW w:w="910" w:type="pct"/>
                  <w:tcBorders>
                    <w:top w:val="single" w:color="000000" w:sz="12" w:space="0"/>
                    <w:left w:val="single" w:color="000000" w:sz="8" w:space="0"/>
                    <w:bottom w:val="single" w:color="000000" w:sz="8" w:space="0"/>
                    <w:right w:val="nil"/>
                  </w:tcBorders>
                  <w:shd w:val="clear" w:color="auto" w:fill="auto"/>
                  <w:vAlign w:val="center"/>
                </w:tcPr>
                <w:p>
                  <w:pPr>
                    <w:pStyle w:val="53"/>
                  </w:pPr>
                  <w:r>
                    <w:rPr>
                      <w:rFonts w:hint="eastAsia"/>
                    </w:rPr>
                    <w:t>处置方式</w:t>
                  </w:r>
                </w:p>
              </w:tc>
            </w:tr>
            <w:tr>
              <w:tblPrEx>
                <w:tblCellMar>
                  <w:top w:w="0" w:type="dxa"/>
                  <w:left w:w="108" w:type="dxa"/>
                  <w:bottom w:w="0" w:type="dxa"/>
                  <w:right w:w="108" w:type="dxa"/>
                </w:tblCellMar>
              </w:tblPrEx>
              <w:trPr>
                <w:trHeight w:val="298" w:hRule="atLeast"/>
              </w:trPr>
              <w:tc>
                <w:tcPr>
                  <w:tcW w:w="255" w:type="pct"/>
                  <w:vMerge w:val="restart"/>
                  <w:tcBorders>
                    <w:top w:val="single" w:color="000000" w:sz="8" w:space="0"/>
                    <w:left w:val="nil"/>
                    <w:bottom w:val="single" w:color="000000" w:sz="8" w:space="0"/>
                    <w:right w:val="single" w:color="000000" w:sz="8" w:space="0"/>
                  </w:tcBorders>
                  <w:shd w:val="clear" w:color="auto" w:fill="auto"/>
                  <w:vAlign w:val="center"/>
                </w:tcPr>
                <w:p>
                  <w:pPr>
                    <w:pStyle w:val="53"/>
                  </w:pPr>
                  <w:r>
                    <w:t>1</w:t>
                  </w:r>
                </w:p>
              </w:tc>
              <w:tc>
                <w:tcPr>
                  <w:tcW w:w="41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rPr>
                      <w:rFonts w:hint="eastAsia"/>
                    </w:rPr>
                    <w:t>一般工业固废</w:t>
                  </w:r>
                </w:p>
              </w:tc>
              <w:tc>
                <w:tcPr>
                  <w:tcW w:w="1091"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rPr>
                      <w:rFonts w:hint="eastAsia"/>
                    </w:rPr>
                    <w:t>废包装物（包装纸箱、包装袋等）</w:t>
                  </w:r>
                </w:p>
              </w:tc>
              <w:tc>
                <w:tcPr>
                  <w:tcW w:w="1139"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rPr>
                      <w:rFonts w:hint="eastAsia"/>
                    </w:rPr>
                    <w:t>注塑、包装</w:t>
                  </w:r>
                </w:p>
              </w:tc>
              <w:tc>
                <w:tcPr>
                  <w:tcW w:w="522"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t>/</w:t>
                  </w:r>
                </w:p>
              </w:tc>
              <w:tc>
                <w:tcPr>
                  <w:tcW w:w="66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t>0.5</w:t>
                  </w:r>
                </w:p>
              </w:tc>
              <w:tc>
                <w:tcPr>
                  <w:tcW w:w="910" w:type="pct"/>
                  <w:vMerge w:val="restart"/>
                  <w:tcBorders>
                    <w:top w:val="single" w:color="000000" w:sz="8" w:space="0"/>
                    <w:left w:val="single" w:color="000000" w:sz="8" w:space="0"/>
                    <w:bottom w:val="single" w:color="000000" w:sz="8" w:space="0"/>
                    <w:right w:val="nil"/>
                  </w:tcBorders>
                  <w:shd w:val="clear" w:color="auto" w:fill="auto"/>
                  <w:vAlign w:val="center"/>
                </w:tcPr>
                <w:p>
                  <w:pPr>
                    <w:pStyle w:val="53"/>
                  </w:pPr>
                  <w:r>
                    <w:rPr>
                      <w:rFonts w:hint="eastAsia"/>
                    </w:rPr>
                    <w:t>统一收集后外售综合利用</w:t>
                  </w:r>
                </w:p>
              </w:tc>
            </w:tr>
            <w:tr>
              <w:tblPrEx>
                <w:tblCellMar>
                  <w:top w:w="0" w:type="dxa"/>
                  <w:left w:w="108" w:type="dxa"/>
                  <w:bottom w:w="0" w:type="dxa"/>
                  <w:right w:w="108" w:type="dxa"/>
                </w:tblCellMar>
              </w:tblPrEx>
              <w:trPr>
                <w:trHeight w:val="300" w:hRule="atLeast"/>
              </w:trPr>
              <w:tc>
                <w:tcPr>
                  <w:tcW w:w="255" w:type="pct"/>
                  <w:vMerge w:val="continue"/>
                  <w:tcBorders>
                    <w:top w:val="single" w:color="000000" w:sz="8" w:space="0"/>
                    <w:left w:val="nil"/>
                    <w:bottom w:val="single" w:color="000000" w:sz="8" w:space="0"/>
                    <w:right w:val="single" w:color="000000" w:sz="8" w:space="0"/>
                  </w:tcBorders>
                  <w:shd w:val="clear" w:color="auto" w:fill="auto"/>
                  <w:vAlign w:val="center"/>
                </w:tcPr>
                <w:p>
                  <w:pPr>
                    <w:pStyle w:val="53"/>
                  </w:pPr>
                </w:p>
              </w:tc>
              <w:tc>
                <w:tcPr>
                  <w:tcW w:w="412"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53"/>
                  </w:pPr>
                </w:p>
              </w:tc>
              <w:tc>
                <w:tcPr>
                  <w:tcW w:w="1091" w:type="pct"/>
                  <w:tcBorders>
                    <w:top w:val="nil"/>
                    <w:left w:val="single" w:color="000000" w:sz="8" w:space="0"/>
                    <w:bottom w:val="single" w:color="000000" w:sz="8" w:space="0"/>
                    <w:right w:val="single" w:color="000000" w:sz="8" w:space="0"/>
                  </w:tcBorders>
                  <w:shd w:val="clear" w:color="auto" w:fill="auto"/>
                  <w:vAlign w:val="center"/>
                </w:tcPr>
                <w:p>
                  <w:pPr>
                    <w:pStyle w:val="53"/>
                  </w:pPr>
                  <w:r>
                    <w:rPr>
                      <w:rFonts w:hint="eastAsia"/>
                    </w:rPr>
                    <w:t>边角料</w:t>
                  </w:r>
                </w:p>
              </w:tc>
              <w:tc>
                <w:tcPr>
                  <w:tcW w:w="1139"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rPr>
                      <w:rFonts w:hint="eastAsia"/>
                    </w:rPr>
                    <w:t>质检</w:t>
                  </w:r>
                </w:p>
              </w:tc>
              <w:tc>
                <w:tcPr>
                  <w:tcW w:w="522"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t>/</w:t>
                  </w:r>
                </w:p>
              </w:tc>
              <w:tc>
                <w:tcPr>
                  <w:tcW w:w="668" w:type="pct"/>
                  <w:tcBorders>
                    <w:top w:val="nil"/>
                    <w:left w:val="single" w:color="000000" w:sz="8" w:space="0"/>
                    <w:bottom w:val="single" w:color="000000" w:sz="8" w:space="0"/>
                    <w:right w:val="single" w:color="000000" w:sz="8" w:space="0"/>
                  </w:tcBorders>
                  <w:shd w:val="clear" w:color="auto" w:fill="auto"/>
                  <w:vAlign w:val="center"/>
                </w:tcPr>
                <w:p>
                  <w:pPr>
                    <w:pStyle w:val="53"/>
                  </w:pPr>
                  <w:r>
                    <w:rPr>
                      <w:rFonts w:hint="eastAsia"/>
                    </w:rPr>
                    <w:t>0.4</w:t>
                  </w:r>
                </w:p>
              </w:tc>
              <w:tc>
                <w:tcPr>
                  <w:tcW w:w="910" w:type="pct"/>
                  <w:vMerge w:val="continue"/>
                  <w:tcBorders>
                    <w:top w:val="single" w:color="000000" w:sz="8" w:space="0"/>
                    <w:left w:val="single" w:color="000000" w:sz="8" w:space="0"/>
                    <w:bottom w:val="single" w:color="000000" w:sz="8" w:space="0"/>
                    <w:right w:val="nil"/>
                  </w:tcBorders>
                  <w:shd w:val="clear" w:color="auto" w:fill="auto"/>
                  <w:vAlign w:val="center"/>
                </w:tcPr>
                <w:p>
                  <w:pPr>
                    <w:pStyle w:val="53"/>
                  </w:pPr>
                </w:p>
              </w:tc>
            </w:tr>
            <w:tr>
              <w:tblPrEx>
                <w:tblCellMar>
                  <w:top w:w="0" w:type="dxa"/>
                  <w:left w:w="108" w:type="dxa"/>
                  <w:bottom w:w="0" w:type="dxa"/>
                  <w:right w:w="108" w:type="dxa"/>
                </w:tblCellMar>
              </w:tblPrEx>
              <w:trPr>
                <w:trHeight w:val="300" w:hRule="atLeast"/>
              </w:trPr>
              <w:tc>
                <w:tcPr>
                  <w:tcW w:w="255" w:type="pct"/>
                  <w:vMerge w:val="restart"/>
                  <w:tcBorders>
                    <w:top w:val="single" w:color="000000" w:sz="8" w:space="0"/>
                    <w:left w:val="nil"/>
                    <w:bottom w:val="single" w:color="auto" w:sz="4" w:space="0"/>
                    <w:right w:val="single" w:color="auto" w:sz="4" w:space="0"/>
                  </w:tcBorders>
                  <w:shd w:val="clear" w:color="auto" w:fill="auto"/>
                  <w:vAlign w:val="center"/>
                </w:tcPr>
                <w:p>
                  <w:pPr>
                    <w:pStyle w:val="53"/>
                  </w:pPr>
                  <w:r>
                    <w:t>2</w:t>
                  </w:r>
                </w:p>
              </w:tc>
              <w:tc>
                <w:tcPr>
                  <w:tcW w:w="4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3"/>
                  </w:pPr>
                  <w:r>
                    <w:rPr>
                      <w:rFonts w:hint="eastAsia"/>
                    </w:rPr>
                    <w:t>危险废物</w:t>
                  </w:r>
                </w:p>
              </w:tc>
              <w:tc>
                <w:tcPr>
                  <w:tcW w:w="1091" w:type="pct"/>
                  <w:tcBorders>
                    <w:top w:val="single" w:color="000000" w:sz="8" w:space="0"/>
                    <w:left w:val="single" w:color="auto" w:sz="4" w:space="0"/>
                    <w:bottom w:val="single" w:color="000000" w:sz="8" w:space="0"/>
                    <w:right w:val="single" w:color="000000" w:sz="8" w:space="0"/>
                  </w:tcBorders>
                  <w:shd w:val="clear" w:color="auto" w:fill="auto"/>
                  <w:vAlign w:val="center"/>
                </w:tcPr>
                <w:p>
                  <w:pPr>
                    <w:pStyle w:val="53"/>
                  </w:pPr>
                  <w:r>
                    <w:rPr>
                      <w:rFonts w:hint="eastAsia"/>
                    </w:rPr>
                    <w:t>废活性炭</w:t>
                  </w:r>
                </w:p>
              </w:tc>
              <w:tc>
                <w:tcPr>
                  <w:tcW w:w="1139"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rPr>
                      <w:rFonts w:hint="eastAsia"/>
                    </w:rPr>
                    <w:t>废气处理</w:t>
                  </w:r>
                </w:p>
              </w:tc>
              <w:tc>
                <w:tcPr>
                  <w:tcW w:w="522"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t>HW49</w:t>
                  </w:r>
                </w:p>
              </w:tc>
              <w:tc>
                <w:tcPr>
                  <w:tcW w:w="668" w:type="pct"/>
                  <w:tcBorders>
                    <w:top w:val="nil"/>
                    <w:left w:val="single" w:color="000000" w:sz="8" w:space="0"/>
                    <w:bottom w:val="single" w:color="000000" w:sz="8" w:space="0"/>
                    <w:right w:val="single" w:color="000000" w:sz="8" w:space="0"/>
                  </w:tcBorders>
                  <w:shd w:val="clear" w:color="auto" w:fill="auto"/>
                  <w:vAlign w:val="center"/>
                </w:tcPr>
                <w:p>
                  <w:pPr>
                    <w:pStyle w:val="53"/>
                  </w:pPr>
                  <w:r>
                    <w:rPr>
                      <w:rFonts w:hint="eastAsia"/>
                    </w:rPr>
                    <w:t>0.973</w:t>
                  </w:r>
                </w:p>
              </w:tc>
              <w:tc>
                <w:tcPr>
                  <w:tcW w:w="910" w:type="pct"/>
                  <w:vMerge w:val="restart"/>
                  <w:tcBorders>
                    <w:top w:val="single" w:color="000000" w:sz="8" w:space="0"/>
                    <w:left w:val="single" w:color="000000" w:sz="8" w:space="0"/>
                    <w:bottom w:val="nil"/>
                    <w:right w:val="nil"/>
                  </w:tcBorders>
                  <w:shd w:val="clear" w:color="auto" w:fill="auto"/>
                  <w:vAlign w:val="center"/>
                </w:tcPr>
                <w:p>
                  <w:pPr>
                    <w:pStyle w:val="53"/>
                  </w:pPr>
                  <w:r>
                    <w:rPr>
                      <w:rFonts w:hint="eastAsia"/>
                    </w:rPr>
                    <w:t>暂存于危废贮存库内，定期委托有资质的单位处置</w:t>
                  </w:r>
                </w:p>
              </w:tc>
            </w:tr>
            <w:tr>
              <w:tblPrEx>
                <w:tblCellMar>
                  <w:top w:w="0" w:type="dxa"/>
                  <w:left w:w="108" w:type="dxa"/>
                  <w:bottom w:w="0" w:type="dxa"/>
                  <w:right w:w="108" w:type="dxa"/>
                </w:tblCellMar>
              </w:tblPrEx>
              <w:trPr>
                <w:trHeight w:val="300" w:hRule="atLeast"/>
              </w:trPr>
              <w:tc>
                <w:tcPr>
                  <w:tcW w:w="255" w:type="pct"/>
                  <w:vMerge w:val="continue"/>
                  <w:tcBorders>
                    <w:top w:val="single" w:color="auto" w:sz="4" w:space="0"/>
                    <w:left w:val="nil"/>
                    <w:bottom w:val="single" w:color="auto" w:sz="4" w:space="0"/>
                    <w:right w:val="single" w:color="000000" w:sz="8" w:space="0"/>
                  </w:tcBorders>
                  <w:shd w:val="clear" w:color="auto" w:fill="auto"/>
                  <w:vAlign w:val="center"/>
                </w:tcPr>
                <w:p>
                  <w:pPr>
                    <w:pStyle w:val="53"/>
                  </w:pPr>
                </w:p>
              </w:tc>
              <w:tc>
                <w:tcPr>
                  <w:tcW w:w="412" w:type="pct"/>
                  <w:vMerge w:val="continue"/>
                  <w:tcBorders>
                    <w:top w:val="single" w:color="auto" w:sz="4" w:space="0"/>
                    <w:left w:val="single" w:color="000000" w:sz="8" w:space="0"/>
                    <w:bottom w:val="single" w:color="auto" w:sz="4" w:space="0"/>
                    <w:right w:val="single" w:color="auto" w:sz="4" w:space="0"/>
                  </w:tcBorders>
                  <w:shd w:val="clear" w:color="auto" w:fill="auto"/>
                  <w:vAlign w:val="center"/>
                </w:tcPr>
                <w:p>
                  <w:pPr>
                    <w:pStyle w:val="53"/>
                  </w:pPr>
                </w:p>
              </w:tc>
              <w:tc>
                <w:tcPr>
                  <w:tcW w:w="1091" w:type="pct"/>
                  <w:tcBorders>
                    <w:top w:val="single" w:color="000000" w:sz="8" w:space="0"/>
                    <w:left w:val="single" w:color="auto" w:sz="4" w:space="0"/>
                    <w:bottom w:val="single" w:color="000000" w:sz="8" w:space="0"/>
                    <w:right w:val="single" w:color="000000" w:sz="8" w:space="0"/>
                  </w:tcBorders>
                  <w:shd w:val="clear" w:color="auto" w:fill="auto"/>
                  <w:vAlign w:val="center"/>
                </w:tcPr>
                <w:p>
                  <w:pPr>
                    <w:pStyle w:val="53"/>
                  </w:pPr>
                  <w:r>
                    <w:rPr>
                      <w:rFonts w:hint="eastAsia"/>
                    </w:rPr>
                    <w:t>废矿物油</w:t>
                  </w:r>
                </w:p>
              </w:tc>
              <w:tc>
                <w:tcPr>
                  <w:tcW w:w="1139"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rPr>
                      <w:rFonts w:hint="eastAsia"/>
                    </w:rPr>
                    <w:t>设备维护</w:t>
                  </w:r>
                </w:p>
              </w:tc>
              <w:tc>
                <w:tcPr>
                  <w:tcW w:w="522"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3"/>
                  </w:pPr>
                  <w:r>
                    <w:t>HW08</w:t>
                  </w:r>
                </w:p>
              </w:tc>
              <w:tc>
                <w:tcPr>
                  <w:tcW w:w="668" w:type="pct"/>
                  <w:tcBorders>
                    <w:top w:val="nil"/>
                    <w:left w:val="single" w:color="000000" w:sz="8" w:space="0"/>
                    <w:bottom w:val="single" w:color="000000" w:sz="8" w:space="0"/>
                    <w:right w:val="single" w:color="000000" w:sz="8" w:space="0"/>
                  </w:tcBorders>
                  <w:shd w:val="clear" w:color="auto" w:fill="auto"/>
                  <w:vAlign w:val="center"/>
                </w:tcPr>
                <w:p>
                  <w:pPr>
                    <w:pStyle w:val="53"/>
                  </w:pPr>
                  <w:r>
                    <w:t>0.1</w:t>
                  </w:r>
                </w:p>
              </w:tc>
              <w:tc>
                <w:tcPr>
                  <w:tcW w:w="910" w:type="pct"/>
                  <w:vMerge w:val="continue"/>
                  <w:tcBorders>
                    <w:top w:val="single" w:color="000000" w:sz="8" w:space="0"/>
                    <w:left w:val="single" w:color="000000" w:sz="8" w:space="0"/>
                    <w:bottom w:val="nil"/>
                    <w:right w:val="nil"/>
                  </w:tcBorders>
                  <w:shd w:val="clear" w:color="auto" w:fill="auto"/>
                  <w:vAlign w:val="center"/>
                </w:tcPr>
                <w:p>
                  <w:pPr>
                    <w:pStyle w:val="53"/>
                  </w:pPr>
                </w:p>
              </w:tc>
            </w:tr>
            <w:tr>
              <w:trPr>
                <w:trHeight w:val="780" w:hRule="atLeast"/>
              </w:trPr>
              <w:tc>
                <w:tcPr>
                  <w:tcW w:w="255" w:type="pct"/>
                  <w:tcBorders>
                    <w:top w:val="single" w:color="auto" w:sz="4" w:space="0"/>
                    <w:left w:val="nil"/>
                    <w:bottom w:val="single" w:color="000000" w:sz="12" w:space="0"/>
                    <w:right w:val="single" w:color="000000" w:sz="8" w:space="0"/>
                  </w:tcBorders>
                  <w:shd w:val="clear" w:color="auto" w:fill="auto"/>
                  <w:vAlign w:val="center"/>
                </w:tcPr>
                <w:p>
                  <w:pPr>
                    <w:pStyle w:val="53"/>
                  </w:pPr>
                  <w:r>
                    <w:t>3</w:t>
                  </w:r>
                </w:p>
              </w:tc>
              <w:tc>
                <w:tcPr>
                  <w:tcW w:w="1503" w:type="pct"/>
                  <w:gridSpan w:val="2"/>
                  <w:tcBorders>
                    <w:top w:val="single" w:color="000000" w:sz="8" w:space="0"/>
                    <w:left w:val="single" w:color="000000" w:sz="8" w:space="0"/>
                    <w:bottom w:val="single" w:color="000000" w:sz="12" w:space="0"/>
                    <w:right w:val="single" w:color="000000" w:sz="8" w:space="0"/>
                  </w:tcBorders>
                  <w:shd w:val="clear" w:color="auto" w:fill="auto"/>
                  <w:vAlign w:val="center"/>
                </w:tcPr>
                <w:p>
                  <w:pPr>
                    <w:pStyle w:val="53"/>
                  </w:pPr>
                  <w:r>
                    <w:rPr>
                      <w:rFonts w:hint="eastAsia"/>
                    </w:rPr>
                    <w:t>生活垃圾</w:t>
                  </w:r>
                </w:p>
              </w:tc>
              <w:tc>
                <w:tcPr>
                  <w:tcW w:w="1139" w:type="pct"/>
                  <w:tcBorders>
                    <w:top w:val="single" w:color="000000" w:sz="8" w:space="0"/>
                    <w:left w:val="single" w:color="000000" w:sz="8" w:space="0"/>
                    <w:bottom w:val="single" w:color="000000" w:sz="12" w:space="0"/>
                    <w:right w:val="single" w:color="000000" w:sz="8" w:space="0"/>
                  </w:tcBorders>
                  <w:shd w:val="clear" w:color="auto" w:fill="auto"/>
                  <w:vAlign w:val="center"/>
                </w:tcPr>
                <w:p>
                  <w:pPr>
                    <w:pStyle w:val="53"/>
                  </w:pPr>
                  <w:r>
                    <w:rPr>
                      <w:rFonts w:hint="eastAsia"/>
                    </w:rPr>
                    <w:t>办公、生活等</w:t>
                  </w:r>
                </w:p>
              </w:tc>
              <w:tc>
                <w:tcPr>
                  <w:tcW w:w="522" w:type="pct"/>
                  <w:tcBorders>
                    <w:top w:val="single" w:color="000000" w:sz="8" w:space="0"/>
                    <w:left w:val="single" w:color="000000" w:sz="8" w:space="0"/>
                    <w:bottom w:val="single" w:color="000000" w:sz="12" w:space="0"/>
                    <w:right w:val="single" w:color="000000" w:sz="8" w:space="0"/>
                  </w:tcBorders>
                  <w:shd w:val="clear" w:color="auto" w:fill="auto"/>
                  <w:vAlign w:val="center"/>
                </w:tcPr>
                <w:p>
                  <w:pPr>
                    <w:pStyle w:val="53"/>
                  </w:pPr>
                  <w:r>
                    <w:t>/</w:t>
                  </w:r>
                </w:p>
              </w:tc>
              <w:tc>
                <w:tcPr>
                  <w:tcW w:w="668" w:type="pct"/>
                  <w:tcBorders>
                    <w:top w:val="single" w:color="000000" w:sz="8" w:space="0"/>
                    <w:left w:val="single" w:color="000000" w:sz="8" w:space="0"/>
                    <w:bottom w:val="single" w:color="000000" w:sz="12" w:space="0"/>
                    <w:right w:val="single" w:color="000000" w:sz="8" w:space="0"/>
                  </w:tcBorders>
                  <w:shd w:val="clear" w:color="auto" w:fill="auto"/>
                  <w:vAlign w:val="center"/>
                </w:tcPr>
                <w:p>
                  <w:pPr>
                    <w:pStyle w:val="53"/>
                  </w:pPr>
                  <w:r>
                    <w:rPr>
                      <w:rFonts w:hint="eastAsia"/>
                    </w:rPr>
                    <w:t>2.25</w:t>
                  </w:r>
                </w:p>
              </w:tc>
              <w:tc>
                <w:tcPr>
                  <w:tcW w:w="910" w:type="pct"/>
                  <w:tcBorders>
                    <w:top w:val="single" w:color="000000" w:sz="8" w:space="0"/>
                    <w:left w:val="single" w:color="000000" w:sz="8" w:space="0"/>
                    <w:bottom w:val="single" w:color="000000" w:sz="12" w:space="0"/>
                    <w:right w:val="nil"/>
                  </w:tcBorders>
                  <w:shd w:val="clear" w:color="auto" w:fill="auto"/>
                  <w:vAlign w:val="center"/>
                </w:tcPr>
                <w:p>
                  <w:pPr>
                    <w:pStyle w:val="53"/>
                  </w:pPr>
                  <w:r>
                    <w:rPr>
                      <w:rFonts w:hint="eastAsia"/>
                    </w:rPr>
                    <w:t>分类收集后交由环卫部门统一清运处置</w:t>
                  </w:r>
                </w:p>
              </w:tc>
            </w:tr>
          </w:tbl>
          <w:p>
            <w:pPr>
              <w:pStyle w:val="5"/>
              <w:spacing w:before="120"/>
            </w:pPr>
            <w:r>
              <w:t>运营期固体废物影响分析及环境管理要求</w:t>
            </w:r>
          </w:p>
          <w:p>
            <w:pPr>
              <w:pStyle w:val="6"/>
            </w:pPr>
            <w:r>
              <w:t>一般工业固废</w:t>
            </w:r>
          </w:p>
          <w:p>
            <w:pPr>
              <w:rPr>
                <w:color w:val="000000"/>
              </w:rPr>
            </w:pPr>
            <w:r>
              <w:rPr>
                <w:color w:val="000000"/>
              </w:rPr>
              <w:t>本项目在生产过程中产生</w:t>
            </w:r>
            <w:r>
              <w:rPr>
                <w:rFonts w:hint="eastAsia"/>
                <w:color w:val="000000"/>
              </w:rPr>
              <w:t>的一般固废集中收集后外售给其他企业综合利用</w:t>
            </w:r>
            <w:r>
              <w:rPr>
                <w:color w:val="000000"/>
              </w:rPr>
              <w:t>，本评价要求项目产生的一般工业固废应按</w:t>
            </w:r>
            <w:r>
              <w:rPr>
                <w:rFonts w:hint="eastAsia"/>
                <w:bCs/>
                <w:color w:val="000000"/>
              </w:rPr>
              <w:t>《一般工业固体废物贮存和填埋污染控制标准》（GB18599-2020）中的</w:t>
            </w:r>
            <w:r>
              <w:rPr>
                <w:color w:val="000000"/>
              </w:rPr>
              <w:t>要求进行规范化的处理处置，并做好防风、防雨、防晒、防渗漏等措施。</w:t>
            </w:r>
          </w:p>
          <w:p>
            <w:pPr>
              <w:pStyle w:val="6"/>
            </w:pPr>
            <w:r>
              <w:t>危险废物</w:t>
            </w:r>
          </w:p>
          <w:p>
            <w:pPr>
              <w:adjustRightInd w:val="0"/>
              <w:snapToGrid w:val="0"/>
              <w:rPr>
                <w:bCs/>
                <w:color w:val="000000"/>
              </w:rPr>
            </w:pPr>
            <w:r>
              <w:rPr>
                <w:rFonts w:hint="eastAsia"/>
                <w:bCs/>
                <w:color w:val="000000"/>
              </w:rPr>
              <w:t>本项目</w:t>
            </w:r>
            <w:r>
              <w:rPr>
                <w:bCs/>
                <w:color w:val="000000"/>
              </w:rPr>
              <w:t>拟设置一</w:t>
            </w:r>
            <w:r>
              <w:rPr>
                <w:rFonts w:hint="eastAsia"/>
                <w:bCs/>
                <w:color w:val="000000"/>
              </w:rPr>
              <w:t>间</w:t>
            </w:r>
            <w:r>
              <w:rPr>
                <w:bCs/>
                <w:color w:val="000000"/>
              </w:rPr>
              <w:t>危废</w:t>
            </w:r>
            <w:r>
              <w:rPr>
                <w:rFonts w:hint="eastAsia"/>
              </w:rPr>
              <w:t>贮存库</w:t>
            </w:r>
            <w:r>
              <w:rPr>
                <w:rFonts w:hint="eastAsia"/>
                <w:bCs/>
                <w:color w:val="000000"/>
              </w:rPr>
              <w:t>，</w:t>
            </w:r>
            <w:r>
              <w:rPr>
                <w:bCs/>
                <w:color w:val="000000"/>
              </w:rPr>
              <w:t>危险废物收集后分类分区贮存于危废</w:t>
            </w:r>
            <w:r>
              <w:rPr>
                <w:rFonts w:hint="eastAsia"/>
              </w:rPr>
              <w:t>贮存库</w:t>
            </w:r>
            <w:r>
              <w:rPr>
                <w:bCs/>
                <w:color w:val="000000"/>
              </w:rPr>
              <w:t>并委托有资质单位处置。危险废物在厂区内贮存执行《危险废物贮存污染控制标准》</w:t>
            </w:r>
            <w:r>
              <w:rPr>
                <w:rFonts w:hint="eastAsia"/>
                <w:bCs/>
                <w:color w:val="000000"/>
              </w:rPr>
              <w:t>（</w:t>
            </w:r>
            <w:r>
              <w:rPr>
                <w:bCs/>
                <w:color w:val="000000"/>
              </w:rPr>
              <w:t>GB18597-2023</w:t>
            </w:r>
            <w:r>
              <w:rPr>
                <w:rFonts w:hint="eastAsia"/>
                <w:bCs/>
                <w:color w:val="000000"/>
              </w:rPr>
              <w:t>）。</w:t>
            </w:r>
          </w:p>
          <w:p>
            <w:pPr>
              <w:adjustRightInd w:val="0"/>
              <w:snapToGrid w:val="0"/>
              <w:rPr>
                <w:bCs/>
                <w:color w:val="000000"/>
              </w:rPr>
            </w:pPr>
            <w:r>
              <w:rPr>
                <w:bCs/>
                <w:color w:val="000000"/>
              </w:rPr>
              <w:t>①危险废物的收集和临时贮存要求</w:t>
            </w:r>
          </w:p>
          <w:p>
            <w:pPr>
              <w:adjustRightInd w:val="0"/>
              <w:snapToGrid w:val="0"/>
              <w:rPr>
                <w:bCs/>
                <w:color w:val="000000"/>
              </w:rPr>
            </w:pPr>
            <w:r>
              <w:rPr>
                <w:bCs/>
                <w:color w:val="000000"/>
              </w:rPr>
              <w:t>危废</w:t>
            </w:r>
            <w:r>
              <w:rPr>
                <w:rFonts w:hint="eastAsia"/>
              </w:rPr>
              <w:t>贮存库</w:t>
            </w:r>
            <w:r>
              <w:rPr>
                <w:bCs/>
                <w:color w:val="000000"/>
              </w:rPr>
              <w:t>应严格按照《危险废物贮存污染控制标准》</w:t>
            </w:r>
            <w:r>
              <w:rPr>
                <w:rFonts w:hint="eastAsia"/>
                <w:bCs/>
                <w:color w:val="000000"/>
              </w:rPr>
              <w:t>（</w:t>
            </w:r>
            <w:r>
              <w:rPr>
                <w:bCs/>
                <w:color w:val="000000"/>
              </w:rPr>
              <w:t>GB18597-2023</w:t>
            </w:r>
            <w:r>
              <w:rPr>
                <w:rFonts w:hint="eastAsia"/>
                <w:bCs/>
                <w:color w:val="000000"/>
              </w:rPr>
              <w:t>）</w:t>
            </w:r>
            <w:r>
              <w:rPr>
                <w:bCs/>
                <w:color w:val="000000"/>
              </w:rPr>
              <w:t>中的有关规定执行及建设，同时还需委托有资质的单位处置。根据《中华人民共和国固体废物污染环境防治法</w:t>
            </w:r>
            <w:r>
              <w:rPr>
                <w:rFonts w:hint="eastAsia"/>
                <w:bCs/>
                <w:color w:val="000000"/>
              </w:rPr>
              <w:t>》《</w:t>
            </w:r>
            <w:r>
              <w:rPr>
                <w:bCs/>
                <w:color w:val="000000"/>
              </w:rPr>
              <w:t>危险废物收集、贮存、运输技术规范》</w:t>
            </w:r>
            <w:r>
              <w:rPr>
                <w:rFonts w:hint="eastAsia"/>
                <w:bCs/>
                <w:color w:val="000000"/>
              </w:rPr>
              <w:t>（</w:t>
            </w:r>
            <w:r>
              <w:rPr>
                <w:bCs/>
                <w:color w:val="000000"/>
              </w:rPr>
              <w:t>HJ2025-2012</w:t>
            </w:r>
            <w:r>
              <w:rPr>
                <w:rFonts w:hint="eastAsia"/>
                <w:bCs/>
                <w:color w:val="000000"/>
              </w:rPr>
              <w:t>）</w:t>
            </w:r>
            <w:r>
              <w:rPr>
                <w:bCs/>
                <w:color w:val="000000"/>
              </w:rPr>
              <w:t>、《危险废物贮存污染控制标准》</w:t>
            </w:r>
            <w:r>
              <w:rPr>
                <w:rFonts w:hint="eastAsia"/>
                <w:bCs/>
                <w:color w:val="000000"/>
              </w:rPr>
              <w:t>（</w:t>
            </w:r>
            <w:r>
              <w:rPr>
                <w:bCs/>
                <w:color w:val="000000"/>
              </w:rPr>
              <w:t>18597-2023</w:t>
            </w:r>
            <w:r>
              <w:rPr>
                <w:rFonts w:hint="eastAsia"/>
                <w:bCs/>
                <w:color w:val="000000"/>
              </w:rPr>
              <w:t>）</w:t>
            </w:r>
            <w:r>
              <w:rPr>
                <w:bCs/>
                <w:color w:val="000000"/>
              </w:rPr>
              <w:t>，项目在运营过程中，按照以下要求管理危险废物：</w:t>
            </w:r>
          </w:p>
          <w:p>
            <w:pPr>
              <w:adjustRightInd w:val="0"/>
              <w:snapToGrid w:val="0"/>
              <w:rPr>
                <w:bCs/>
                <w:color w:val="000000"/>
              </w:rPr>
            </w:pPr>
            <w:r>
              <w:rPr>
                <w:bCs/>
                <w:color w:val="000000"/>
              </w:rPr>
              <w:t>a.加强危险废物管理，制定危险废物管理计划，并报当地生态环境部门备案。对员工进行培训，提高全体人员对危险废物管理的认识。确保相关管理人员和从事危废收集、运送、贮存等工作的人员掌握国家相关法律法规、规章和有关规范性文件的规定，熟悉本单位制定的危险废物管理规章制度、工作流程等各项工作要求；掌握危险废物分类收集、运送、贮存的正确方法和操作程序，提高安全防护和应急处置能力。</w:t>
            </w:r>
          </w:p>
          <w:p>
            <w:pPr>
              <w:adjustRightInd w:val="0"/>
              <w:snapToGrid w:val="0"/>
              <w:rPr>
                <w:bCs/>
                <w:color w:val="000000"/>
              </w:rPr>
            </w:pPr>
            <w:r>
              <w:rPr>
                <w:bCs/>
                <w:color w:val="000000"/>
              </w:rPr>
              <w:t>b.建设单位必须严格按照《危险废物收集贮存运输技术规范》</w:t>
            </w:r>
            <w:r>
              <w:rPr>
                <w:rFonts w:hint="eastAsia"/>
                <w:bCs/>
                <w:color w:val="000000"/>
              </w:rPr>
              <w:t>（</w:t>
            </w:r>
            <w:r>
              <w:rPr>
                <w:bCs/>
                <w:color w:val="000000"/>
              </w:rPr>
              <w:t>HJ2025-2012</w:t>
            </w:r>
            <w:r>
              <w:rPr>
                <w:rFonts w:hint="eastAsia"/>
                <w:bCs/>
                <w:color w:val="000000"/>
              </w:rPr>
              <w:t>）</w:t>
            </w:r>
            <w:r>
              <w:rPr>
                <w:bCs/>
                <w:color w:val="000000"/>
              </w:rPr>
              <w:t>的要求来进行危险废物的收集、贮存和运输。危险废物的收集、贮存，须按照其特性分类进行。禁止混合收集、贮存、运输、处置性质不相容而未经安全性处置的危废。盛装危废的容器和包装物，要确保无破损、泄漏和其他缺陷，并依据《危险废物贮存污染控制标准》</w:t>
            </w:r>
            <w:r>
              <w:rPr>
                <w:rFonts w:hint="eastAsia"/>
                <w:bCs/>
                <w:color w:val="000000"/>
              </w:rPr>
              <w:t>（</w:t>
            </w:r>
            <w:r>
              <w:rPr>
                <w:bCs/>
                <w:color w:val="000000"/>
              </w:rPr>
              <w:t>GB18597-2023</w:t>
            </w:r>
            <w:r>
              <w:rPr>
                <w:rFonts w:hint="eastAsia"/>
                <w:bCs/>
                <w:color w:val="000000"/>
              </w:rPr>
              <w:t>）</w:t>
            </w:r>
            <w:r>
              <w:rPr>
                <w:bCs/>
                <w:color w:val="000000"/>
              </w:rPr>
              <w:t>的规范建设危废贮存场所并设置危废标识。危险废物运输应由持有危险废物经营许可证的单位按照其许可证的经营范围组织实施，承担危险废物运输的单位应获得交通运输部门颁发的危险货物运输资质。</w:t>
            </w:r>
          </w:p>
          <w:p>
            <w:pPr>
              <w:adjustRightInd w:val="0"/>
              <w:snapToGrid w:val="0"/>
              <w:rPr>
                <w:bCs/>
                <w:color w:val="000000"/>
              </w:rPr>
            </w:pPr>
            <w:r>
              <w:rPr>
                <w:bCs/>
                <w:color w:val="000000"/>
              </w:rPr>
              <w:t>c.规范建设危废</w:t>
            </w:r>
            <w:r>
              <w:rPr>
                <w:rFonts w:hint="eastAsia"/>
              </w:rPr>
              <w:t>贮存库</w:t>
            </w:r>
            <w:r>
              <w:rPr>
                <w:bCs/>
                <w:color w:val="000000"/>
              </w:rPr>
              <w:t>。危废</w:t>
            </w:r>
            <w:r>
              <w:rPr>
                <w:rFonts w:hint="eastAsia"/>
              </w:rPr>
              <w:t>贮存库</w:t>
            </w:r>
            <w:r>
              <w:rPr>
                <w:bCs/>
                <w:color w:val="000000"/>
              </w:rPr>
              <w:t>应设置明显标志，并对地面进行硬化，并具有防雨淋、防日晒、防渗漏、密闭等措施，并建立健全危险废物管理台账、专人管理。禁止将危废混入非危险废物中贮存。并且，贮存时间不得超过一年。</w:t>
            </w:r>
          </w:p>
          <w:p>
            <w:pPr>
              <w:adjustRightInd w:val="0"/>
              <w:snapToGrid w:val="0"/>
              <w:rPr>
                <w:bCs/>
                <w:color w:val="000000"/>
              </w:rPr>
            </w:pPr>
            <w:r>
              <w:rPr>
                <w:bCs/>
                <w:color w:val="000000"/>
              </w:rPr>
              <w:t>d.严格执行危险废物转移管理制度，禁止将危险废物提供或委托给无危险废物经营许可证的单位从事收集、贮存、利用、处置等经营活动。</w:t>
            </w:r>
          </w:p>
          <w:p>
            <w:pPr>
              <w:adjustRightInd w:val="0"/>
              <w:snapToGrid w:val="0"/>
              <w:rPr>
                <w:bCs/>
                <w:color w:val="000000"/>
              </w:rPr>
            </w:pPr>
            <w:r>
              <w:rPr>
                <w:bCs/>
                <w:color w:val="000000"/>
              </w:rPr>
              <w:t>②危险废物规范化管理要求</w:t>
            </w:r>
          </w:p>
          <w:p>
            <w:pPr>
              <w:adjustRightInd w:val="0"/>
              <w:snapToGrid w:val="0"/>
              <w:rPr>
                <w:bCs/>
                <w:color w:val="000000"/>
              </w:rPr>
            </w:pPr>
            <w:r>
              <w:rPr>
                <w:bCs/>
                <w:color w:val="000000"/>
              </w:rPr>
              <w:t>根据《危险废物规范化管理指标体系》的规定，本项目在生产中产生的危险废物具体管理要求如下：</w:t>
            </w:r>
          </w:p>
          <w:p>
            <w:pPr>
              <w:adjustRightInd w:val="0"/>
              <w:snapToGrid w:val="0"/>
              <w:rPr>
                <w:bCs/>
                <w:color w:val="000000"/>
              </w:rPr>
            </w:pPr>
            <w:r>
              <w:rPr>
                <w:bCs/>
                <w:color w:val="000000"/>
              </w:rPr>
              <w:t>a.污染防治责任制度：</w:t>
            </w:r>
          </w:p>
          <w:p>
            <w:pPr>
              <w:adjustRightInd w:val="0"/>
              <w:snapToGrid w:val="0"/>
              <w:rPr>
                <w:bCs/>
                <w:color w:val="000000"/>
              </w:rPr>
            </w:pPr>
            <w:r>
              <w:rPr>
                <w:bCs/>
                <w:color w:val="000000"/>
              </w:rPr>
              <w:t>在危废暂存场所的显著位置张贴危险废物污染防治责任信息，且张贴信息能够</w:t>
            </w:r>
            <w:r>
              <w:rPr>
                <w:rFonts w:hint="eastAsia"/>
                <w:bCs/>
                <w:color w:val="000000"/>
              </w:rPr>
              <w:t>标明</w:t>
            </w:r>
            <w:r>
              <w:rPr>
                <w:bCs/>
                <w:color w:val="000000"/>
              </w:rPr>
              <w:t>危险废物产生环节、危险特性、去向及责任人等。</w:t>
            </w:r>
          </w:p>
          <w:p>
            <w:pPr>
              <w:adjustRightInd w:val="0"/>
              <w:snapToGrid w:val="0"/>
              <w:rPr>
                <w:bCs/>
                <w:color w:val="000000"/>
              </w:rPr>
            </w:pPr>
            <w:r>
              <w:rPr>
                <w:bCs/>
                <w:color w:val="000000"/>
              </w:rPr>
              <w:t>b.标识制度：</w:t>
            </w:r>
          </w:p>
          <w:p>
            <w:pPr>
              <w:adjustRightInd w:val="0"/>
              <w:snapToGrid w:val="0"/>
              <w:rPr>
                <w:bCs/>
                <w:color w:val="000000"/>
              </w:rPr>
            </w:pPr>
            <w:r>
              <w:rPr>
                <w:bCs/>
                <w:color w:val="000000"/>
              </w:rPr>
              <w:t>危险废物标签、贮存分区标志</w:t>
            </w:r>
            <w:r>
              <w:rPr>
                <w:rFonts w:hint="eastAsia"/>
                <w:bCs/>
                <w:color w:val="000000"/>
              </w:rPr>
              <w:t>废物</w:t>
            </w:r>
            <w:r>
              <w:rPr>
                <w:bCs/>
                <w:color w:val="000000"/>
              </w:rPr>
              <w:t>贮存、利用、处置设施等标志根据《危险废物识别标志设置技术规范</w:t>
            </w:r>
            <w:r>
              <w:rPr>
                <w:rFonts w:hint="eastAsia"/>
                <w:bCs/>
                <w:color w:val="000000"/>
              </w:rPr>
              <w:t>》（</w:t>
            </w:r>
            <w:r>
              <w:rPr>
                <w:bCs/>
                <w:color w:val="000000"/>
              </w:rPr>
              <w:t>HJ 1276—2022</w:t>
            </w:r>
            <w:r>
              <w:rPr>
                <w:rFonts w:hint="eastAsia"/>
                <w:bCs/>
                <w:color w:val="000000"/>
              </w:rPr>
              <w:t>）</w:t>
            </w:r>
            <w:r>
              <w:rPr>
                <w:bCs/>
                <w:color w:val="000000"/>
              </w:rPr>
              <w:t>的要求设置。危险废物标签应以醒目的字样标注</w:t>
            </w:r>
            <w:r>
              <w:rPr>
                <w:rFonts w:hint="eastAsia"/>
                <w:bCs/>
                <w:color w:val="000000"/>
              </w:rPr>
              <w:t>“</w:t>
            </w:r>
            <w:r>
              <w:rPr>
                <w:bCs/>
                <w:color w:val="000000"/>
              </w:rPr>
              <w:t>危险废物</w:t>
            </w:r>
            <w:r>
              <w:rPr>
                <w:rFonts w:hint="eastAsia"/>
                <w:bCs/>
                <w:color w:val="000000"/>
              </w:rPr>
              <w:t>”；</w:t>
            </w:r>
            <w:r>
              <w:rPr>
                <w:bCs/>
                <w:color w:val="000000"/>
              </w:rPr>
              <w:t>危险废物标签应包含废物名称、废物类别、废物代码、废物形态、危险特性、主要成分、有害成分、注意事项、产生/收集单位名称、联系人、联系方式、产生日期、废物重量和备注</w:t>
            </w:r>
            <w:r>
              <w:rPr>
                <w:rFonts w:hint="eastAsia"/>
                <w:bCs/>
                <w:color w:val="000000"/>
              </w:rPr>
              <w:t>；</w:t>
            </w:r>
            <w:r>
              <w:rPr>
                <w:bCs/>
                <w:color w:val="000000"/>
              </w:rPr>
              <w:t>危险废物标签宜设置危险废物数字识别码和二维码</w:t>
            </w:r>
            <w:r>
              <w:rPr>
                <w:rFonts w:hint="eastAsia"/>
                <w:bCs/>
                <w:color w:val="000000"/>
              </w:rPr>
              <w:t>。</w:t>
            </w:r>
          </w:p>
          <w:p>
            <w:pPr>
              <w:adjustRightInd w:val="0"/>
              <w:snapToGrid w:val="0"/>
              <w:rPr>
                <w:bCs/>
                <w:color w:val="000000"/>
              </w:rPr>
            </w:pPr>
            <w:r>
              <w:rPr>
                <w:bCs/>
                <w:color w:val="000000"/>
              </w:rPr>
              <w:t>c.管理计划制度：</w:t>
            </w:r>
          </w:p>
          <w:p>
            <w:pPr>
              <w:adjustRightInd w:val="0"/>
              <w:snapToGrid w:val="0"/>
              <w:rPr>
                <w:bCs/>
                <w:color w:val="000000"/>
              </w:rPr>
            </w:pPr>
            <w:r>
              <w:rPr>
                <w:bCs/>
                <w:color w:val="000000"/>
              </w:rPr>
              <w:t>制定危险废物管理计划。管理计划应包括减少危险废物产生量和危害性的措施，以及危险废物贮存、利用、处置措施；报当地环保部门备案，若管理计划内容有重大改变，及时报当地环保部门重新备案。管理计划内容有重大改变的情形包括：①变更法人名称、法定代表人和地址；②增加或减少危险废物产生类别；③危险废物产生数量变化幅度超过20%；④新、改、扩建或拆除原有危险废物贮存、利用和处置设施。</w:t>
            </w:r>
          </w:p>
          <w:p>
            <w:pPr>
              <w:adjustRightInd w:val="0"/>
              <w:snapToGrid w:val="0"/>
              <w:rPr>
                <w:bCs/>
                <w:color w:val="000000"/>
              </w:rPr>
            </w:pPr>
            <w:r>
              <w:rPr>
                <w:bCs/>
                <w:color w:val="000000"/>
              </w:rPr>
              <w:t>d.申报登记制度：</w:t>
            </w:r>
          </w:p>
          <w:p>
            <w:pPr>
              <w:adjustRightInd w:val="0"/>
              <w:snapToGrid w:val="0"/>
              <w:rPr>
                <w:bCs/>
                <w:color w:val="000000"/>
              </w:rPr>
            </w:pPr>
            <w:r>
              <w:rPr>
                <w:bCs/>
                <w:color w:val="000000"/>
              </w:rPr>
              <w:t>如实地向当地生态环境部门申报危险废物的种类、产生量、流向、贮存、处置等有关资料。可提供证明材料，如环评文件、竣工验收文件、危险废物管理台账、危险废物转移联单、危险废物处置利用合同、财务数据等；申报事项有重大改变的，应当及时申报；按照危险废物特性分类进行收集，且不同类废物间有明显的间隔</w:t>
            </w:r>
            <w:r>
              <w:rPr>
                <w:rFonts w:hint="eastAsia"/>
                <w:bCs/>
                <w:color w:val="000000"/>
              </w:rPr>
              <w:t>（</w:t>
            </w:r>
            <w:r>
              <w:rPr>
                <w:bCs/>
                <w:color w:val="000000"/>
              </w:rPr>
              <w:t>如过道等</w:t>
            </w:r>
            <w:r>
              <w:rPr>
                <w:rFonts w:hint="eastAsia"/>
                <w:bCs/>
                <w:color w:val="000000"/>
              </w:rPr>
              <w:t>）</w:t>
            </w:r>
            <w:r>
              <w:rPr>
                <w:bCs/>
                <w:color w:val="000000"/>
              </w:rPr>
              <w:t>；危险废物转移采取网上申报；对管理人员和从事危险废物收集、运输、暂存、利用和处置等工作的人员进行了培训；参加培训人员对本单位的危险废物管理制度、工作流程等各项要求，掌握危险废物分类收集、运输、暂存的正确方法和操作程序；贮存场所地面硬化及防渗处理</w:t>
            </w:r>
            <w:r>
              <w:rPr>
                <w:rFonts w:hint="eastAsia"/>
                <w:bCs/>
                <w:color w:val="000000"/>
              </w:rPr>
              <w:t>；</w:t>
            </w:r>
            <w:r>
              <w:rPr>
                <w:bCs/>
                <w:color w:val="000000"/>
              </w:rPr>
              <w:t>装载危险废物的容器完好无损；建立危险废物贮存台账，并</w:t>
            </w:r>
            <w:r>
              <w:rPr>
                <w:rFonts w:hint="eastAsia"/>
                <w:bCs/>
                <w:color w:val="000000"/>
              </w:rPr>
              <w:t>如实</w:t>
            </w:r>
            <w:r>
              <w:rPr>
                <w:bCs/>
                <w:color w:val="000000"/>
              </w:rPr>
              <w:t>规范记录危险废物贮存情况。</w:t>
            </w:r>
          </w:p>
          <w:p>
            <w:pPr>
              <w:adjustRightInd w:val="0"/>
              <w:snapToGrid w:val="0"/>
              <w:rPr>
                <w:bCs/>
                <w:color w:val="000000"/>
              </w:rPr>
            </w:pPr>
            <w:r>
              <w:rPr>
                <w:bCs/>
                <w:color w:val="000000"/>
              </w:rPr>
              <w:t>③危险废物转移</w:t>
            </w:r>
          </w:p>
          <w:p>
            <w:pPr>
              <w:adjustRightInd w:val="0"/>
              <w:snapToGrid w:val="0"/>
              <w:rPr>
                <w:rFonts w:cs="宋体"/>
                <w:color w:val="000000"/>
              </w:rPr>
            </w:pPr>
            <w:r>
              <w:rPr>
                <w:bCs/>
                <w:color w:val="000000"/>
              </w:rPr>
              <w:t>建设单位按照危废转移要求，在转移危废前通过登录福建省固体废物环境监管平台申请电子转移联单，申报转移计划。</w:t>
            </w:r>
          </w:p>
          <w:p>
            <w:pPr>
              <w:adjustRightInd w:val="0"/>
              <w:snapToGrid w:val="0"/>
              <w:rPr>
                <w:bCs/>
                <w:color w:val="000000"/>
              </w:rPr>
            </w:pPr>
            <w:r>
              <w:rPr>
                <w:bCs/>
                <w:color w:val="000000"/>
              </w:rPr>
              <w:t>④制定危险废物管理计划和危险废物台账管理</w:t>
            </w:r>
          </w:p>
          <w:p>
            <w:pPr>
              <w:adjustRightInd w:val="0"/>
              <w:snapToGrid w:val="0"/>
              <w:rPr>
                <w:bCs/>
                <w:color w:val="000000"/>
              </w:rPr>
            </w:pPr>
            <w:r>
              <w:rPr>
                <w:bCs/>
                <w:color w:val="000000"/>
              </w:rPr>
              <w:t>建设单位按照《危险废物管理计划和管理台账制定技术导则》</w:t>
            </w:r>
            <w:r>
              <w:rPr>
                <w:rFonts w:hint="eastAsia"/>
                <w:bCs/>
                <w:color w:val="000000"/>
              </w:rPr>
              <w:t>（</w:t>
            </w:r>
            <w:r>
              <w:rPr>
                <w:bCs/>
                <w:color w:val="000000"/>
              </w:rPr>
              <w:t>HJ 1259 —2022</w:t>
            </w:r>
            <w:r>
              <w:rPr>
                <w:rFonts w:hint="eastAsia"/>
                <w:bCs/>
                <w:color w:val="000000"/>
              </w:rPr>
              <w:t>）</w:t>
            </w:r>
            <w:r>
              <w:rPr>
                <w:bCs/>
                <w:color w:val="000000"/>
              </w:rPr>
              <w:t>制定危险废物管理计划和危险废物台账管理。</w:t>
            </w:r>
          </w:p>
          <w:p>
            <w:pPr>
              <w:adjustRightInd w:val="0"/>
              <w:snapToGrid w:val="0"/>
              <w:rPr>
                <w:bCs/>
                <w:color w:val="000000"/>
              </w:rPr>
            </w:pPr>
            <w:r>
              <w:rPr>
                <w:bCs/>
                <w:color w:val="000000"/>
              </w:rPr>
              <w:t>a.建设单位制定年度危险废物管理计划，危险废物管理计划中记录了上年度产生的和本年度计划产生的危险废物名称、危废代码、废物类别、有害物质名称、危险特性、危废产生来源及生产工序。</w:t>
            </w:r>
          </w:p>
          <w:p>
            <w:pPr>
              <w:adjustRightInd w:val="0"/>
              <w:snapToGrid w:val="0"/>
              <w:rPr>
                <w:bCs/>
                <w:color w:val="000000"/>
              </w:rPr>
            </w:pPr>
            <w:r>
              <w:rPr>
                <w:bCs/>
                <w:color w:val="000000"/>
              </w:rPr>
              <w:t>b.制定危险废物减量化的计划和措施。</w:t>
            </w:r>
          </w:p>
          <w:p>
            <w:pPr>
              <w:adjustRightInd w:val="0"/>
              <w:snapToGrid w:val="0"/>
              <w:rPr>
                <w:bCs/>
                <w:color w:val="000000"/>
              </w:rPr>
            </w:pPr>
            <w:r>
              <w:rPr>
                <w:bCs/>
                <w:color w:val="000000"/>
              </w:rPr>
              <w:t>c.填报危险废物转移情况，包括危险废物贮存措施、运输措施和转移计划等。</w:t>
            </w:r>
          </w:p>
          <w:p>
            <w:pPr>
              <w:adjustRightInd w:val="0"/>
              <w:snapToGrid w:val="0"/>
              <w:rPr>
                <w:bCs/>
                <w:color w:val="000000"/>
              </w:rPr>
            </w:pPr>
            <w:r>
              <w:rPr>
                <w:bCs/>
                <w:color w:val="000000"/>
              </w:rPr>
              <w:t>d.填报危险废物委托利用或处置措施。</w:t>
            </w:r>
          </w:p>
          <w:p>
            <w:pPr>
              <w:pStyle w:val="6"/>
            </w:pPr>
            <w:r>
              <w:t>生活垃圾</w:t>
            </w:r>
          </w:p>
          <w:p>
            <w:pPr>
              <w:rPr>
                <w:color w:val="000000"/>
              </w:rPr>
            </w:pPr>
            <w:r>
              <w:rPr>
                <w:color w:val="000000"/>
              </w:rPr>
              <w:t>项目内职工产生的生活垃圾采取分类收集，并委托环卫部门统一外运处置。</w:t>
            </w:r>
          </w:p>
          <w:p>
            <w:pPr>
              <w:rPr>
                <w:color w:val="000000"/>
              </w:rPr>
            </w:pPr>
            <w:r>
              <w:rPr>
                <w:color w:val="000000"/>
              </w:rPr>
              <w:t>综</w:t>
            </w:r>
            <w:r>
              <w:rPr>
                <w:rFonts w:hint="eastAsia"/>
                <w:color w:val="000000"/>
              </w:rPr>
              <w:t>上所</w:t>
            </w:r>
            <w:r>
              <w:rPr>
                <w:color w:val="000000"/>
              </w:rPr>
              <w:t>述，本项目固体废物</w:t>
            </w:r>
            <w:r>
              <w:rPr>
                <w:rFonts w:hint="eastAsia"/>
                <w:color w:val="000000"/>
              </w:rPr>
              <w:t>均</w:t>
            </w:r>
            <w:r>
              <w:rPr>
                <w:color w:val="000000"/>
              </w:rPr>
              <w:t>得以妥善安全处置，不会对环境造成不良影响。</w:t>
            </w:r>
          </w:p>
          <w:p>
            <w:pPr>
              <w:pStyle w:val="4"/>
            </w:pPr>
            <w:r>
              <w:t>地下水、土壤环境影响和保护措施</w:t>
            </w:r>
          </w:p>
          <w:p>
            <w:pPr>
              <w:pStyle w:val="5"/>
              <w:spacing w:before="120"/>
            </w:pPr>
            <w:r>
              <w:t>地下水、土壤环境影响分析</w:t>
            </w:r>
          </w:p>
          <w:p>
            <w:pPr>
              <w:pStyle w:val="87"/>
              <w:rPr>
                <w:color w:val="000000"/>
              </w:rPr>
            </w:pPr>
            <w:r>
              <w:rPr>
                <w:rFonts w:hint="eastAsia"/>
                <w:color w:val="000000"/>
              </w:rPr>
              <w:t>（1）</w:t>
            </w:r>
            <w:r>
              <w:rPr>
                <w:color w:val="000000"/>
              </w:rPr>
              <w:t>地下水</w:t>
            </w:r>
            <w:r>
              <w:rPr>
                <w:color w:val="000000"/>
                <w:szCs w:val="24"/>
              </w:rPr>
              <w:t>环境</w:t>
            </w:r>
          </w:p>
          <w:p>
            <w:pPr>
              <w:pStyle w:val="87"/>
              <w:rPr>
                <w:color w:val="000000"/>
              </w:rPr>
            </w:pPr>
            <w:r>
              <w:rPr>
                <w:color w:val="000000"/>
              </w:rPr>
              <w:t>项目</w:t>
            </w:r>
            <w:r>
              <w:rPr>
                <w:rFonts w:hint="eastAsia"/>
                <w:color w:val="auto"/>
              </w:rPr>
              <w:t>冷却水循环使用，不外排，定期补充新鲜水，项目外排的废水主要为职工的生活污水</w:t>
            </w:r>
            <w:r>
              <w:rPr>
                <w:color w:val="000000"/>
              </w:rPr>
              <w:t>，本项目生活污水</w:t>
            </w:r>
            <w:r>
              <w:rPr>
                <w:rFonts w:hint="eastAsia"/>
                <w:color w:val="000000"/>
              </w:rPr>
              <w:t>依托万洋化粪池</w:t>
            </w:r>
            <w:r>
              <w:rPr>
                <w:color w:val="000000"/>
              </w:rPr>
              <w:t>处理后通过厂区污水总排放口排入市政污水管网，送往长安污水处理厂集中处理</w:t>
            </w:r>
            <w:r>
              <w:rPr>
                <w:rFonts w:hint="eastAsia"/>
                <w:color w:val="000000"/>
                <w:shd w:val="clear" w:color="auto" w:fill="FFFFFF"/>
              </w:rPr>
              <w:t>。</w:t>
            </w:r>
            <w:r>
              <w:rPr>
                <w:color w:val="000000"/>
                <w:szCs w:val="24"/>
              </w:rPr>
              <w:t>项目废水不含有毒有害污染物，不含重金属等污染物，正常工况下生产废水处理设施各构筑物采取严格的防渗、防溢流等措施，废水不易渗漏和进入地下水。</w:t>
            </w:r>
            <w:r>
              <w:rPr>
                <w:color w:val="000000"/>
              </w:rPr>
              <w:t>根据现场调查，项目评价区域无饮用水水源地，工业区已全部开通自来水管网、生活用水采用自来水。</w:t>
            </w:r>
          </w:p>
          <w:p>
            <w:pPr>
              <w:pStyle w:val="87"/>
              <w:rPr>
                <w:color w:val="000000"/>
                <w:szCs w:val="24"/>
              </w:rPr>
            </w:pPr>
            <w:r>
              <w:rPr>
                <w:color w:val="000000"/>
                <w:szCs w:val="24"/>
              </w:rPr>
              <w:t>项目一般工业固废暂存场所及危险废物贮存库严格按照《一般工业固体废物贮存和填埋污染控制标准》</w:t>
            </w:r>
            <w:r>
              <w:rPr>
                <w:rFonts w:hint="eastAsia"/>
                <w:color w:val="000000"/>
                <w:szCs w:val="24"/>
              </w:rPr>
              <w:t>（</w:t>
            </w:r>
            <w:r>
              <w:rPr>
                <w:color w:val="000000"/>
                <w:szCs w:val="24"/>
              </w:rPr>
              <w:t>GB18599-20</w:t>
            </w:r>
            <w:r>
              <w:rPr>
                <w:rFonts w:hint="eastAsia"/>
                <w:color w:val="000000"/>
                <w:szCs w:val="24"/>
              </w:rPr>
              <w:t>20）</w:t>
            </w:r>
            <w:r>
              <w:rPr>
                <w:color w:val="000000"/>
                <w:szCs w:val="24"/>
              </w:rPr>
              <w:t>中固废临时贮存场所的要求及《危险废物贮存污染控制标准》</w:t>
            </w:r>
            <w:r>
              <w:rPr>
                <w:rFonts w:hint="eastAsia"/>
                <w:color w:val="000000"/>
                <w:szCs w:val="24"/>
              </w:rPr>
              <w:t>（</w:t>
            </w:r>
            <w:r>
              <w:rPr>
                <w:color w:val="000000"/>
                <w:szCs w:val="22"/>
              </w:rPr>
              <w:t>GB18597-2</w:t>
            </w:r>
            <w:r>
              <w:rPr>
                <w:rFonts w:hint="eastAsia"/>
                <w:color w:val="000000"/>
                <w:szCs w:val="22"/>
              </w:rPr>
              <w:t>023</w:t>
            </w:r>
            <w:r>
              <w:rPr>
                <w:rFonts w:hint="eastAsia"/>
                <w:color w:val="000000"/>
                <w:szCs w:val="24"/>
              </w:rPr>
              <w:t>）</w:t>
            </w:r>
            <w:r>
              <w:rPr>
                <w:color w:val="000000"/>
                <w:szCs w:val="24"/>
              </w:rPr>
              <w:t>要求进行建设，具备防风、防雨、防晒、防渗漏等要求。</w:t>
            </w:r>
            <w:r>
              <w:rPr>
                <w:color w:val="auto"/>
                <w:szCs w:val="24"/>
              </w:rPr>
              <w:t>项目</w:t>
            </w:r>
            <w:r>
              <w:rPr>
                <w:rFonts w:hint="eastAsia"/>
                <w:color w:val="auto"/>
                <w:szCs w:val="24"/>
              </w:rPr>
              <w:t>使用的原料均</w:t>
            </w:r>
            <w:r>
              <w:rPr>
                <w:color w:val="auto"/>
                <w:szCs w:val="24"/>
              </w:rPr>
              <w:t>属于无毒或低毒的化学品的使用，</w:t>
            </w:r>
            <w:r>
              <w:rPr>
                <w:rFonts w:hint="eastAsia"/>
                <w:color w:val="auto"/>
                <w:szCs w:val="24"/>
              </w:rPr>
              <w:t>在做好厂房防渗情况下，</w:t>
            </w:r>
            <w:r>
              <w:rPr>
                <w:color w:val="auto"/>
                <w:szCs w:val="24"/>
              </w:rPr>
              <w:t>不会</w:t>
            </w:r>
            <w:r>
              <w:rPr>
                <w:rFonts w:hint="eastAsia"/>
                <w:color w:val="auto"/>
                <w:szCs w:val="24"/>
              </w:rPr>
              <w:t>产生</w:t>
            </w:r>
            <w:r>
              <w:rPr>
                <w:color w:val="auto"/>
                <w:szCs w:val="24"/>
              </w:rPr>
              <w:t>危险化学品进入地下污染地下水</w:t>
            </w:r>
            <w:r>
              <w:rPr>
                <w:rFonts w:hint="eastAsia"/>
                <w:color w:val="auto"/>
                <w:szCs w:val="24"/>
              </w:rPr>
              <w:t>的情况</w:t>
            </w:r>
            <w:r>
              <w:rPr>
                <w:color w:val="000000"/>
                <w:szCs w:val="24"/>
              </w:rPr>
              <w:t>。</w:t>
            </w:r>
          </w:p>
          <w:p>
            <w:pPr>
              <w:pStyle w:val="87"/>
              <w:rPr>
                <w:color w:val="000000"/>
                <w:szCs w:val="24"/>
              </w:rPr>
            </w:pPr>
            <w:r>
              <w:rPr>
                <w:rFonts w:hint="eastAsia"/>
                <w:color w:val="000000"/>
                <w:szCs w:val="24"/>
              </w:rPr>
              <w:t>综上所述</w:t>
            </w:r>
            <w:r>
              <w:rPr>
                <w:color w:val="000000"/>
                <w:szCs w:val="24"/>
              </w:rPr>
              <w:t>，项目在正常运行工况下，项目对地下水影响不大。但公司应加强管理，杜绝防渗层破裂等事故影响。</w:t>
            </w:r>
          </w:p>
          <w:p>
            <w:pPr>
              <w:ind w:firstLine="482" w:firstLineChars="0"/>
              <w:rPr>
                <w:color w:val="000000"/>
              </w:rPr>
            </w:pPr>
            <w:r>
              <w:rPr>
                <w:rFonts w:hint="eastAsia"/>
                <w:color w:val="000000"/>
              </w:rPr>
              <w:t>（</w:t>
            </w:r>
            <w:r>
              <w:rPr>
                <w:color w:val="000000"/>
              </w:rPr>
              <w:t>2</w:t>
            </w:r>
            <w:r>
              <w:rPr>
                <w:rFonts w:hint="eastAsia"/>
                <w:color w:val="000000"/>
              </w:rPr>
              <w:t>）</w:t>
            </w:r>
            <w:r>
              <w:rPr>
                <w:color w:val="000000"/>
              </w:rPr>
              <w:t>土壤环境</w:t>
            </w:r>
          </w:p>
          <w:p>
            <w:pPr>
              <w:rPr>
                <w:color w:val="000000"/>
              </w:rPr>
            </w:pPr>
            <w:r>
              <w:rPr>
                <w:color w:val="000000"/>
              </w:rPr>
              <w:t>土壤污染与大气、水体污染有所不同，大气、水体污染比较直观，严重时通过人的感官即能发现，而土壤污染往往是以食物链方式通过粮食、蔬菜、水果、茶叶及草食性动物</w:t>
            </w:r>
            <w:r>
              <w:rPr>
                <w:rFonts w:hint="eastAsia"/>
                <w:color w:val="000000"/>
              </w:rPr>
              <w:t>（</w:t>
            </w:r>
            <w:r>
              <w:rPr>
                <w:color w:val="000000"/>
              </w:rPr>
              <w:t>如家禽家畜</w:t>
            </w:r>
            <w:r>
              <w:rPr>
                <w:rFonts w:hint="eastAsia"/>
                <w:color w:val="000000"/>
              </w:rPr>
              <w:t>）</w:t>
            </w:r>
            <w:r>
              <w:rPr>
                <w:color w:val="000000"/>
              </w:rPr>
              <w:t>乃至肉食性动物等最后进入人体而影响人群健康。因此，这是一个逐步累积的过程，具有隐蔽性和潜伏性。</w:t>
            </w:r>
          </w:p>
          <w:p>
            <w:pPr>
              <w:rPr>
                <w:color w:val="000000"/>
              </w:rPr>
            </w:pPr>
            <w:r>
              <w:rPr>
                <w:color w:val="000000"/>
              </w:rPr>
              <w:t>根据土壤污染物的来源不同，可将土壤污染分为废水污染型、废气污染型、固体废物污染型、农业污染型和生物污染型。该项目土壤污染将以废气、废水、固废污染型为主。</w:t>
            </w:r>
          </w:p>
          <w:p>
            <w:pPr>
              <w:rPr>
                <w:color w:val="000000"/>
              </w:rPr>
            </w:pPr>
            <w:r>
              <w:rPr>
                <w:color w:val="000000"/>
              </w:rPr>
              <w:t>项目生产废气均可达标排放，对区域环境空气贡献值较小，对土壤环境的影响很小。</w:t>
            </w:r>
          </w:p>
          <w:p>
            <w:r>
              <w:rPr>
                <w:color w:val="000000"/>
                <w:szCs w:val="20"/>
              </w:rPr>
              <w:t>项目</w:t>
            </w:r>
            <w:r>
              <w:rPr>
                <w:rFonts w:hint="eastAsia"/>
              </w:rPr>
              <w:t>冷却水循环使用，不外排，定期补充新鲜水，项目外排的废水主要为职工的生活污水</w:t>
            </w:r>
            <w:r>
              <w:rPr>
                <w:color w:val="000000"/>
                <w:szCs w:val="20"/>
              </w:rPr>
              <w:t>，本项目生活污水</w:t>
            </w:r>
            <w:r>
              <w:rPr>
                <w:rFonts w:hint="eastAsia"/>
                <w:color w:val="000000"/>
                <w:szCs w:val="20"/>
              </w:rPr>
              <w:t>依托万洋化粪池</w:t>
            </w:r>
            <w:r>
              <w:rPr>
                <w:color w:val="000000"/>
                <w:szCs w:val="20"/>
              </w:rPr>
              <w:t>处理后通过厂区污水总排放口排入市政污水管网，送往长安污水处理厂集中处理</w:t>
            </w:r>
            <w:r>
              <w:t>。正常情况下，项目运营期废水对土壤环境的影响不大。</w:t>
            </w:r>
          </w:p>
          <w:p>
            <w:pPr>
              <w:rPr>
                <w:color w:val="000000"/>
              </w:rPr>
            </w:pPr>
            <w:r>
              <w:rPr>
                <w:color w:val="000000"/>
              </w:rPr>
              <w:t>项目产生的危险废物暂存在</w:t>
            </w:r>
            <w:r>
              <w:rPr>
                <w:rFonts w:hint="eastAsia"/>
                <w:color w:val="000000"/>
              </w:rPr>
              <w:t>危废</w:t>
            </w:r>
            <w:r>
              <w:rPr>
                <w:rFonts w:hint="eastAsia"/>
              </w:rPr>
              <w:t>贮存库</w:t>
            </w:r>
            <w:r>
              <w:rPr>
                <w:color w:val="000000"/>
              </w:rPr>
              <w:t>，</w:t>
            </w:r>
            <w:r>
              <w:rPr>
                <w:rFonts w:hint="eastAsia"/>
                <w:color w:val="000000"/>
              </w:rPr>
              <w:t>危废贮存库</w:t>
            </w:r>
            <w:r>
              <w:rPr>
                <w:color w:val="000000"/>
              </w:rPr>
              <w:t>防渗要求按《危险废物贮存污染控制标准》</w:t>
            </w:r>
            <w:r>
              <w:rPr>
                <w:rFonts w:hint="eastAsia"/>
                <w:color w:val="000000"/>
              </w:rPr>
              <w:t>（</w:t>
            </w:r>
            <w:r>
              <w:rPr>
                <w:color w:val="000000"/>
                <w:szCs w:val="22"/>
              </w:rPr>
              <w:t>GB18597-2</w:t>
            </w:r>
            <w:r>
              <w:rPr>
                <w:rFonts w:hint="eastAsia"/>
                <w:color w:val="000000"/>
                <w:szCs w:val="22"/>
              </w:rPr>
              <w:t>023</w:t>
            </w:r>
            <w:r>
              <w:rPr>
                <w:rFonts w:hint="eastAsia"/>
                <w:color w:val="000000"/>
              </w:rPr>
              <w:t>）</w:t>
            </w:r>
            <w:r>
              <w:rPr>
                <w:color w:val="000000"/>
              </w:rPr>
              <w:t>进行设计，且具有防雨、防渗、防风、防日晒的功能。采取以上措施后，项目危险废物对土壤环境的影响不大。</w:t>
            </w:r>
          </w:p>
          <w:p>
            <w:pPr>
              <w:rPr>
                <w:color w:val="000000"/>
              </w:rPr>
            </w:pPr>
            <w:r>
              <w:rPr>
                <w:color w:val="000000"/>
              </w:rPr>
              <w:t>综上所述，工程运营排放的污染物对厂址周围的植被影响不大，由于本项目区域内现有陆域土壤环境质量现状总体良好，土壤大多理化性质良好，有机质含量较高，保肥性能较好，肥力水平较高，土壤环境容量较大，对外来污染物有一定的承载力，只要加强污染源控制和土壤污染防治，防止排放事故出现，则对该区域土壤环境影响总体不大，是可以接受的。</w:t>
            </w:r>
          </w:p>
          <w:p>
            <w:pPr>
              <w:pStyle w:val="5"/>
              <w:spacing w:before="120"/>
            </w:pPr>
            <w:r>
              <w:t>地下水、土壤环境防控措施</w:t>
            </w:r>
          </w:p>
          <w:p>
            <w:pPr>
              <w:rPr>
                <w:color w:val="000000"/>
              </w:rPr>
            </w:pPr>
            <w:r>
              <w:rPr>
                <w:rFonts w:hint="eastAsia"/>
                <w:color w:val="000000"/>
              </w:rPr>
              <w:t>（1）</w:t>
            </w:r>
            <w:r>
              <w:rPr>
                <w:color w:val="000000"/>
              </w:rPr>
              <w:t>防渗措施</w:t>
            </w:r>
          </w:p>
          <w:p>
            <w:pPr>
              <w:rPr>
                <w:color w:val="000000"/>
              </w:rPr>
            </w:pPr>
            <w:r>
              <w:rPr>
                <w:color w:val="000000"/>
              </w:rPr>
              <w:t>①合理进行防渗区域划分</w:t>
            </w:r>
          </w:p>
          <w:p>
            <w:pPr>
              <w:rPr>
                <w:color w:val="000000"/>
              </w:rPr>
            </w:pPr>
            <w:r>
              <w:rPr>
                <w:color w:val="000000"/>
              </w:rPr>
              <w:t>根据本项目厂区可能泄漏至地面区域污染物的性质和生产单元的构筑方式，将厂区划分为重点污染防治区、一般污染防治区，针对不同的区域提出相应的防渗要求。结合项目的特点，项目防渗防治分区见表4.</w:t>
            </w:r>
            <w:r>
              <w:rPr>
                <w:rFonts w:hint="eastAsia"/>
                <w:color w:val="000000"/>
              </w:rPr>
              <w:t>5</w:t>
            </w:r>
            <w:r>
              <w:rPr>
                <w:color w:val="000000"/>
              </w:rPr>
              <w:t>-1。</w:t>
            </w:r>
          </w:p>
          <w:p>
            <w:pPr>
              <w:pStyle w:val="96"/>
            </w:pPr>
            <w:r>
              <w:t>表4.</w:t>
            </w:r>
            <w:r>
              <w:rPr>
                <w:rFonts w:hint="eastAsia"/>
              </w:rPr>
              <w:t>5</w:t>
            </w:r>
            <w:r>
              <w:t>-</w:t>
            </w:r>
            <w:r>
              <w:rPr>
                <w:rFonts w:hint="eastAsia"/>
              </w:rPr>
              <w:t>1</w:t>
            </w:r>
            <w:r>
              <w:t xml:space="preserve"> 土壤污染防治分区一览表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1"/>
              <w:gridCol w:w="2671"/>
              <w:gridCol w:w="3753"/>
              <w:gridCol w:w="11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3" w:type="pct"/>
                  <w:tcBorders>
                    <w:top w:val="single" w:color="auto" w:sz="12" w:space="0"/>
                  </w:tcBorders>
                  <w:vAlign w:val="center"/>
                </w:tcPr>
                <w:p>
                  <w:pPr>
                    <w:pStyle w:val="53"/>
                  </w:pPr>
                  <w:r>
                    <w:t>序号</w:t>
                  </w:r>
                </w:p>
              </w:tc>
              <w:tc>
                <w:tcPr>
                  <w:tcW w:w="1603" w:type="pct"/>
                  <w:tcBorders>
                    <w:top w:val="single" w:color="auto" w:sz="12" w:space="0"/>
                  </w:tcBorders>
                  <w:vAlign w:val="center"/>
                </w:tcPr>
                <w:p>
                  <w:pPr>
                    <w:pStyle w:val="53"/>
                  </w:pPr>
                  <w:r>
                    <w:t>防治分区</w:t>
                  </w:r>
                </w:p>
              </w:tc>
              <w:tc>
                <w:tcPr>
                  <w:tcW w:w="2252" w:type="pct"/>
                  <w:tcBorders>
                    <w:top w:val="single" w:color="auto" w:sz="12" w:space="0"/>
                  </w:tcBorders>
                  <w:vAlign w:val="center"/>
                </w:tcPr>
                <w:p>
                  <w:pPr>
                    <w:pStyle w:val="53"/>
                  </w:pPr>
                  <w:r>
                    <w:t>装置或者构筑物名称</w:t>
                  </w:r>
                </w:p>
              </w:tc>
              <w:tc>
                <w:tcPr>
                  <w:tcW w:w="711" w:type="pct"/>
                  <w:tcBorders>
                    <w:top w:val="single" w:color="auto" w:sz="12" w:space="0"/>
                  </w:tcBorders>
                  <w:vAlign w:val="center"/>
                </w:tcPr>
                <w:p>
                  <w:pPr>
                    <w:pStyle w:val="53"/>
                  </w:pPr>
                  <w:r>
                    <w:t>防渗区域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3" w:type="pct"/>
                  <w:vAlign w:val="center"/>
                </w:tcPr>
                <w:p>
                  <w:pPr>
                    <w:pStyle w:val="53"/>
                  </w:pPr>
                  <w:r>
                    <w:t>1</w:t>
                  </w:r>
                </w:p>
              </w:tc>
              <w:tc>
                <w:tcPr>
                  <w:tcW w:w="1603" w:type="pct"/>
                  <w:vAlign w:val="center"/>
                </w:tcPr>
                <w:p>
                  <w:pPr>
                    <w:pStyle w:val="53"/>
                  </w:pPr>
                  <w:r>
                    <w:t>重点污染</w:t>
                  </w:r>
                  <w:r>
                    <w:rPr>
                      <w:rFonts w:hint="eastAsia"/>
                    </w:rPr>
                    <w:t>防</w:t>
                  </w:r>
                  <w:r>
                    <w:t>治区</w:t>
                  </w:r>
                </w:p>
              </w:tc>
              <w:tc>
                <w:tcPr>
                  <w:tcW w:w="2252" w:type="pct"/>
                  <w:vAlign w:val="center"/>
                </w:tcPr>
                <w:p>
                  <w:pPr>
                    <w:pStyle w:val="53"/>
                  </w:pPr>
                  <w:r>
                    <w:rPr>
                      <w:rFonts w:hint="eastAsia"/>
                    </w:rPr>
                    <w:t>危废贮存库</w:t>
                  </w:r>
                </w:p>
              </w:tc>
              <w:tc>
                <w:tcPr>
                  <w:tcW w:w="711" w:type="pct"/>
                  <w:vAlign w:val="center"/>
                </w:tcPr>
                <w:p>
                  <w:pPr>
                    <w:pStyle w:val="53"/>
                  </w:pPr>
                  <w:r>
                    <w:rPr>
                      <w:rFonts w:hint="eastAsia"/>
                      <w:color w:val="auto"/>
                    </w:rPr>
                    <w:t>车间</w:t>
                  </w:r>
                  <w:r>
                    <w:rPr>
                      <w:color w:val="auto"/>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433" w:type="pct"/>
                  <w:vAlign w:val="center"/>
                </w:tcPr>
                <w:p>
                  <w:pPr>
                    <w:pStyle w:val="53"/>
                  </w:pPr>
                  <w:r>
                    <w:rPr>
                      <w:rFonts w:hint="eastAsia"/>
                    </w:rPr>
                    <w:t>2</w:t>
                  </w:r>
                </w:p>
              </w:tc>
              <w:tc>
                <w:tcPr>
                  <w:tcW w:w="1603" w:type="pct"/>
                  <w:vAlign w:val="center"/>
                </w:tcPr>
                <w:p>
                  <w:pPr>
                    <w:pStyle w:val="53"/>
                  </w:pPr>
                  <w:r>
                    <w:t>一般污染防治区</w:t>
                  </w:r>
                </w:p>
              </w:tc>
              <w:tc>
                <w:tcPr>
                  <w:tcW w:w="2252" w:type="pct"/>
                  <w:vAlign w:val="center"/>
                </w:tcPr>
                <w:p>
                  <w:pPr>
                    <w:pStyle w:val="53"/>
                  </w:pPr>
                  <w:r>
                    <w:t>一般工业固废</w:t>
                  </w:r>
                  <w:r>
                    <w:rPr>
                      <w:rFonts w:hint="eastAsia"/>
                    </w:rPr>
                    <w:t>贮存库</w:t>
                  </w:r>
                  <w:r>
                    <w:t>、项目生产车间</w:t>
                  </w:r>
                </w:p>
              </w:tc>
              <w:tc>
                <w:tcPr>
                  <w:tcW w:w="711" w:type="pct"/>
                  <w:vAlign w:val="center"/>
                </w:tcPr>
                <w:p>
                  <w:pPr>
                    <w:pStyle w:val="53"/>
                  </w:pPr>
                  <w:r>
                    <w:rPr>
                      <w:rFonts w:hint="eastAsia"/>
                      <w:color w:val="auto"/>
                    </w:rPr>
                    <w:t>车间</w:t>
                  </w:r>
                  <w:r>
                    <w:rPr>
                      <w:color w:val="auto"/>
                    </w:rPr>
                    <w:t>地面</w:t>
                  </w:r>
                </w:p>
              </w:tc>
            </w:tr>
          </w:tbl>
          <w:p>
            <w:pPr>
              <w:rPr>
                <w:color w:val="000000"/>
              </w:rPr>
            </w:pPr>
            <w:r>
              <w:rPr>
                <w:color w:val="000000"/>
              </w:rPr>
              <w:t>②防渗要求</w:t>
            </w:r>
          </w:p>
          <w:p>
            <w:pPr>
              <w:rPr>
                <w:color w:val="000000"/>
              </w:rPr>
            </w:pPr>
            <w:r>
              <w:rPr>
                <w:color w:val="000000"/>
              </w:rPr>
              <w:t>重点污染区防渗要求：</w:t>
            </w:r>
            <w:r>
              <w:rPr>
                <w:bCs/>
                <w:color w:val="000000"/>
              </w:rPr>
              <w:t>根据《环境影响评价技术导则地下水环境》</w:t>
            </w:r>
            <w:r>
              <w:rPr>
                <w:rFonts w:hint="eastAsia"/>
                <w:bCs/>
                <w:color w:val="000000"/>
              </w:rPr>
              <w:t>（</w:t>
            </w:r>
            <w:r>
              <w:rPr>
                <w:bCs/>
                <w:color w:val="000000"/>
              </w:rPr>
              <w:t>HJ610-2016</w:t>
            </w:r>
            <w:r>
              <w:rPr>
                <w:rFonts w:hint="eastAsia"/>
                <w:bCs/>
                <w:color w:val="000000"/>
              </w:rPr>
              <w:t>）</w:t>
            </w:r>
            <w:r>
              <w:rPr>
                <w:bCs/>
                <w:color w:val="000000"/>
              </w:rPr>
              <w:t>的要求，重点防渗区的防渗性能应等效黏土防渗层≥6.0m，渗透系数≤1.0×10</w:t>
            </w:r>
            <w:r>
              <w:rPr>
                <w:bCs/>
                <w:color w:val="000000"/>
                <w:vertAlign w:val="superscript"/>
              </w:rPr>
              <w:t>-7</w:t>
            </w:r>
            <w:r>
              <w:rPr>
                <w:bCs/>
                <w:color w:val="000000"/>
              </w:rPr>
              <w:t>cm/s。危险废物暂存场重点防渗区应按照《危险废物污染防治技术政策》及《危险废物贮存污染控制标准》</w:t>
            </w:r>
            <w:r>
              <w:rPr>
                <w:rFonts w:hint="eastAsia"/>
                <w:bCs/>
                <w:color w:val="000000"/>
              </w:rPr>
              <w:t>（</w:t>
            </w:r>
            <w:r>
              <w:rPr>
                <w:bCs/>
                <w:color w:val="000000"/>
              </w:rPr>
              <w:t>GB18597-20</w:t>
            </w:r>
            <w:r>
              <w:rPr>
                <w:rFonts w:hint="eastAsia"/>
                <w:bCs/>
                <w:color w:val="000000"/>
              </w:rPr>
              <w:t>23）</w:t>
            </w:r>
            <w:r>
              <w:rPr>
                <w:bCs/>
                <w:color w:val="000000"/>
              </w:rPr>
              <w:t>等危险废物处理的相关标准、法律法规的要求；一般污染区防渗要求：根据《环境影响评价技术导则地下水环境》</w:t>
            </w:r>
            <w:r>
              <w:rPr>
                <w:rFonts w:hint="eastAsia"/>
                <w:bCs/>
                <w:color w:val="000000"/>
              </w:rPr>
              <w:t>（</w:t>
            </w:r>
            <w:r>
              <w:rPr>
                <w:bCs/>
                <w:color w:val="000000"/>
              </w:rPr>
              <w:t>HJ610-2016</w:t>
            </w:r>
            <w:r>
              <w:rPr>
                <w:rFonts w:hint="eastAsia"/>
                <w:bCs/>
                <w:color w:val="000000"/>
              </w:rPr>
              <w:t>）</w:t>
            </w:r>
            <w:r>
              <w:rPr>
                <w:bCs/>
                <w:color w:val="000000"/>
              </w:rPr>
              <w:t>，一般防渗区的防渗性能等效黏土防渗层≥1.5m，渗透系数≤1.0×10</w:t>
            </w:r>
            <w:r>
              <w:rPr>
                <w:bCs/>
                <w:color w:val="000000"/>
                <w:vertAlign w:val="superscript"/>
              </w:rPr>
              <w:t>-7</w:t>
            </w:r>
            <w:r>
              <w:rPr>
                <w:bCs/>
                <w:color w:val="000000"/>
              </w:rPr>
              <w:t>cm/s。一般工业固体废物暂存场一般防渗区应按照《一般工业固体废物贮存处置场污染控制标准》</w:t>
            </w:r>
            <w:r>
              <w:rPr>
                <w:rFonts w:hint="eastAsia"/>
                <w:bCs/>
                <w:color w:val="000000"/>
              </w:rPr>
              <w:t>（GB18599-2020）</w:t>
            </w:r>
            <w:r>
              <w:rPr>
                <w:bCs/>
                <w:color w:val="000000"/>
              </w:rPr>
              <w:t xml:space="preserve"> Ⅱ类场进行设计</w:t>
            </w:r>
            <w:r>
              <w:rPr>
                <w:rFonts w:hint="eastAsia"/>
                <w:bCs/>
                <w:color w:val="000000"/>
              </w:rPr>
              <w:t>，</w:t>
            </w:r>
            <w:r>
              <w:rPr>
                <w:bCs/>
                <w:color w:val="000000"/>
              </w:rPr>
              <w:t>且具有防雨、防渗、防风、防日晒的功能。</w:t>
            </w:r>
          </w:p>
          <w:p>
            <w:pPr>
              <w:rPr>
                <w:color w:val="000000"/>
              </w:rPr>
            </w:pPr>
            <w:r>
              <w:rPr>
                <w:rFonts w:hint="eastAsia"/>
                <w:color w:val="000000"/>
              </w:rPr>
              <w:t>（2）</w:t>
            </w:r>
            <w:r>
              <w:rPr>
                <w:color w:val="000000"/>
              </w:rPr>
              <w:t>监控措施</w:t>
            </w:r>
          </w:p>
          <w:p>
            <w:pPr>
              <w:adjustRightInd w:val="0"/>
              <w:snapToGrid w:val="0"/>
              <w:rPr>
                <w:bCs/>
                <w:color w:val="000000"/>
              </w:rPr>
            </w:pPr>
            <w:r>
              <w:rPr>
                <w:bCs/>
                <w:color w:val="000000"/>
              </w:rPr>
              <w:t>①项目危险废物暂存间四周建设导流沟装置，防止</w:t>
            </w:r>
            <w:r>
              <w:rPr>
                <w:rFonts w:hint="eastAsia"/>
                <w:bCs/>
                <w:color w:val="000000"/>
              </w:rPr>
              <w:t>危险废物</w:t>
            </w:r>
            <w:r>
              <w:rPr>
                <w:bCs/>
                <w:color w:val="000000"/>
              </w:rPr>
              <w:t>泄漏时四处扩散，并可及时移除或者清理污染源；</w:t>
            </w:r>
          </w:p>
          <w:p>
            <w:pPr>
              <w:adjustRightInd w:val="0"/>
              <w:snapToGrid w:val="0"/>
              <w:rPr>
                <w:bCs/>
                <w:color w:val="000000"/>
              </w:rPr>
            </w:pPr>
            <w:r>
              <w:rPr>
                <w:bCs/>
                <w:color w:val="000000"/>
              </w:rPr>
              <w:t>②建立健全环境管理和监测制度，保证各环保设施正常运转，同时强化风险防范意识，如遇环保设施不能正常运转，应立即停产检修；</w:t>
            </w:r>
          </w:p>
          <w:p>
            <w:pPr>
              <w:adjustRightInd w:val="0"/>
              <w:snapToGrid w:val="0"/>
              <w:rPr>
                <w:bCs/>
                <w:color w:val="000000"/>
              </w:rPr>
            </w:pPr>
            <w:r>
              <w:rPr>
                <w:bCs/>
                <w:color w:val="000000"/>
              </w:rPr>
              <w:t>③若发生危险废物泄漏等，必要时委托有资质的单位对厂址周边地下水、土壤等进行跟踪监测，掌握厂址周边污染变化趋势。</w:t>
            </w:r>
          </w:p>
          <w:p>
            <w:pPr>
              <w:adjustRightInd w:val="0"/>
              <w:snapToGrid w:val="0"/>
              <w:rPr>
                <w:bCs/>
                <w:color w:val="000000"/>
              </w:rPr>
            </w:pPr>
            <w:r>
              <w:rPr>
                <w:bCs/>
                <w:color w:val="000000"/>
              </w:rPr>
              <w:t>④在今后的生产活动中，做好设备的维护、检修，杜绝跑、冒、滴、漏现象。同时，加强污染物产生主要环节的收集治理，加强厂区的安全防护、环境风险防范措施，以便及时发现事故隐患，及时采取有效的应对措施。</w:t>
            </w:r>
          </w:p>
          <w:p>
            <w:pPr>
              <w:rPr>
                <w:color w:val="000000"/>
              </w:rPr>
            </w:pPr>
            <w:r>
              <w:rPr>
                <w:bCs/>
                <w:color w:val="000000"/>
              </w:rPr>
              <w:t>⑤项目生产经营用地的用途变更或者在其土地使用权收回、转让前，应当由土地使用权人按照规定进行土壤污染状况调查</w:t>
            </w:r>
            <w:r>
              <w:rPr>
                <w:color w:val="000000"/>
              </w:rPr>
              <w:t>。</w:t>
            </w:r>
          </w:p>
          <w:p>
            <w:pPr>
              <w:pStyle w:val="5"/>
              <w:spacing w:before="120"/>
            </w:pPr>
            <w:r>
              <w:t>跟踪监测要求</w:t>
            </w:r>
          </w:p>
          <w:p>
            <w:r>
              <w:t>本项目选址于</w:t>
            </w:r>
            <w:r>
              <w:rPr>
                <w:rFonts w:hint="eastAsia"/>
                <w:lang w:eastAsia="zh-CN"/>
              </w:rPr>
              <w:t>福建省福州市马尾区亭江镇亭江路66号福州（马尾）万洋众创（三期）B22#楼1层02厂房</w:t>
            </w:r>
            <w:r>
              <w:t>，周边以工业企业为主，项目周边地下水、土壤环境相对不敏感，采取有效的防渗措施后，项目对地下水、土壤环境影响很小，本评价不对项目地下水、土壤环境进行跟踪监测。</w:t>
            </w:r>
          </w:p>
          <w:p>
            <w:pPr>
              <w:pStyle w:val="4"/>
            </w:pPr>
            <w:r>
              <w:rPr>
                <w:rFonts w:hint="eastAsia"/>
              </w:rPr>
              <w:t>环境风险影响和保护措施</w:t>
            </w:r>
          </w:p>
          <w:p>
            <w:pPr>
              <w:pStyle w:val="5"/>
              <w:spacing w:before="120"/>
            </w:pPr>
            <w:bookmarkStart w:id="79" w:name="_Toc20048"/>
            <w:bookmarkStart w:id="80" w:name="_Toc17437"/>
            <w:bookmarkStart w:id="81" w:name="_Toc4526"/>
            <w:r>
              <w:t>环境风险简述</w:t>
            </w:r>
          </w:p>
          <w:p>
            <w:pPr>
              <w:pStyle w:val="18"/>
              <w:spacing w:before="0" w:after="0" w:line="360" w:lineRule="auto"/>
              <w:ind w:right="0"/>
              <w:rPr>
                <w:bCs/>
                <w:color w:val="000000"/>
                <w:kern w:val="2"/>
                <w:sz w:val="24"/>
                <w:szCs w:val="24"/>
              </w:rPr>
            </w:pPr>
            <w:r>
              <w:rPr>
                <w:color w:val="000000"/>
                <w:kern w:val="2"/>
                <w:sz w:val="24"/>
                <w:szCs w:val="24"/>
              </w:rPr>
              <w:t>根据《建设项目环境风险评价技术导则》</w:t>
            </w:r>
            <w:r>
              <w:rPr>
                <w:rFonts w:hint="eastAsia"/>
                <w:color w:val="000000"/>
                <w:kern w:val="2"/>
                <w:sz w:val="24"/>
                <w:szCs w:val="24"/>
              </w:rPr>
              <w:t>（</w:t>
            </w:r>
            <w:r>
              <w:rPr>
                <w:color w:val="000000"/>
                <w:kern w:val="2"/>
                <w:sz w:val="24"/>
                <w:szCs w:val="24"/>
              </w:rPr>
              <w:t>HJ 169-2018</w:t>
            </w:r>
            <w:r>
              <w:rPr>
                <w:rFonts w:hint="eastAsia"/>
                <w:color w:val="000000"/>
                <w:kern w:val="2"/>
                <w:sz w:val="24"/>
                <w:szCs w:val="24"/>
              </w:rPr>
              <w:t>）</w:t>
            </w:r>
            <w:r>
              <w:rPr>
                <w:color w:val="000000"/>
                <w:kern w:val="2"/>
                <w:sz w:val="24"/>
                <w:szCs w:val="24"/>
              </w:rPr>
              <w:t>以及《关于进一步加强环境影响评价管理防范环境风险的通知》</w:t>
            </w:r>
            <w:r>
              <w:rPr>
                <w:rFonts w:hint="eastAsia"/>
                <w:color w:val="000000"/>
                <w:kern w:val="2"/>
                <w:sz w:val="24"/>
                <w:szCs w:val="24"/>
              </w:rPr>
              <w:t>（</w:t>
            </w:r>
            <w:r>
              <w:rPr>
                <w:color w:val="000000"/>
                <w:kern w:val="2"/>
                <w:sz w:val="24"/>
                <w:szCs w:val="24"/>
              </w:rPr>
              <w:t>环发[2012]77号</w:t>
            </w:r>
            <w:r>
              <w:rPr>
                <w:rFonts w:hint="eastAsia"/>
                <w:color w:val="000000"/>
                <w:kern w:val="2"/>
                <w:sz w:val="24"/>
                <w:szCs w:val="24"/>
              </w:rPr>
              <w:t>）</w:t>
            </w:r>
            <w:r>
              <w:rPr>
                <w:color w:val="000000"/>
                <w:kern w:val="2"/>
                <w:sz w:val="24"/>
                <w:szCs w:val="24"/>
              </w:rPr>
              <w:t>，环境风险评价应</w:t>
            </w:r>
            <w:r>
              <w:rPr>
                <w:bCs/>
                <w:color w:val="000000"/>
                <w:kern w:val="2"/>
                <w:sz w:val="24"/>
                <w:szCs w:val="24"/>
              </w:rPr>
              <w:t>以突发性事故导致的危险物质环境急性损害防控为目标，对建设项目的环境风险进行分析、预测和评估，提出环境风险预防、控制、减缓措施</w:t>
            </w:r>
            <w:r>
              <w:rPr>
                <w:rFonts w:hint="eastAsia"/>
                <w:bCs/>
                <w:color w:val="000000"/>
                <w:kern w:val="2"/>
                <w:sz w:val="24"/>
                <w:szCs w:val="24"/>
              </w:rPr>
              <w:t>。</w:t>
            </w:r>
          </w:p>
          <w:p>
            <w:pPr>
              <w:pStyle w:val="5"/>
              <w:spacing w:before="120"/>
            </w:pPr>
            <w:r>
              <w:t>项目</w:t>
            </w:r>
            <w:r>
              <w:rPr>
                <w:rFonts w:hint="eastAsia"/>
              </w:rPr>
              <w:t>风险</w:t>
            </w:r>
            <w:r>
              <w:t>物质调查</w:t>
            </w:r>
          </w:p>
          <w:p>
            <w:pPr>
              <w:pStyle w:val="179"/>
              <w:ind w:firstLine="480"/>
            </w:pPr>
            <w:r>
              <w:t>根据《建设项目环境风险评价技术导则》（HJ169-2018），本项目风险物质主要为</w:t>
            </w:r>
            <w:r>
              <w:rPr>
                <w:rFonts w:hint="eastAsia"/>
                <w:bCs/>
                <w:color w:val="000000"/>
              </w:rPr>
              <w:t>废矿物油</w:t>
            </w:r>
            <w:r>
              <w:t>。</w:t>
            </w:r>
            <w:r>
              <w:rPr>
                <w:lang w:val="zh-CN"/>
              </w:rPr>
              <w:t>根据</w:t>
            </w:r>
            <w:r>
              <w:t>《建设项目环境风险评价技术导则》（HJ169-2018）附录C，计算所涉及的每种危险物质在厂界内的最大存在总量与其在《建设项目环境风险评价技术导则》（HJ169-2018）附录B中对应临界量的比值Q。在不同厂区的同一种物质，按其在厂界内的最大存在总量计算。当企业只涉及一种风险物质时，该物质的数量与其临界量的比值，即为Q。当企业存在多种化学物质时，则按下式计算物质总量与其临界量比值（Q）：</w:t>
            </w:r>
          </w:p>
          <w:p>
            <w:pPr>
              <w:jc w:val="center"/>
            </w:pPr>
            <w:r>
              <w:drawing>
                <wp:inline distT="0" distB="0" distL="114300" distR="114300">
                  <wp:extent cx="1903730" cy="464185"/>
                  <wp:effectExtent l="0" t="0" r="1270" b="12065"/>
                  <wp:docPr id="71" name="图片 1" descr="C:\Users\admin\AppData\Roaming\Tencent\Users\506048567\QQ\WinTemp\RichOle\`_O{@QX45~6E2EU4~BK~(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C:\Users\admin\AppData\Roaming\Tencent\Users\506048567\QQ\WinTemp\RichOle\`_O{@QX45~6E2EU4~BK~(ZR.png"/>
                          <pic:cNvPicPr>
                            <a:picLocks noChangeAspect="1"/>
                          </pic:cNvPicPr>
                        </pic:nvPicPr>
                        <pic:blipFill>
                          <a:blip r:embed="rId41" cstate="print"/>
                          <a:stretch>
                            <a:fillRect/>
                          </a:stretch>
                        </pic:blipFill>
                        <pic:spPr>
                          <a:xfrm>
                            <a:off x="0" y="0"/>
                            <a:ext cx="1903730" cy="464185"/>
                          </a:xfrm>
                          <a:prstGeom prst="rect">
                            <a:avLst/>
                          </a:prstGeom>
                          <a:noFill/>
                          <a:ln>
                            <a:noFill/>
                          </a:ln>
                        </pic:spPr>
                      </pic:pic>
                    </a:graphicData>
                  </a:graphic>
                </wp:inline>
              </w:drawing>
            </w:r>
          </w:p>
          <w:p>
            <w:r>
              <w:t>式中：q</w:t>
            </w:r>
            <w:r>
              <w:rPr>
                <w:vertAlign w:val="subscript"/>
              </w:rPr>
              <w:t>1</w:t>
            </w:r>
            <w:r>
              <w:t>，q</w:t>
            </w:r>
            <w:r>
              <w:rPr>
                <w:vertAlign w:val="subscript"/>
              </w:rPr>
              <w:t>2</w:t>
            </w:r>
            <w:r>
              <w:t>，...，qn——每种风险物质的存在量，t；</w:t>
            </w:r>
          </w:p>
          <w:p>
            <w:r>
              <w:t>Q</w:t>
            </w:r>
            <w:r>
              <w:rPr>
                <w:vertAlign w:val="subscript"/>
              </w:rPr>
              <w:t>1</w:t>
            </w:r>
            <w:r>
              <w:t>，Q</w:t>
            </w:r>
            <w:r>
              <w:rPr>
                <w:vertAlign w:val="subscript"/>
              </w:rPr>
              <w:t>2</w:t>
            </w:r>
            <w:r>
              <w:t>，...，Qn——每种风险物质的临界量，t。</w:t>
            </w:r>
          </w:p>
          <w:p>
            <w:r>
              <w:t>当Q＜1时，该项目环境风险潜势为</w:t>
            </w:r>
            <w:r>
              <w:fldChar w:fldCharType="begin"/>
            </w:r>
            <w:r>
              <w:instrText xml:space="preserve"> = 1 \* ROMAN </w:instrText>
            </w:r>
            <w:r>
              <w:fldChar w:fldCharType="separate"/>
            </w:r>
            <w:r>
              <w:t>I</w:t>
            </w:r>
            <w:r>
              <w:fldChar w:fldCharType="end"/>
            </w:r>
            <w:r>
              <w:t>。</w:t>
            </w:r>
          </w:p>
          <w:p>
            <w:r>
              <w:t>当Q≥1时，将Q值划分为：（1）1≤Q＜10；（2）10≤Q＜100；（3）Q≥100。</w:t>
            </w:r>
          </w:p>
          <w:p>
            <w:pPr>
              <w:pBdr>
                <w:top w:val="none" w:color="auto" w:sz="0" w:space="1"/>
                <w:left w:val="none" w:color="auto" w:sz="0" w:space="4"/>
                <w:bottom w:val="none" w:color="auto" w:sz="0" w:space="1"/>
                <w:right w:val="none" w:color="auto" w:sz="0" w:space="4"/>
              </w:pBdr>
            </w:pPr>
            <w:r>
              <w:rPr>
                <w:lang w:val="zh-CN"/>
              </w:rPr>
              <w:t>本项目涉及的危险物质情况及临界量比值详见表</w:t>
            </w:r>
            <w:r>
              <w:t>4.</w:t>
            </w:r>
            <w:r>
              <w:rPr>
                <w:rFonts w:hint="eastAsia"/>
              </w:rPr>
              <w:t>6</w:t>
            </w:r>
            <w:r>
              <w:t>-1</w:t>
            </w:r>
            <w:r>
              <w:rPr>
                <w:lang w:val="zh-CN"/>
              </w:rPr>
              <w:t>。</w:t>
            </w:r>
          </w:p>
          <w:p>
            <w:pPr>
              <w:pStyle w:val="180"/>
              <w:spacing w:line="360" w:lineRule="auto"/>
              <w:rPr>
                <w:rFonts w:ascii="Times New Roman" w:hAnsi="Times New Roman" w:cs="Times New Roman"/>
                <w:color w:val="auto"/>
                <w:szCs w:val="24"/>
              </w:rPr>
            </w:pPr>
            <w:r>
              <w:rPr>
                <w:rFonts w:ascii="Times New Roman" w:hAnsi="Times New Roman" w:cs="Times New Roman"/>
                <w:color w:val="auto"/>
                <w:szCs w:val="24"/>
              </w:rPr>
              <w:t>表4.</w:t>
            </w:r>
            <w:r>
              <w:rPr>
                <w:rFonts w:ascii="Times New Roman" w:hAnsi="Times New Roman" w:cs="Times New Roman"/>
                <w:color w:val="auto"/>
                <w:szCs w:val="24"/>
                <w:lang w:val="en-US" w:eastAsia="zh-CN"/>
              </w:rPr>
              <w:t>6</w:t>
            </w:r>
            <w:r>
              <w:rPr>
                <w:rFonts w:ascii="Times New Roman" w:hAnsi="Times New Roman" w:cs="Times New Roman"/>
                <w:color w:val="auto"/>
                <w:szCs w:val="24"/>
              </w:rPr>
              <w:t>-</w:t>
            </w:r>
            <w:r>
              <w:rPr>
                <w:rFonts w:ascii="Times New Roman" w:hAnsi="Times New Roman" w:cs="Times New Roman"/>
                <w:color w:val="auto"/>
                <w:szCs w:val="24"/>
                <w:lang w:val="en-US" w:eastAsia="zh-CN"/>
              </w:rPr>
              <w:t>1</w:t>
            </w:r>
            <w:r>
              <w:rPr>
                <w:rFonts w:ascii="Times New Roman" w:hAnsi="Times New Roman" w:cs="Times New Roman"/>
                <w:color w:val="auto"/>
                <w:szCs w:val="24"/>
              </w:rPr>
              <w:t xml:space="preserve">  项目危险物质情况及临界量比值</w:t>
            </w:r>
          </w:p>
          <w:tbl>
            <w:tblPr>
              <w:tblStyle w:val="3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09"/>
              <w:gridCol w:w="1370"/>
              <w:gridCol w:w="2395"/>
              <w:gridCol w:w="1555"/>
              <w:gridCol w:w="1150"/>
              <w:gridCol w:w="9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552" w:type="pct"/>
                  <w:vAlign w:val="center"/>
                </w:tcPr>
                <w:p>
                  <w:pPr>
                    <w:pStyle w:val="53"/>
                  </w:pPr>
                  <w:r>
                    <w:t>危险单元</w:t>
                  </w:r>
                </w:p>
              </w:tc>
              <w:tc>
                <w:tcPr>
                  <w:tcW w:w="829" w:type="pct"/>
                  <w:vAlign w:val="center"/>
                </w:tcPr>
                <w:p>
                  <w:pPr>
                    <w:pStyle w:val="53"/>
                  </w:pPr>
                  <w:r>
                    <w:t>危险物质名称</w:t>
                  </w:r>
                </w:p>
              </w:tc>
              <w:tc>
                <w:tcPr>
                  <w:tcW w:w="1444" w:type="pct"/>
                  <w:vAlign w:val="center"/>
                </w:tcPr>
                <w:p>
                  <w:pPr>
                    <w:pStyle w:val="53"/>
                  </w:pPr>
                  <w:r>
                    <w:t>所含风险物质及CAS号</w:t>
                  </w:r>
                </w:p>
              </w:tc>
              <w:tc>
                <w:tcPr>
                  <w:tcW w:w="940" w:type="pct"/>
                  <w:vAlign w:val="center"/>
                </w:tcPr>
                <w:p>
                  <w:pPr>
                    <w:pStyle w:val="53"/>
                  </w:pPr>
                  <w:r>
                    <w:t>最大存在量qn/t</w:t>
                  </w:r>
                </w:p>
              </w:tc>
              <w:tc>
                <w:tcPr>
                  <w:tcW w:w="696" w:type="pct"/>
                  <w:vAlign w:val="center"/>
                </w:tcPr>
                <w:p>
                  <w:pPr>
                    <w:pStyle w:val="53"/>
                  </w:pPr>
                  <w:r>
                    <w:t>临界量Qn/t</w:t>
                  </w:r>
                </w:p>
              </w:tc>
              <w:tc>
                <w:tcPr>
                  <w:tcW w:w="537" w:type="pct"/>
                  <w:vAlign w:val="center"/>
                </w:tcPr>
                <w:p>
                  <w:pPr>
                    <w:pStyle w:val="53"/>
                  </w:pPr>
                  <w:r>
                    <w:t>Q</w:t>
                  </w:r>
                  <w:r>
                    <w:rPr>
                      <w:rFonts w:hint="eastAsia"/>
                    </w:rPr>
                    <w:t>（</w:t>
                  </w:r>
                  <w:r>
                    <w:t>qn/Qn</w:t>
                  </w: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552" w:type="pct"/>
                  <w:vAlign w:val="center"/>
                </w:tcPr>
                <w:p>
                  <w:pPr>
                    <w:pStyle w:val="53"/>
                  </w:pPr>
                  <w:r>
                    <w:t>危废间</w:t>
                  </w:r>
                </w:p>
              </w:tc>
              <w:tc>
                <w:tcPr>
                  <w:tcW w:w="829" w:type="pct"/>
                  <w:vAlign w:val="center"/>
                </w:tcPr>
                <w:p>
                  <w:pPr>
                    <w:pStyle w:val="53"/>
                  </w:pPr>
                  <w:r>
                    <w:t>废矿物油</w:t>
                  </w:r>
                </w:p>
              </w:tc>
              <w:tc>
                <w:tcPr>
                  <w:tcW w:w="1444" w:type="pct"/>
                  <w:vAlign w:val="center"/>
                </w:tcPr>
                <w:p>
                  <w:pPr>
                    <w:pStyle w:val="53"/>
                  </w:pPr>
                  <w:r>
                    <w:t>油类物质（CAS号：/）</w:t>
                  </w:r>
                </w:p>
              </w:tc>
              <w:tc>
                <w:tcPr>
                  <w:tcW w:w="940" w:type="pct"/>
                  <w:vAlign w:val="center"/>
                </w:tcPr>
                <w:p>
                  <w:pPr>
                    <w:pStyle w:val="53"/>
                  </w:pPr>
                  <w:r>
                    <w:rPr>
                      <w:rFonts w:hint="eastAsia"/>
                    </w:rPr>
                    <w:t>0.1</w:t>
                  </w:r>
                </w:p>
              </w:tc>
              <w:tc>
                <w:tcPr>
                  <w:tcW w:w="696" w:type="pct"/>
                  <w:vAlign w:val="center"/>
                </w:tcPr>
                <w:p>
                  <w:pPr>
                    <w:pStyle w:val="53"/>
                  </w:pPr>
                  <w:r>
                    <w:t>2500</w:t>
                  </w:r>
                </w:p>
              </w:tc>
              <w:tc>
                <w:tcPr>
                  <w:tcW w:w="537" w:type="pct"/>
                  <w:vAlign w:val="center"/>
                </w:tcPr>
                <w:p>
                  <w:pPr>
                    <w:pStyle w:val="53"/>
                  </w:pPr>
                  <w:r>
                    <w:rPr>
                      <w:rFonts w:hint="eastAsia"/>
                    </w:rPr>
                    <w:t>0.00004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4462" w:type="pct"/>
                  <w:gridSpan w:val="5"/>
                  <w:vAlign w:val="center"/>
                </w:tcPr>
                <w:p>
                  <w:pPr>
                    <w:pStyle w:val="53"/>
                  </w:pPr>
                  <w:r>
                    <w:t>合计</w:t>
                  </w:r>
                </w:p>
              </w:tc>
              <w:tc>
                <w:tcPr>
                  <w:tcW w:w="537" w:type="pct"/>
                  <w:vAlign w:val="center"/>
                </w:tcPr>
                <w:p>
                  <w:pPr>
                    <w:pStyle w:val="53"/>
                  </w:pPr>
                  <w:r>
                    <w:rPr>
                      <w:rFonts w:hint="eastAsia"/>
                    </w:rPr>
                    <w:t>0.00004</w:t>
                  </w:r>
                </w:p>
              </w:tc>
            </w:tr>
          </w:tbl>
          <w:p>
            <w:pPr>
              <w:pStyle w:val="179"/>
              <w:ind w:firstLine="480"/>
            </w:pPr>
            <w:r>
              <w:rPr>
                <w:bCs/>
              </w:rPr>
              <w:t>因该项目危险物质数量与临界量比值</w:t>
            </w:r>
            <w:r>
              <w:rPr>
                <w:rFonts w:hint="eastAsia"/>
                <w:bCs/>
              </w:rPr>
              <w:t>（</w:t>
            </w:r>
            <w:r>
              <w:rPr>
                <w:bCs/>
              </w:rPr>
              <w:t>Q</w:t>
            </w:r>
            <w:r>
              <w:rPr>
                <w:rFonts w:hint="eastAsia"/>
                <w:bCs/>
              </w:rPr>
              <w:t>）0.00004</w:t>
            </w:r>
            <w:r>
              <w:rPr>
                <w:bCs/>
              </w:rPr>
              <w:t>&lt;1，故本项目综合环境风险潜势等级为Ⅰ，只需对本项目风险进行简单分析</w:t>
            </w:r>
            <w:r>
              <w:rPr>
                <w:rFonts w:hint="eastAsia"/>
              </w:rPr>
              <w:t>。</w:t>
            </w:r>
          </w:p>
          <w:p>
            <w:pPr>
              <w:pStyle w:val="5"/>
              <w:spacing w:before="120"/>
            </w:pPr>
            <w:r>
              <w:rPr>
                <w:rFonts w:hint="eastAsia"/>
              </w:rPr>
              <w:t>环境风险分析</w:t>
            </w:r>
          </w:p>
          <w:p>
            <w:pPr>
              <w:pStyle w:val="153"/>
              <w:ind w:firstLine="482" w:firstLineChars="0"/>
              <w:rPr>
                <w:rFonts w:cs="宋体"/>
                <w:b w:val="0"/>
                <w:color w:val="000000"/>
              </w:rPr>
            </w:pPr>
            <w:r>
              <w:rPr>
                <w:rFonts w:cs="宋体"/>
                <w:b w:val="0"/>
                <w:bCs/>
                <w:color w:val="000000"/>
              </w:rPr>
              <w:t>火</w:t>
            </w:r>
            <w:r>
              <w:rPr>
                <w:rFonts w:cs="宋体"/>
                <w:b w:val="0"/>
                <w:color w:val="000000"/>
              </w:rPr>
              <w:t>灾、爆炸后果分析</w:t>
            </w:r>
          </w:p>
          <w:p>
            <w:pPr>
              <w:rPr>
                <w:rFonts w:cs="宋体"/>
                <w:color w:val="000000"/>
              </w:rPr>
            </w:pPr>
            <w:r>
              <w:rPr>
                <w:rFonts w:hint="eastAsia" w:cs="宋体"/>
                <w:color w:val="000000"/>
              </w:rPr>
              <w:t>一旦发生火灾、爆炸事故，对生产区域、现场工作人员和过往车辆将产生较为严重的损害。通过类比分析，发生火灾爆炸后，其影响范围相对主要集中在厂内，也可能会危害周围的居民，应制定紧急预案，保证危害半径内的居民、重要设施得到迅速救助、撤离或保护。</w:t>
            </w:r>
          </w:p>
          <w:p>
            <w:pPr>
              <w:pStyle w:val="153"/>
              <w:ind w:firstLine="482" w:firstLineChars="0"/>
              <w:rPr>
                <w:rFonts w:cs="宋体"/>
                <w:b w:val="0"/>
                <w:color w:val="000000"/>
              </w:rPr>
            </w:pPr>
            <w:r>
              <w:rPr>
                <w:rFonts w:hint="eastAsia" w:cs="宋体"/>
                <w:b w:val="0"/>
                <w:color w:val="000000"/>
              </w:rPr>
              <w:t>火灾热辐射影响主要在厂区范围，而火灾燃烧过程中同时会伴生大量的烟尘、CO、SO</w:t>
            </w:r>
            <w:r>
              <w:rPr>
                <w:rFonts w:hint="eastAsia" w:cs="宋体"/>
                <w:b w:val="0"/>
                <w:color w:val="000000"/>
                <w:vertAlign w:val="subscript"/>
              </w:rPr>
              <w:t>2</w:t>
            </w:r>
            <w:r>
              <w:rPr>
                <w:rFonts w:hint="eastAsia" w:cs="宋体"/>
                <w:b w:val="0"/>
                <w:color w:val="000000"/>
              </w:rPr>
              <w:t>和NO</w:t>
            </w:r>
            <w:r>
              <w:rPr>
                <w:rFonts w:hint="eastAsia" w:cs="宋体"/>
                <w:b w:val="0"/>
                <w:color w:val="000000"/>
                <w:vertAlign w:val="subscript"/>
              </w:rPr>
              <w:t>2</w:t>
            </w:r>
            <w:r>
              <w:rPr>
                <w:rFonts w:hint="eastAsia" w:cs="宋体"/>
                <w:b w:val="0"/>
                <w:color w:val="000000"/>
              </w:rPr>
              <w:t>等污染物，将对周围大气环境产生影响。由于生产设备发生火灾和爆炸后，急剧燃烧所需的供氧量不足，属于典型的不完全燃烧，燃烧过程中产生的CO量很大。污染物影响范围较大，一般都到了几百米以外，尤其是有风的条件下，污染范围更广。</w:t>
            </w:r>
          </w:p>
          <w:p>
            <w:pPr>
              <w:pStyle w:val="153"/>
              <w:ind w:firstLine="482" w:firstLineChars="0"/>
              <w:rPr>
                <w:bCs/>
                <w:color w:val="000000"/>
                <w:kern w:val="0"/>
              </w:rPr>
            </w:pPr>
            <w:r>
              <w:rPr>
                <w:rFonts w:hint="eastAsia" w:cs="宋体"/>
                <w:b w:val="0"/>
                <w:color w:val="000000"/>
              </w:rPr>
              <w:t>故在发生着火事故的情况下可能出现大面积的严重污染。本厂区的平面设计符合《城镇燃气设计规范》（GB50028-2006）等设计规范中的相关规定，建设方还应该采取严密的防范措施，严防事故的发生，同时应该制定详尽的事故应急预案，确保一旦发生事故可以行之有效的办法进行处理。则项目发生火灾、爆炸的危害程度可得到控制。</w:t>
            </w:r>
          </w:p>
          <w:p>
            <w:pPr>
              <w:pStyle w:val="5"/>
              <w:spacing w:before="120"/>
            </w:pPr>
            <w:r>
              <w:t>环境风险防范措施和事故应急措施</w:t>
            </w:r>
          </w:p>
          <w:p>
            <w:pPr>
              <w:pStyle w:val="21"/>
              <w:adjustRightInd w:val="0"/>
              <w:snapToGrid w:val="0"/>
              <w:spacing w:after="0"/>
              <w:ind w:left="0" w:leftChars="0" w:firstLine="482"/>
              <w:rPr>
                <w:color w:val="000000"/>
                <w:spacing w:val="-1"/>
                <w:kern w:val="2"/>
                <w:szCs w:val="24"/>
              </w:rPr>
            </w:pPr>
            <w:bookmarkStart w:id="82" w:name="_Toc2696"/>
            <w:bookmarkStart w:id="83" w:name="_Toc16596"/>
            <w:bookmarkStart w:id="84" w:name="_Toc3418"/>
            <w:bookmarkStart w:id="85" w:name="_Toc22691"/>
            <w:r>
              <w:rPr>
                <w:rFonts w:hAnsi="宋体"/>
                <w:b/>
                <w:bCs/>
                <w:color w:val="000000"/>
                <w:szCs w:val="24"/>
              </w:rPr>
              <w:t>◆</w:t>
            </w:r>
            <w:r>
              <w:rPr>
                <w:rFonts w:hint="eastAsia"/>
                <w:b/>
                <w:color w:val="000000"/>
                <w:szCs w:val="24"/>
              </w:rPr>
              <w:t>环境</w:t>
            </w:r>
            <w:r>
              <w:rPr>
                <w:b/>
                <w:color w:val="000000"/>
                <w:szCs w:val="24"/>
              </w:rPr>
              <w:t>风险防范措施</w:t>
            </w:r>
          </w:p>
          <w:p>
            <w:pPr>
              <w:rPr>
                <w:rFonts w:cs="宋体"/>
                <w:color w:val="000000"/>
              </w:rPr>
            </w:pPr>
            <w:r>
              <w:rPr>
                <w:rFonts w:hint="eastAsia" w:cs="宋体"/>
                <w:color w:val="000000"/>
              </w:rPr>
              <w:t>（</w:t>
            </w:r>
            <w:r>
              <w:rPr>
                <w:rFonts w:cs="宋体"/>
                <w:color w:val="000000"/>
              </w:rPr>
              <w:t>1</w:t>
            </w:r>
            <w:r>
              <w:rPr>
                <w:rFonts w:hint="eastAsia" w:cs="宋体"/>
                <w:color w:val="000000"/>
              </w:rPr>
              <w:t>）</w:t>
            </w:r>
            <w:r>
              <w:rPr>
                <w:rFonts w:cs="宋体"/>
                <w:color w:val="000000"/>
              </w:rPr>
              <w:t>火灾事故风险防范措施</w:t>
            </w:r>
          </w:p>
          <w:p>
            <w:pPr>
              <w:rPr>
                <w:rFonts w:cs="宋体"/>
                <w:color w:val="000000"/>
              </w:rPr>
            </w:pPr>
            <w:r>
              <w:rPr>
                <w:rFonts w:cs="宋体"/>
                <w:color w:val="000000"/>
              </w:rPr>
              <w:t>①加强消防设施和灭火器材的配备，严格落实有关消防技术规范的规定，加强人员疏散设施管理，保证疏散通道畅通。</w:t>
            </w:r>
          </w:p>
          <w:p>
            <w:pPr>
              <w:rPr>
                <w:rFonts w:cs="宋体"/>
                <w:color w:val="000000"/>
              </w:rPr>
            </w:pPr>
            <w:r>
              <w:rPr>
                <w:rFonts w:cs="宋体"/>
                <w:color w:val="000000"/>
              </w:rPr>
              <w:t>②定期进行防火安全检查，确保消防设施完整好用。</w:t>
            </w:r>
          </w:p>
          <w:p>
            <w:pPr>
              <w:rPr>
                <w:rFonts w:cs="宋体"/>
                <w:color w:val="000000"/>
              </w:rPr>
            </w:pPr>
            <w:r>
              <w:rPr>
                <w:rFonts w:cs="宋体"/>
                <w:color w:val="000000"/>
              </w:rPr>
              <w:t>③公司要求职工应遵守各项规章制度，杜绝</w:t>
            </w:r>
            <w:r>
              <w:rPr>
                <w:rFonts w:hint="eastAsia" w:cs="宋体"/>
                <w:color w:val="000000"/>
              </w:rPr>
              <w:t>“</w:t>
            </w:r>
            <w:r>
              <w:rPr>
                <w:rFonts w:cs="宋体"/>
                <w:color w:val="000000"/>
              </w:rPr>
              <w:t>三违</w:t>
            </w:r>
            <w:r>
              <w:rPr>
                <w:rFonts w:hint="eastAsia" w:cs="宋体"/>
                <w:color w:val="000000"/>
              </w:rPr>
              <w:t>”（</w:t>
            </w:r>
            <w:r>
              <w:rPr>
                <w:rFonts w:cs="宋体"/>
                <w:color w:val="000000"/>
              </w:rPr>
              <w:t>违章作业、违章指挥、违反劳动纪律</w:t>
            </w:r>
            <w:r>
              <w:rPr>
                <w:rFonts w:hint="eastAsia" w:cs="宋体"/>
                <w:color w:val="000000"/>
              </w:rPr>
              <w:t>）</w:t>
            </w:r>
            <w:r>
              <w:rPr>
                <w:rFonts w:cs="宋体"/>
                <w:color w:val="000000"/>
              </w:rPr>
              <w:t>，作业时要遵守各项规定</w:t>
            </w:r>
            <w:r>
              <w:rPr>
                <w:rFonts w:hint="eastAsia" w:cs="宋体"/>
                <w:color w:val="000000"/>
              </w:rPr>
              <w:t>（</w:t>
            </w:r>
            <w:r>
              <w:rPr>
                <w:rFonts w:cs="宋体"/>
                <w:color w:val="000000"/>
              </w:rPr>
              <w:t>如动火、高处作业、进入设备作业等规定</w:t>
            </w:r>
            <w:r>
              <w:rPr>
                <w:rFonts w:hint="eastAsia" w:cs="宋体"/>
                <w:color w:val="000000"/>
              </w:rPr>
              <w:t>）</w:t>
            </w:r>
            <w:r>
              <w:rPr>
                <w:rFonts w:cs="宋体"/>
                <w:color w:val="000000"/>
              </w:rPr>
              <w:t>、要求，确保安全生产。</w:t>
            </w:r>
          </w:p>
          <w:p>
            <w:pPr>
              <w:rPr>
                <w:rFonts w:cs="宋体"/>
                <w:color w:val="000000"/>
              </w:rPr>
            </w:pPr>
            <w:r>
              <w:rPr>
                <w:rFonts w:cs="宋体"/>
                <w:color w:val="000000"/>
              </w:rPr>
              <w:t>④公司强化安全、消防和环保管理，完善环保安全管理机构，完善各项管理制度，加强日常监督检查；厂区内严禁烟火，严格动火审批制度，进料车辆必须戴阻火器。</w:t>
            </w:r>
          </w:p>
          <w:p>
            <w:pPr>
              <w:rPr>
                <w:rFonts w:cs="宋体"/>
                <w:color w:val="000000"/>
              </w:rPr>
            </w:pPr>
            <w:r>
              <w:rPr>
                <w:rFonts w:hint="eastAsia" w:cs="宋体"/>
                <w:color w:val="000000"/>
              </w:rPr>
              <w:t>（</w:t>
            </w:r>
            <w:r>
              <w:rPr>
                <w:rFonts w:cs="宋体"/>
                <w:color w:val="000000"/>
              </w:rPr>
              <w:t>2</w:t>
            </w:r>
            <w:r>
              <w:rPr>
                <w:rFonts w:hint="eastAsia" w:cs="宋体"/>
                <w:color w:val="000000"/>
              </w:rPr>
              <w:t>）危废</w:t>
            </w:r>
            <w:r>
              <w:rPr>
                <w:rFonts w:hint="eastAsia"/>
              </w:rPr>
              <w:t>贮存库</w:t>
            </w:r>
            <w:r>
              <w:rPr>
                <w:rFonts w:cs="宋体"/>
                <w:color w:val="000000"/>
              </w:rPr>
              <w:t>泄漏事故风险防范措施</w:t>
            </w:r>
          </w:p>
          <w:p>
            <w:pPr>
              <w:rPr>
                <w:rFonts w:cs="宋体"/>
                <w:color w:val="000000"/>
              </w:rPr>
            </w:pPr>
            <w:r>
              <w:rPr>
                <w:rFonts w:cs="宋体"/>
                <w:color w:val="000000"/>
              </w:rPr>
              <w:t>①设置专门的</w:t>
            </w:r>
            <w:r>
              <w:rPr>
                <w:rFonts w:hint="eastAsia" w:cs="宋体"/>
                <w:color w:val="000000"/>
              </w:rPr>
              <w:t>危废贮存库</w:t>
            </w:r>
            <w:r>
              <w:rPr>
                <w:rFonts w:cs="宋体"/>
                <w:color w:val="000000"/>
              </w:rPr>
              <w:t>，地面采取防渗，设置围堰，设置警示标识等。</w:t>
            </w:r>
          </w:p>
          <w:p>
            <w:pPr>
              <w:rPr>
                <w:rFonts w:cs="宋体"/>
                <w:color w:val="000000"/>
              </w:rPr>
            </w:pPr>
            <w:r>
              <w:rPr>
                <w:rFonts w:cs="宋体"/>
                <w:color w:val="000000"/>
              </w:rPr>
              <w:t>②仓库周围设置围堰及防渗，设置导流沟。</w:t>
            </w:r>
          </w:p>
          <w:p>
            <w:pPr>
              <w:rPr>
                <w:rFonts w:cs="宋体"/>
                <w:color w:val="000000"/>
              </w:rPr>
            </w:pPr>
            <w:r>
              <w:rPr>
                <w:rFonts w:cs="宋体"/>
                <w:color w:val="000000"/>
              </w:rPr>
              <w:t>③仓库严禁明火，严格遵守操作规程，避免因操作失误发生事故。</w:t>
            </w:r>
          </w:p>
          <w:p>
            <w:pPr>
              <w:rPr>
                <w:rFonts w:cs="宋体"/>
                <w:color w:val="000000"/>
              </w:rPr>
            </w:pPr>
            <w:r>
              <w:rPr>
                <w:rFonts w:cs="宋体"/>
                <w:color w:val="000000"/>
              </w:rPr>
              <w:t>④配备相应的堵漏材料</w:t>
            </w:r>
            <w:r>
              <w:rPr>
                <w:rFonts w:hint="eastAsia" w:cs="宋体"/>
                <w:color w:val="000000"/>
              </w:rPr>
              <w:t>（</w:t>
            </w:r>
            <w:r>
              <w:rPr>
                <w:rFonts w:cs="宋体"/>
                <w:color w:val="000000"/>
              </w:rPr>
              <w:t>砂袋、吸油毡等</w:t>
            </w:r>
            <w:r>
              <w:rPr>
                <w:rFonts w:hint="eastAsia" w:cs="宋体"/>
                <w:color w:val="000000"/>
              </w:rPr>
              <w:t>）</w:t>
            </w:r>
            <w:r>
              <w:rPr>
                <w:rFonts w:cs="宋体"/>
                <w:color w:val="000000"/>
              </w:rPr>
              <w:t>。</w:t>
            </w:r>
          </w:p>
          <w:p>
            <w:pPr>
              <w:pStyle w:val="21"/>
              <w:adjustRightInd w:val="0"/>
              <w:snapToGrid w:val="0"/>
              <w:spacing w:after="0"/>
              <w:ind w:left="0" w:leftChars="0" w:firstLine="482"/>
              <w:rPr>
                <w:color w:val="000000"/>
                <w:spacing w:val="-1"/>
                <w:kern w:val="2"/>
                <w:szCs w:val="24"/>
              </w:rPr>
            </w:pPr>
            <w:r>
              <w:rPr>
                <w:rFonts w:hAnsi="宋体"/>
                <w:b/>
                <w:bCs/>
                <w:color w:val="000000"/>
                <w:szCs w:val="24"/>
              </w:rPr>
              <w:t>◆</w:t>
            </w:r>
            <w:r>
              <w:rPr>
                <w:rFonts w:hint="eastAsia"/>
                <w:b/>
                <w:color w:val="000000"/>
                <w:szCs w:val="24"/>
              </w:rPr>
              <w:t>应急处置</w:t>
            </w:r>
            <w:r>
              <w:rPr>
                <w:b/>
                <w:color w:val="000000"/>
                <w:szCs w:val="24"/>
              </w:rPr>
              <w:t>措施</w:t>
            </w:r>
          </w:p>
          <w:p>
            <w:pPr>
              <w:rPr>
                <w:rFonts w:cs="宋体"/>
                <w:color w:val="000000"/>
              </w:rPr>
            </w:pPr>
            <w:r>
              <w:rPr>
                <w:rFonts w:cs="宋体"/>
                <w:color w:val="000000"/>
              </w:rPr>
              <w:t>当发生</w:t>
            </w:r>
            <w:r>
              <w:rPr>
                <w:rFonts w:hint="eastAsia" w:cs="宋体"/>
                <w:color w:val="000000"/>
              </w:rPr>
              <w:t>泄漏</w:t>
            </w:r>
            <w:r>
              <w:rPr>
                <w:rFonts w:cs="宋体"/>
                <w:color w:val="000000"/>
              </w:rPr>
              <w:t>、火灾等事故时，应首先组织人员疏散，在确保安全的前提下，尝试进行以下应急处理措施：</w:t>
            </w:r>
          </w:p>
          <w:p>
            <w:pPr>
              <w:rPr>
                <w:rFonts w:cs="宋体"/>
                <w:color w:val="000000"/>
              </w:rPr>
            </w:pPr>
            <w:r>
              <w:rPr>
                <w:rFonts w:hint="eastAsia" w:cs="宋体"/>
                <w:color w:val="000000"/>
              </w:rPr>
              <w:t>（</w:t>
            </w:r>
            <w:r>
              <w:rPr>
                <w:rFonts w:cs="宋体"/>
                <w:color w:val="000000"/>
              </w:rPr>
              <w:t>1</w:t>
            </w:r>
            <w:r>
              <w:rPr>
                <w:rFonts w:hint="eastAsia" w:cs="宋体"/>
                <w:color w:val="000000"/>
              </w:rPr>
              <w:t>）</w:t>
            </w:r>
            <w:r>
              <w:rPr>
                <w:rFonts w:cs="宋体"/>
                <w:color w:val="000000"/>
              </w:rPr>
              <w:t>泄漏应急措施</w:t>
            </w:r>
          </w:p>
          <w:p>
            <w:pPr>
              <w:rPr>
                <w:rFonts w:cs="宋体"/>
                <w:color w:val="000000"/>
              </w:rPr>
            </w:pPr>
            <w:r>
              <w:rPr>
                <w:rFonts w:cs="宋体"/>
                <w:color w:val="000000"/>
              </w:rPr>
              <w:t>项目设置在专门的</w:t>
            </w:r>
            <w:r>
              <w:rPr>
                <w:rFonts w:hint="eastAsia" w:cs="宋体"/>
                <w:color w:val="000000"/>
              </w:rPr>
              <w:t>危废贮存库</w:t>
            </w:r>
            <w:r>
              <w:rPr>
                <w:rFonts w:cs="宋体"/>
                <w:color w:val="000000"/>
              </w:rPr>
              <w:t>，四周设置导流沟，设计收集池，并设置围堰，发生泄漏时，立即找出泄漏口，切断污染源，再用砂袋、吸油毡堵塞泄漏口周围，将泄漏口与外部隔绝开，以防泄漏量加大。</w:t>
            </w:r>
          </w:p>
          <w:p>
            <w:pPr>
              <w:rPr>
                <w:rFonts w:cs="宋体"/>
                <w:color w:val="000000"/>
              </w:rPr>
            </w:pPr>
            <w:r>
              <w:rPr>
                <w:rFonts w:hint="eastAsia" w:cs="宋体"/>
                <w:color w:val="000000"/>
              </w:rPr>
              <w:t>（</w:t>
            </w:r>
            <w:r>
              <w:rPr>
                <w:rFonts w:cs="宋体"/>
                <w:color w:val="000000"/>
              </w:rPr>
              <w:t>2</w:t>
            </w:r>
            <w:r>
              <w:rPr>
                <w:rFonts w:hint="eastAsia" w:cs="宋体"/>
                <w:color w:val="000000"/>
              </w:rPr>
              <w:t>）</w:t>
            </w:r>
            <w:r>
              <w:rPr>
                <w:rFonts w:cs="宋体"/>
                <w:color w:val="000000"/>
              </w:rPr>
              <w:t>火灾应急措施</w:t>
            </w:r>
          </w:p>
          <w:p>
            <w:pPr>
              <w:rPr>
                <w:rFonts w:cs="宋体"/>
                <w:color w:val="000000"/>
              </w:rPr>
            </w:pPr>
            <w:r>
              <w:rPr>
                <w:rFonts w:cs="宋体"/>
                <w:color w:val="000000"/>
              </w:rPr>
              <w:t>在车间发生火灾时，组织企业自身人员利用干粉、CO</w:t>
            </w:r>
            <w:r>
              <w:rPr>
                <w:rFonts w:cs="宋体"/>
                <w:color w:val="000000"/>
                <w:vertAlign w:val="subscript"/>
              </w:rPr>
              <w:t>2</w:t>
            </w:r>
            <w:r>
              <w:rPr>
                <w:rFonts w:cs="宋体"/>
                <w:color w:val="000000"/>
              </w:rPr>
              <w:t>、雾状水或泡沫灭火器等消防器材进行自救，将火源与原料和产品分离，发生初期火灾</w:t>
            </w:r>
            <w:r>
              <w:rPr>
                <w:rFonts w:hint="eastAsia" w:cs="宋体"/>
                <w:color w:val="000000"/>
              </w:rPr>
              <w:t>时</w:t>
            </w:r>
            <w:r>
              <w:rPr>
                <w:rFonts w:cs="宋体"/>
                <w:color w:val="000000"/>
              </w:rPr>
              <w:t>，在岗员工应立即对初起火灾进行扑救，就近原则运用灭火器材扑灭火源；如发生重大火灾事故，还应报告环保、公安、医疗等部门机构，组织社会多方力量救援。</w:t>
            </w:r>
          </w:p>
          <w:bookmarkEnd w:id="82"/>
          <w:bookmarkEnd w:id="83"/>
          <w:bookmarkEnd w:id="84"/>
          <w:bookmarkEnd w:id="85"/>
          <w:p>
            <w:pPr>
              <w:pStyle w:val="4"/>
              <w:rPr>
                <w:rStyle w:val="79"/>
                <w:rFonts w:ascii="Times New Roman" w:hAnsi="Times New Roman"/>
                <w:color w:val="000000"/>
                <w:sz w:val="28"/>
              </w:rPr>
            </w:pPr>
            <w:r>
              <w:rPr>
                <w:rStyle w:val="79"/>
                <w:rFonts w:ascii="Times New Roman" w:hAnsi="Times New Roman"/>
                <w:color w:val="000000"/>
                <w:sz w:val="28"/>
              </w:rPr>
              <w:t>自行监测计划</w:t>
            </w:r>
            <w:bookmarkEnd w:id="79"/>
            <w:bookmarkEnd w:id="80"/>
            <w:bookmarkEnd w:id="81"/>
          </w:p>
          <w:p>
            <w:pPr>
              <w:widowControl/>
              <w:jc w:val="left"/>
              <w:rPr>
                <w:color w:val="000000"/>
              </w:rPr>
            </w:pPr>
            <w:r>
              <w:rPr>
                <w:color w:val="000000"/>
              </w:rPr>
              <w:t>根据《固定污染源排污许可证分类管理名录</w:t>
            </w:r>
            <w:r>
              <w:rPr>
                <w:rFonts w:hint="eastAsia"/>
                <w:color w:val="000000"/>
              </w:rPr>
              <w:t>（</w:t>
            </w:r>
            <w:r>
              <w:rPr>
                <w:color w:val="000000"/>
              </w:rPr>
              <w:t>2019年本</w:t>
            </w:r>
            <w:r>
              <w:rPr>
                <w:rFonts w:hint="eastAsia"/>
                <w:color w:val="000000"/>
              </w:rPr>
              <w:t>）</w:t>
            </w:r>
            <w:r>
              <w:rPr>
                <w:color w:val="000000"/>
              </w:rPr>
              <w:t>》中，本项目属于</w:t>
            </w:r>
            <w:r>
              <w:rPr>
                <w:rFonts w:hint="eastAsia"/>
                <w:color w:val="000000"/>
              </w:rPr>
              <w:t>“</w:t>
            </w:r>
            <w:r>
              <w:t>二十四、橡胶和塑料制品业 29 塑料制品业 292</w:t>
            </w:r>
            <w:r>
              <w:rPr>
                <w:rFonts w:hint="eastAsia"/>
              </w:rPr>
              <w:t>”中的其他</w:t>
            </w:r>
            <w:r>
              <w:rPr>
                <w:rFonts w:hint="eastAsia"/>
                <w:color w:val="000000"/>
              </w:rPr>
              <w:t>类，</w:t>
            </w:r>
            <w:r>
              <w:rPr>
                <w:color w:val="000000"/>
              </w:rPr>
              <w:t>应进行</w:t>
            </w:r>
            <w:r>
              <w:rPr>
                <w:rFonts w:hint="eastAsia"/>
                <w:color w:val="000000"/>
              </w:rPr>
              <w:t>排污</w:t>
            </w:r>
            <w:r>
              <w:rPr>
                <w:color w:val="000000"/>
              </w:rPr>
              <w:t>登记管理</w:t>
            </w:r>
            <w:r>
              <w:rPr>
                <w:rFonts w:hint="eastAsia"/>
                <w:color w:val="000000"/>
              </w:rPr>
              <w:t>。</w:t>
            </w:r>
          </w:p>
          <w:p>
            <w:pPr>
              <w:rPr>
                <w:bCs/>
                <w:color w:val="000000"/>
              </w:rPr>
            </w:pPr>
            <w:r>
              <w:rPr>
                <w:rFonts w:hint="eastAsia"/>
                <w:bCs/>
                <w:color w:val="000000"/>
              </w:rPr>
              <w:t>本评价参照《排污单位自行监测技术指南 总则</w:t>
            </w:r>
            <w:r>
              <w:rPr>
                <w:rFonts w:hint="eastAsia"/>
                <w:color w:val="000000"/>
                <w:kern w:val="0"/>
                <w:szCs w:val="20"/>
              </w:rPr>
              <w:t>》（HJ819-2017）、《</w:t>
            </w:r>
            <w:r>
              <w:rPr>
                <w:color w:val="000000"/>
                <w:szCs w:val="22"/>
              </w:rPr>
              <w:t>排污单位自行监测技术指南 橡胶和塑料制品</w:t>
            </w:r>
            <w:r>
              <w:rPr>
                <w:rFonts w:hint="eastAsia"/>
                <w:color w:val="000000"/>
                <w:kern w:val="0"/>
                <w:szCs w:val="20"/>
              </w:rPr>
              <w:t>》</w:t>
            </w:r>
            <w:r>
              <w:rPr>
                <w:rFonts w:hint="eastAsia"/>
                <w:color w:val="000000"/>
                <w:szCs w:val="22"/>
              </w:rPr>
              <w:t>（</w:t>
            </w:r>
            <w:r>
              <w:rPr>
                <w:color w:val="000000"/>
                <w:szCs w:val="22"/>
              </w:rPr>
              <w:t>HJ1207-2021</w:t>
            </w:r>
            <w:r>
              <w:rPr>
                <w:rFonts w:hint="eastAsia"/>
                <w:color w:val="000000"/>
                <w:szCs w:val="22"/>
              </w:rPr>
              <w:t>）</w:t>
            </w:r>
            <w:r>
              <w:rPr>
                <w:rFonts w:hint="eastAsia"/>
                <w:color w:val="000000"/>
                <w:kern w:val="0"/>
                <w:szCs w:val="20"/>
              </w:rPr>
              <w:t>等相关要求</w:t>
            </w:r>
            <w:r>
              <w:rPr>
                <w:rFonts w:hint="eastAsia"/>
                <w:bCs/>
                <w:color w:val="000000"/>
              </w:rPr>
              <w:t>，提出项目运营期自行监测计划，具体详见表4.8-1。</w:t>
            </w:r>
          </w:p>
          <w:p>
            <w:pPr>
              <w:pStyle w:val="96"/>
            </w:pPr>
            <w:r>
              <w:rPr>
                <w:rFonts w:hint="eastAsia"/>
              </w:rPr>
              <w:t>表4.8-1  环境监测要求</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638"/>
              <w:gridCol w:w="2701"/>
              <w:gridCol w:w="2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vAlign w:val="center"/>
                </w:tcPr>
                <w:p>
                  <w:pPr>
                    <w:pStyle w:val="53"/>
                  </w:pPr>
                  <w:r>
                    <w:rPr>
                      <w:rFonts w:hint="eastAsia"/>
                    </w:rPr>
                    <w:t>序号</w:t>
                  </w:r>
                </w:p>
              </w:tc>
              <w:tc>
                <w:tcPr>
                  <w:tcW w:w="1582" w:type="pct"/>
                  <w:tcBorders>
                    <w:tl2br w:val="nil"/>
                    <w:tr2bl w:val="nil"/>
                  </w:tcBorders>
                  <w:vAlign w:val="center"/>
                </w:tcPr>
                <w:p>
                  <w:pPr>
                    <w:pStyle w:val="53"/>
                  </w:pPr>
                  <w:r>
                    <w:rPr>
                      <w:rFonts w:hint="eastAsia"/>
                    </w:rPr>
                    <w:t>监测点位</w:t>
                  </w:r>
                </w:p>
              </w:tc>
              <w:tc>
                <w:tcPr>
                  <w:tcW w:w="1620" w:type="pct"/>
                  <w:tcBorders>
                    <w:tl2br w:val="nil"/>
                    <w:tr2bl w:val="nil"/>
                  </w:tcBorders>
                  <w:vAlign w:val="center"/>
                </w:tcPr>
                <w:p>
                  <w:pPr>
                    <w:pStyle w:val="53"/>
                  </w:pPr>
                  <w:r>
                    <w:rPr>
                      <w:rFonts w:hint="eastAsia"/>
                    </w:rPr>
                    <w:t>监测因子</w:t>
                  </w:r>
                </w:p>
              </w:tc>
              <w:tc>
                <w:tcPr>
                  <w:tcW w:w="1339" w:type="pct"/>
                  <w:tcBorders>
                    <w:tl2br w:val="nil"/>
                    <w:tr2bl w:val="nil"/>
                  </w:tcBorders>
                  <w:vAlign w:val="center"/>
                </w:tcPr>
                <w:p>
                  <w:pPr>
                    <w:pStyle w:val="53"/>
                  </w:pPr>
                  <w:r>
                    <w:rPr>
                      <w:rFonts w:hint="eastAsia"/>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vAlign w:val="center"/>
                </w:tcPr>
                <w:p>
                  <w:pPr>
                    <w:pStyle w:val="53"/>
                  </w:pPr>
                  <w:r>
                    <w:rPr>
                      <w:rFonts w:hint="eastAsia"/>
                    </w:rPr>
                    <w:t>1</w:t>
                  </w:r>
                </w:p>
              </w:tc>
              <w:tc>
                <w:tcPr>
                  <w:tcW w:w="1582" w:type="pct"/>
                  <w:tcBorders>
                    <w:tl2br w:val="nil"/>
                    <w:tr2bl w:val="nil"/>
                  </w:tcBorders>
                </w:tcPr>
                <w:p>
                  <w:pPr>
                    <w:pStyle w:val="53"/>
                  </w:pPr>
                  <w:r>
                    <w:rPr>
                      <w:rFonts w:hint="eastAsia"/>
                    </w:rPr>
                    <w:t>DA001有机废气排放口</w:t>
                  </w:r>
                </w:p>
              </w:tc>
              <w:tc>
                <w:tcPr>
                  <w:tcW w:w="1620" w:type="pct"/>
                  <w:tcBorders>
                    <w:tl2br w:val="nil"/>
                    <w:tr2bl w:val="nil"/>
                  </w:tcBorders>
                  <w:vAlign w:val="center"/>
                </w:tcPr>
                <w:p>
                  <w:pPr>
                    <w:pStyle w:val="53"/>
                  </w:pPr>
                  <w:r>
                    <w:rPr>
                      <w:rFonts w:hint="eastAsia"/>
                    </w:rPr>
                    <w:t>非甲烷总烃、颗粒物</w:t>
                  </w:r>
                </w:p>
              </w:tc>
              <w:tc>
                <w:tcPr>
                  <w:tcW w:w="1339" w:type="pct"/>
                  <w:tcBorders>
                    <w:tl2br w:val="nil"/>
                    <w:tr2bl w:val="nil"/>
                  </w:tcBorders>
                  <w:vAlign w:val="center"/>
                </w:tcPr>
                <w:p>
                  <w:pPr>
                    <w:pStyle w:val="53"/>
                  </w:pPr>
                  <w:r>
                    <w:rPr>
                      <w:rFonts w:hint="eastAsia"/>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vAlign w:val="center"/>
                </w:tcPr>
                <w:p>
                  <w:pPr>
                    <w:pStyle w:val="53"/>
                  </w:pPr>
                  <w:r>
                    <w:rPr>
                      <w:rFonts w:hint="eastAsia"/>
                    </w:rPr>
                    <w:t>2</w:t>
                  </w:r>
                </w:p>
              </w:tc>
              <w:tc>
                <w:tcPr>
                  <w:tcW w:w="1582" w:type="pct"/>
                  <w:tcBorders>
                    <w:tl2br w:val="nil"/>
                    <w:tr2bl w:val="nil"/>
                  </w:tcBorders>
                </w:tcPr>
                <w:p>
                  <w:pPr>
                    <w:pStyle w:val="53"/>
                  </w:pPr>
                  <w:r>
                    <w:t>厂界</w:t>
                  </w:r>
                </w:p>
              </w:tc>
              <w:tc>
                <w:tcPr>
                  <w:tcW w:w="1620" w:type="pct"/>
                  <w:tcBorders>
                    <w:tl2br w:val="nil"/>
                    <w:tr2bl w:val="nil"/>
                  </w:tcBorders>
                </w:tcPr>
                <w:p>
                  <w:pPr>
                    <w:pStyle w:val="53"/>
                  </w:pPr>
                  <w:r>
                    <w:rPr>
                      <w:rFonts w:hint="eastAsia"/>
                    </w:rPr>
                    <w:t>非甲烷总烃、颗粒物</w:t>
                  </w:r>
                </w:p>
              </w:tc>
              <w:tc>
                <w:tcPr>
                  <w:tcW w:w="1339" w:type="pct"/>
                  <w:tcBorders>
                    <w:tl2br w:val="nil"/>
                    <w:tr2bl w:val="nil"/>
                  </w:tcBorders>
                </w:tcPr>
                <w:p>
                  <w:pPr>
                    <w:pStyle w:val="53"/>
                  </w:pPr>
                  <w:r>
                    <w:t>1次/</w:t>
                  </w:r>
                  <w:r>
                    <w:rPr>
                      <w:rFonts w:hint="eastAsi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vAlign w:val="center"/>
                </w:tcPr>
                <w:p>
                  <w:pPr>
                    <w:pStyle w:val="53"/>
                  </w:pPr>
                  <w:r>
                    <w:rPr>
                      <w:rFonts w:hint="eastAsia"/>
                    </w:rPr>
                    <w:t>3</w:t>
                  </w:r>
                </w:p>
              </w:tc>
              <w:tc>
                <w:tcPr>
                  <w:tcW w:w="1582" w:type="pct"/>
                  <w:tcBorders>
                    <w:tl2br w:val="nil"/>
                    <w:tr2bl w:val="nil"/>
                  </w:tcBorders>
                </w:tcPr>
                <w:p>
                  <w:pPr>
                    <w:pStyle w:val="53"/>
                  </w:pPr>
                  <w:r>
                    <w:rPr>
                      <w:rFonts w:hint="eastAsia"/>
                    </w:rPr>
                    <w:t>厂区内监控点</w:t>
                  </w:r>
                </w:p>
              </w:tc>
              <w:tc>
                <w:tcPr>
                  <w:tcW w:w="1620" w:type="pct"/>
                  <w:tcBorders>
                    <w:tl2br w:val="nil"/>
                    <w:tr2bl w:val="nil"/>
                  </w:tcBorders>
                </w:tcPr>
                <w:p>
                  <w:pPr>
                    <w:pStyle w:val="53"/>
                  </w:pPr>
                  <w:r>
                    <w:rPr>
                      <w:rFonts w:hint="eastAsia"/>
                    </w:rPr>
                    <w:t>非甲烷总烃</w:t>
                  </w:r>
                </w:p>
              </w:tc>
              <w:tc>
                <w:tcPr>
                  <w:tcW w:w="1339" w:type="pct"/>
                  <w:tcBorders>
                    <w:tl2br w:val="nil"/>
                    <w:tr2bl w:val="nil"/>
                  </w:tcBorders>
                </w:tcPr>
                <w:p>
                  <w:pPr>
                    <w:pStyle w:val="53"/>
                  </w:pPr>
                  <w:r>
                    <w:t>1次/</w:t>
                  </w:r>
                  <w:r>
                    <w:rPr>
                      <w:rFonts w:hint="eastAsi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vAlign w:val="center"/>
                </w:tcPr>
                <w:p>
                  <w:pPr>
                    <w:pStyle w:val="53"/>
                  </w:pPr>
                  <w:r>
                    <w:rPr>
                      <w:rFonts w:hint="eastAsia"/>
                    </w:rPr>
                    <w:t>4</w:t>
                  </w:r>
                </w:p>
              </w:tc>
              <w:tc>
                <w:tcPr>
                  <w:tcW w:w="1582" w:type="pct"/>
                  <w:tcBorders>
                    <w:tl2br w:val="nil"/>
                    <w:tr2bl w:val="nil"/>
                  </w:tcBorders>
                  <w:vAlign w:val="center"/>
                </w:tcPr>
                <w:p>
                  <w:pPr>
                    <w:pStyle w:val="53"/>
                  </w:pPr>
                  <w:r>
                    <w:rPr>
                      <w:rFonts w:hint="eastAsia"/>
                    </w:rPr>
                    <w:t>厂界四周外1m</w:t>
                  </w:r>
                </w:p>
              </w:tc>
              <w:tc>
                <w:tcPr>
                  <w:tcW w:w="1620" w:type="pct"/>
                  <w:tcBorders>
                    <w:tl2br w:val="nil"/>
                    <w:tr2bl w:val="nil"/>
                  </w:tcBorders>
                  <w:vAlign w:val="center"/>
                </w:tcPr>
                <w:p>
                  <w:pPr>
                    <w:pStyle w:val="53"/>
                  </w:pPr>
                  <w:r>
                    <w:rPr>
                      <w:rFonts w:hint="eastAsia"/>
                    </w:rPr>
                    <w:t>等效A声级</w:t>
                  </w:r>
                </w:p>
              </w:tc>
              <w:tc>
                <w:tcPr>
                  <w:tcW w:w="1339" w:type="pct"/>
                  <w:tcBorders>
                    <w:tl2br w:val="nil"/>
                    <w:tr2bl w:val="nil"/>
                  </w:tcBorders>
                  <w:vAlign w:val="center"/>
                </w:tcPr>
                <w:p>
                  <w:pPr>
                    <w:pStyle w:val="53"/>
                  </w:pPr>
                  <w:r>
                    <w:t>1</w:t>
                  </w:r>
                  <w:r>
                    <w:rPr>
                      <w:rFonts w:hint="eastAsia"/>
                    </w:rPr>
                    <w:t>天</w:t>
                  </w:r>
                  <w:r>
                    <w:t>/季度</w:t>
                  </w:r>
                </w:p>
              </w:tc>
            </w:tr>
          </w:tbl>
          <w:p>
            <w:pPr>
              <w:pStyle w:val="163"/>
              <w:ind w:firstLine="442"/>
              <w:rPr>
                <w:rFonts w:ascii="Times New Roman" w:hAnsi="Times New Roman" w:cs="Times New Roman"/>
                <w:b/>
                <w:bCs/>
                <w:color w:val="000000"/>
                <w:sz w:val="28"/>
                <w:szCs w:val="28"/>
              </w:rPr>
            </w:pPr>
            <w:r>
              <w:rPr>
                <w:rFonts w:hint="eastAsia" w:ascii="Times New Roman" w:hAnsi="Times New Roman" w:cs="Times New Roman"/>
                <w:b/>
                <w:bCs/>
                <w:color w:val="000000"/>
                <w:sz w:val="22"/>
                <w:szCs w:val="22"/>
              </w:rPr>
              <w:t>注：</w:t>
            </w:r>
            <w:r>
              <w:rPr>
                <w:rFonts w:hint="eastAsia" w:ascii="Times New Roman" w:hAnsi="Times New Roman" w:cs="Times New Roman"/>
                <w:bCs/>
                <w:color w:val="000000"/>
                <w:sz w:val="21"/>
                <w:szCs w:val="21"/>
              </w:rPr>
              <w:t>项目</w:t>
            </w:r>
            <w:r>
              <w:rPr>
                <w:rFonts w:hint="eastAsia"/>
                <w:color w:val="000000"/>
                <w:sz w:val="21"/>
                <w:szCs w:val="21"/>
              </w:rPr>
              <w:t>生活污水</w:t>
            </w:r>
            <w:r>
              <w:rPr>
                <w:color w:val="000000"/>
                <w:sz w:val="21"/>
                <w:szCs w:val="21"/>
              </w:rPr>
              <w:t>经</w:t>
            </w:r>
            <w:r>
              <w:rPr>
                <w:rFonts w:hint="eastAsia"/>
                <w:color w:val="000000"/>
                <w:sz w:val="21"/>
                <w:szCs w:val="21"/>
                <w:lang w:val="en-US" w:eastAsia="zh-CN"/>
              </w:rPr>
              <w:t>化粪池</w:t>
            </w:r>
            <w:r>
              <w:rPr>
                <w:color w:val="000000"/>
                <w:sz w:val="21"/>
                <w:szCs w:val="21"/>
              </w:rPr>
              <w:t>预处理后排入市政</w:t>
            </w:r>
            <w:r>
              <w:rPr>
                <w:rFonts w:hint="eastAsia"/>
                <w:color w:val="000000"/>
                <w:sz w:val="21"/>
                <w:szCs w:val="21"/>
                <w:lang w:val="en-US" w:eastAsia="zh-CN"/>
              </w:rPr>
              <w:t>污水</w:t>
            </w:r>
            <w:r>
              <w:rPr>
                <w:color w:val="000000"/>
                <w:sz w:val="21"/>
                <w:szCs w:val="21"/>
              </w:rPr>
              <w:t>管网，送往</w:t>
            </w:r>
            <w:r>
              <w:rPr>
                <w:rFonts w:hint="eastAsia"/>
                <w:color w:val="000000"/>
                <w:sz w:val="21"/>
                <w:szCs w:val="21"/>
                <w:shd w:val="clear" w:color="auto" w:fill="FFFFFF"/>
              </w:rPr>
              <w:t>长安污水处理厂</w:t>
            </w:r>
            <w:r>
              <w:rPr>
                <w:color w:val="000000"/>
                <w:sz w:val="21"/>
                <w:szCs w:val="21"/>
              </w:rPr>
              <w:t>集中处理，属于间接排放，</w:t>
            </w:r>
            <w:r>
              <w:rPr>
                <w:bCs/>
                <w:color w:val="000000"/>
                <w:sz w:val="21"/>
                <w:szCs w:val="21"/>
              </w:rPr>
              <w:t>本</w:t>
            </w:r>
            <w:r>
              <w:rPr>
                <w:rFonts w:hint="eastAsia"/>
                <w:bCs/>
                <w:color w:val="000000"/>
                <w:sz w:val="21"/>
                <w:szCs w:val="21"/>
              </w:rPr>
              <w:t>项目</w:t>
            </w:r>
            <w:r>
              <w:rPr>
                <w:rFonts w:hint="eastAsia"/>
                <w:color w:val="000000"/>
                <w:sz w:val="21"/>
                <w:szCs w:val="21"/>
                <w:lang w:bidi="he-IL"/>
              </w:rPr>
              <w:t>生活污水单独排放口间接排放的情况下，无须设置</w:t>
            </w:r>
            <w:r>
              <w:rPr>
                <w:rFonts w:hint="eastAsia"/>
                <w:bCs/>
                <w:color w:val="000000"/>
                <w:sz w:val="21"/>
                <w:szCs w:val="21"/>
              </w:rPr>
              <w:t>自行监测计划。</w:t>
            </w:r>
          </w:p>
        </w:tc>
      </w:tr>
    </w:tbl>
    <w:p>
      <w:pPr>
        <w:pStyle w:val="33"/>
        <w:ind w:firstLine="600"/>
        <w:jc w:val="both"/>
        <w:rPr>
          <w:rFonts w:ascii="Times New Roman" w:hAnsi="Times New Roman"/>
          <w:snapToGrid w:val="0"/>
          <w:color w:val="000000"/>
          <w:sz w:val="30"/>
          <w:szCs w:val="30"/>
        </w:rPr>
        <w:sectPr>
          <w:pgSz w:w="11906" w:h="16838"/>
          <w:pgMar w:top="1701" w:right="1531" w:bottom="1701" w:left="1531" w:header="851" w:footer="851" w:gutter="0"/>
          <w:cols w:space="720" w:num="1"/>
          <w:docGrid w:linePitch="312" w:charSpace="0"/>
        </w:sectPr>
      </w:pPr>
    </w:p>
    <w:p>
      <w:pPr>
        <w:pStyle w:val="3"/>
      </w:pPr>
      <w:bookmarkStart w:id="86" w:name="_Hlk54167917"/>
      <w:bookmarkStart w:id="87" w:name="_Toc26037"/>
      <w:bookmarkStart w:id="88" w:name="_Toc4337"/>
      <w:r>
        <w:rPr>
          <w:rFonts w:hint="eastAsia"/>
        </w:rPr>
        <w:t>环境保护措施监督检查清单</w:t>
      </w:r>
      <w:bookmarkEnd w:id="86"/>
      <w:bookmarkEnd w:id="87"/>
      <w:bookmarkEnd w:id="88"/>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255"/>
        <w:gridCol w:w="1245"/>
        <w:gridCol w:w="2115"/>
        <w:gridCol w:w="3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tcBorders>
              <w:tl2br w:val="single" w:color="auto" w:sz="4" w:space="0"/>
            </w:tcBorders>
          </w:tcPr>
          <w:p>
            <w:pPr>
              <w:pStyle w:val="53"/>
            </w:pPr>
            <w:r>
              <w:t>内容</w:t>
            </w:r>
          </w:p>
          <w:p>
            <w:pPr>
              <w:pStyle w:val="53"/>
            </w:pPr>
          </w:p>
          <w:p>
            <w:pPr>
              <w:pStyle w:val="53"/>
            </w:pPr>
            <w:r>
              <w:t>要素</w:t>
            </w:r>
          </w:p>
        </w:tc>
        <w:tc>
          <w:tcPr>
            <w:tcW w:w="1255" w:type="dxa"/>
            <w:vAlign w:val="center"/>
          </w:tcPr>
          <w:p>
            <w:pPr>
              <w:pStyle w:val="53"/>
            </w:pPr>
            <w:r>
              <w:t>排放口</w:t>
            </w:r>
            <w:r>
              <w:rPr>
                <w:rFonts w:hint="eastAsia"/>
              </w:rPr>
              <w:t>（</w:t>
            </w:r>
            <w:r>
              <w:t>编号、名称</w:t>
            </w:r>
            <w:r>
              <w:rPr>
                <w:rFonts w:hint="eastAsia"/>
              </w:rPr>
              <w:t>）</w:t>
            </w:r>
            <w:r>
              <w:t>/污染源</w:t>
            </w:r>
          </w:p>
        </w:tc>
        <w:tc>
          <w:tcPr>
            <w:tcW w:w="1245" w:type="dxa"/>
            <w:vAlign w:val="center"/>
          </w:tcPr>
          <w:p>
            <w:pPr>
              <w:pStyle w:val="53"/>
            </w:pPr>
            <w:r>
              <w:t>污染物项目</w:t>
            </w:r>
          </w:p>
        </w:tc>
        <w:tc>
          <w:tcPr>
            <w:tcW w:w="2115" w:type="dxa"/>
            <w:vAlign w:val="center"/>
          </w:tcPr>
          <w:p>
            <w:pPr>
              <w:pStyle w:val="53"/>
            </w:pPr>
            <w:r>
              <w:t>环境保护措施</w:t>
            </w:r>
          </w:p>
        </w:tc>
        <w:tc>
          <w:tcPr>
            <w:tcW w:w="3214" w:type="dxa"/>
            <w:vAlign w:val="center"/>
          </w:tcPr>
          <w:p>
            <w:pPr>
              <w:pStyle w:val="53"/>
            </w:pPr>
            <w: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60" w:type="dxa"/>
            <w:vMerge w:val="restart"/>
            <w:vAlign w:val="center"/>
          </w:tcPr>
          <w:p>
            <w:pPr>
              <w:pStyle w:val="53"/>
            </w:pPr>
            <w:r>
              <w:t>大气环境</w:t>
            </w:r>
          </w:p>
        </w:tc>
        <w:tc>
          <w:tcPr>
            <w:tcW w:w="1255" w:type="dxa"/>
            <w:vAlign w:val="center"/>
          </w:tcPr>
          <w:p>
            <w:pPr>
              <w:pStyle w:val="53"/>
            </w:pPr>
            <w:r>
              <w:rPr>
                <w:rFonts w:hint="eastAsia"/>
              </w:rPr>
              <w:t>注塑工序废气</w:t>
            </w:r>
            <w:r>
              <w:t>排气筒</w:t>
            </w:r>
            <w:r>
              <w:rPr>
                <w:rFonts w:hint="eastAsia"/>
              </w:rPr>
              <w:t>（</w:t>
            </w:r>
            <w:r>
              <w:t>DA001</w:t>
            </w:r>
            <w:r>
              <w:rPr>
                <w:rFonts w:hint="eastAsia"/>
              </w:rPr>
              <w:t>）</w:t>
            </w:r>
          </w:p>
        </w:tc>
        <w:tc>
          <w:tcPr>
            <w:tcW w:w="1245" w:type="dxa"/>
            <w:vAlign w:val="center"/>
          </w:tcPr>
          <w:p>
            <w:pPr>
              <w:pStyle w:val="53"/>
            </w:pPr>
            <w:r>
              <w:t>非甲烷总烃</w:t>
            </w:r>
            <w:r>
              <w:rPr>
                <w:rFonts w:hint="eastAsia"/>
              </w:rPr>
              <w:t>、</w:t>
            </w:r>
            <w:r>
              <w:rPr>
                <w:rFonts w:hint="eastAsia"/>
                <w:lang w:val="en-US" w:eastAsia="zh-CN"/>
              </w:rPr>
              <w:t>苯乙烯、</w:t>
            </w:r>
            <w:r>
              <w:rPr>
                <w:rFonts w:hint="eastAsia"/>
              </w:rPr>
              <w:t>颗粒物</w:t>
            </w:r>
          </w:p>
        </w:tc>
        <w:tc>
          <w:tcPr>
            <w:tcW w:w="2115" w:type="dxa"/>
            <w:vAlign w:val="center"/>
          </w:tcPr>
          <w:p>
            <w:pPr>
              <w:pStyle w:val="53"/>
              <w:rPr>
                <w:rFonts w:hint="default"/>
                <w:vertAlign w:val="baseline"/>
                <w:lang w:val="en-US"/>
              </w:rPr>
            </w:pPr>
            <w:r>
              <w:rPr>
                <w:rFonts w:hint="eastAsia"/>
                <w:color w:val="auto"/>
              </w:rPr>
              <w:t>注塑废气通过集气罩收集后经二级活性炭吸附装置处理后引至1根25m高的排气筒（DA001）排放</w:t>
            </w:r>
            <w:r>
              <w:rPr>
                <w:rFonts w:hint="eastAsia"/>
                <w:color w:val="auto"/>
                <w:lang w:eastAsia="zh-CN"/>
              </w:rPr>
              <w:t>，</w:t>
            </w:r>
            <w:r>
              <w:rPr>
                <w:rFonts w:hint="eastAsia"/>
                <w:color w:val="auto"/>
                <w:lang w:val="en-US" w:eastAsia="zh-CN"/>
              </w:rPr>
              <w:t>风机风量为10000m</w:t>
            </w:r>
            <w:r>
              <w:rPr>
                <w:rFonts w:hint="eastAsia"/>
                <w:color w:val="auto"/>
                <w:vertAlign w:val="superscript"/>
                <w:lang w:val="en-US" w:eastAsia="zh-CN"/>
              </w:rPr>
              <w:t>3</w:t>
            </w:r>
            <w:r>
              <w:rPr>
                <w:rFonts w:hint="eastAsia"/>
                <w:color w:val="auto"/>
                <w:vertAlign w:val="baseline"/>
                <w:lang w:val="en-US" w:eastAsia="zh-CN"/>
              </w:rPr>
              <w:t>/h</w:t>
            </w:r>
          </w:p>
        </w:tc>
        <w:tc>
          <w:tcPr>
            <w:tcW w:w="3214" w:type="dxa"/>
            <w:vAlign w:val="center"/>
          </w:tcPr>
          <w:p>
            <w:pPr>
              <w:pStyle w:val="53"/>
              <w:jc w:val="both"/>
            </w:pPr>
            <w:r>
              <w:t>执行《合成树脂工业污染物排放标准》</w:t>
            </w:r>
            <w:r>
              <w:rPr>
                <w:rFonts w:hint="eastAsia"/>
              </w:rPr>
              <w:t xml:space="preserve"> （</w:t>
            </w:r>
            <w:r>
              <w:t>GB31572-2015</w:t>
            </w:r>
            <w:r>
              <w:rPr>
                <w:rFonts w:hint="eastAsia"/>
              </w:rPr>
              <w:t>）</w:t>
            </w:r>
            <w:r>
              <w:t xml:space="preserve"> </w:t>
            </w:r>
            <w:r>
              <w:rPr>
                <w:rFonts w:hint="eastAsia"/>
              </w:rPr>
              <w:t>（含 2024 年修改单，生态环境部公告 2024 年第 11 号）</w:t>
            </w:r>
            <w:r>
              <w:rPr>
                <w:bCs/>
                <w:color w:val="auto"/>
              </w:rPr>
              <w:t>表</w:t>
            </w:r>
            <w:r>
              <w:rPr>
                <w:rFonts w:hint="eastAsia"/>
                <w:bCs/>
                <w:color w:val="auto"/>
              </w:rPr>
              <w:t>4</w:t>
            </w:r>
            <w:r>
              <w:rPr>
                <w:bCs/>
                <w:color w:val="auto"/>
              </w:rPr>
              <w:t>的大气污染物排放限值</w:t>
            </w:r>
            <w:r>
              <w:rPr>
                <w:rFonts w:hint="eastAsia"/>
                <w:bCs/>
                <w:color w:val="auto"/>
              </w:rPr>
              <w:t>（</w:t>
            </w:r>
            <w:r>
              <w:rPr>
                <w:bCs/>
                <w:color w:val="auto"/>
              </w:rPr>
              <w:t>即非甲</w:t>
            </w:r>
            <w:r>
              <w:rPr>
                <w:color w:val="auto"/>
                <w:shd w:val="clear" w:color="auto" w:fill="FFFFFF"/>
              </w:rPr>
              <w:t>烷总烃≤</w:t>
            </w:r>
            <w:r>
              <w:rPr>
                <w:rFonts w:hint="eastAsia"/>
                <w:color w:val="auto"/>
                <w:shd w:val="clear" w:color="auto" w:fill="FFFFFF"/>
              </w:rPr>
              <w:t>100</w:t>
            </w:r>
            <w:r>
              <w:rPr>
                <w:color w:val="auto"/>
                <w:shd w:val="clear" w:color="auto" w:fill="FFFFFF"/>
              </w:rPr>
              <w:t>mg/m</w:t>
            </w:r>
            <w:r>
              <w:rPr>
                <w:color w:val="auto"/>
                <w:shd w:val="clear" w:color="auto" w:fill="FFFFFF"/>
                <w:vertAlign w:val="superscript"/>
              </w:rPr>
              <w:t>3</w:t>
            </w:r>
            <w:r>
              <w:rPr>
                <w:rFonts w:hint="eastAsia"/>
                <w:color w:val="auto"/>
                <w:shd w:val="clear" w:color="auto" w:fill="FFFFFF"/>
              </w:rPr>
              <w:t>，</w:t>
            </w:r>
            <w:r>
              <w:rPr>
                <w:rFonts w:hint="eastAsia"/>
                <w:color w:val="auto"/>
                <w:shd w:val="clear" w:color="auto" w:fill="FFFFFF"/>
                <w:lang w:val="en-US" w:eastAsia="zh-CN"/>
              </w:rPr>
              <w:t>苯乙烯≤50</w:t>
            </w:r>
            <w:r>
              <w:rPr>
                <w:color w:val="auto"/>
                <w:shd w:val="clear" w:color="auto" w:fill="FFFFFF"/>
              </w:rPr>
              <w:t>mg/m</w:t>
            </w:r>
            <w:r>
              <w:rPr>
                <w:color w:val="auto"/>
                <w:shd w:val="clear" w:color="auto" w:fill="FFFFFF"/>
                <w:vertAlign w:val="superscript"/>
              </w:rPr>
              <w:t>3</w:t>
            </w:r>
            <w:r>
              <w:rPr>
                <w:rFonts w:hint="eastAsia"/>
                <w:color w:val="auto"/>
                <w:shd w:val="clear" w:color="auto" w:fill="FFFFFF"/>
                <w:vertAlign w:val="baseline"/>
                <w:lang w:eastAsia="zh-CN"/>
              </w:rPr>
              <w:t>，</w:t>
            </w:r>
            <w:r>
              <w:rPr>
                <w:rFonts w:hint="eastAsia"/>
                <w:color w:val="auto"/>
                <w:shd w:val="clear" w:color="auto" w:fill="FFFFFF"/>
              </w:rPr>
              <w:t>颗粒物</w:t>
            </w:r>
            <w:r>
              <w:rPr>
                <w:color w:val="auto"/>
                <w:shd w:val="clear" w:color="auto" w:fill="FFFFFF"/>
              </w:rPr>
              <w:t>≤</w:t>
            </w:r>
            <w:r>
              <w:rPr>
                <w:rFonts w:hint="eastAsia"/>
                <w:color w:val="auto"/>
                <w:shd w:val="clear" w:color="auto" w:fill="FFFFFF"/>
              </w:rPr>
              <w:t>30</w:t>
            </w:r>
            <w:r>
              <w:rPr>
                <w:color w:val="auto"/>
                <w:shd w:val="clear" w:color="auto" w:fill="FFFFFF"/>
              </w:rPr>
              <w:t>mg/m</w:t>
            </w:r>
            <w:r>
              <w:rPr>
                <w:color w:val="auto"/>
                <w:shd w:val="clear" w:color="auto" w:fill="FFFFFF"/>
                <w:vertAlign w:val="superscript"/>
              </w:rPr>
              <w:t>3</w:t>
            </w:r>
            <w:r>
              <w:rPr>
                <w:rFonts w:hint="eastAsia"/>
                <w:color w:val="auto"/>
                <w:shd w:val="clear" w:color="auto" w:fill="FFFFFF"/>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1060" w:type="dxa"/>
            <w:vMerge w:val="continue"/>
            <w:vAlign w:val="center"/>
          </w:tcPr>
          <w:p>
            <w:pPr>
              <w:pStyle w:val="53"/>
            </w:pPr>
          </w:p>
        </w:tc>
        <w:tc>
          <w:tcPr>
            <w:tcW w:w="1255" w:type="dxa"/>
            <w:vAlign w:val="center"/>
          </w:tcPr>
          <w:p>
            <w:pPr>
              <w:pStyle w:val="53"/>
            </w:pPr>
            <w:r>
              <w:t>厂界</w:t>
            </w:r>
          </w:p>
        </w:tc>
        <w:tc>
          <w:tcPr>
            <w:tcW w:w="1245" w:type="dxa"/>
            <w:vAlign w:val="center"/>
          </w:tcPr>
          <w:p>
            <w:pPr>
              <w:pStyle w:val="53"/>
            </w:pPr>
            <w:r>
              <w:t>非甲烷总烃</w:t>
            </w:r>
            <w:r>
              <w:rPr>
                <w:rFonts w:hint="eastAsia"/>
                <w:lang w:val="en-US" w:eastAsia="zh-CN"/>
              </w:rPr>
              <w:t>、</w:t>
            </w:r>
            <w:r>
              <w:t>颗粒物</w:t>
            </w:r>
          </w:p>
        </w:tc>
        <w:tc>
          <w:tcPr>
            <w:tcW w:w="2115" w:type="dxa"/>
            <w:vMerge w:val="restart"/>
            <w:vAlign w:val="center"/>
          </w:tcPr>
          <w:p>
            <w:pPr>
              <w:pStyle w:val="53"/>
            </w:pPr>
            <w:r>
              <w:t>车间密闭，加强有机废气的收集及活性炭吸附净化装置维护保养</w:t>
            </w:r>
          </w:p>
        </w:tc>
        <w:tc>
          <w:tcPr>
            <w:tcW w:w="3214" w:type="dxa"/>
            <w:vAlign w:val="center"/>
          </w:tcPr>
          <w:p>
            <w:pPr>
              <w:pStyle w:val="53"/>
            </w:pPr>
            <w:r>
              <w:t>执行《合成树脂工业污染物排放标准》</w:t>
            </w:r>
            <w:r>
              <w:rPr>
                <w:rFonts w:hint="eastAsia"/>
              </w:rPr>
              <w:t xml:space="preserve"> （</w:t>
            </w:r>
            <w:r>
              <w:t>GB31572-2015</w:t>
            </w:r>
            <w:r>
              <w:rPr>
                <w:rFonts w:hint="eastAsia"/>
              </w:rPr>
              <w:t>）（含 2024 年修改单，生态环境部公告 2024 年第 11 号）</w:t>
            </w:r>
            <w:r>
              <w:t>表9中</w:t>
            </w:r>
            <w:r>
              <w:rPr>
                <w:rFonts w:hint="eastAsia"/>
              </w:rPr>
              <w:t>“</w:t>
            </w:r>
            <w:r>
              <w:t>企业边界大气污染物浓度限值</w:t>
            </w:r>
            <w:r>
              <w:rPr>
                <w:rFonts w:hint="eastAsia"/>
              </w:rPr>
              <w:t>”（</w:t>
            </w:r>
            <w:r>
              <w:t>非甲烷总烃≤</w:t>
            </w:r>
            <w:r>
              <w:rPr>
                <w:rFonts w:hint="eastAsia"/>
              </w:rPr>
              <w:t>4</w:t>
            </w:r>
            <w:r>
              <w:t>.0mg/m</w:t>
            </w:r>
            <w:r>
              <w:rPr>
                <w:vertAlign w:val="superscript"/>
              </w:rPr>
              <w:t>3</w:t>
            </w:r>
            <w:r>
              <w:t>、颗粒物≤1.0mg/m</w:t>
            </w:r>
            <w:r>
              <w:rPr>
                <w:vertAlign w:val="superscript"/>
              </w:rPr>
              <w:t>3</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60" w:type="dxa"/>
            <w:vMerge w:val="continue"/>
            <w:vAlign w:val="center"/>
          </w:tcPr>
          <w:p>
            <w:pPr>
              <w:pStyle w:val="53"/>
            </w:pPr>
          </w:p>
        </w:tc>
        <w:tc>
          <w:tcPr>
            <w:tcW w:w="1255" w:type="dxa"/>
            <w:vAlign w:val="center"/>
          </w:tcPr>
          <w:p>
            <w:pPr>
              <w:pStyle w:val="53"/>
            </w:pPr>
            <w:r>
              <w:t>厂区内</w:t>
            </w:r>
          </w:p>
        </w:tc>
        <w:tc>
          <w:tcPr>
            <w:tcW w:w="1245" w:type="dxa"/>
            <w:vAlign w:val="center"/>
          </w:tcPr>
          <w:p>
            <w:pPr>
              <w:pStyle w:val="53"/>
            </w:pPr>
            <w:r>
              <w:t>非甲烷总烃</w:t>
            </w:r>
          </w:p>
        </w:tc>
        <w:tc>
          <w:tcPr>
            <w:tcW w:w="2115" w:type="dxa"/>
            <w:vMerge w:val="continue"/>
            <w:vAlign w:val="center"/>
          </w:tcPr>
          <w:p>
            <w:pPr>
              <w:pStyle w:val="53"/>
            </w:pPr>
          </w:p>
        </w:tc>
        <w:tc>
          <w:tcPr>
            <w:tcW w:w="3214" w:type="dxa"/>
            <w:vAlign w:val="center"/>
          </w:tcPr>
          <w:p>
            <w:pPr>
              <w:pStyle w:val="53"/>
            </w:pPr>
            <w:r>
              <w:t>非甲烷总烃企业厂区内监控点浓度值满足《挥发性有机物无组织排放控制标准》</w:t>
            </w:r>
            <w:r>
              <w:rPr>
                <w:rFonts w:hint="eastAsia"/>
              </w:rPr>
              <w:t xml:space="preserve"> （</w:t>
            </w:r>
            <w:r>
              <w:t>GB37822-2019</w:t>
            </w:r>
            <w:r>
              <w:rPr>
                <w:rFonts w:hint="eastAsia"/>
              </w:rPr>
              <w:t>）</w:t>
            </w:r>
            <w:r>
              <w:t>中附录A表A.1标准限值</w:t>
            </w:r>
            <w:r>
              <w:rPr>
                <w:rFonts w:hint="eastAsia"/>
              </w:rPr>
              <w:t>（</w:t>
            </w:r>
            <w:r>
              <w:t>非甲烷总烃监控点处任意一次浓度值≤30mg/m</w:t>
            </w:r>
            <w:r>
              <w:rPr>
                <w:vertAlign w:val="superscript"/>
              </w:rPr>
              <w:t>3</w:t>
            </w:r>
            <w:r>
              <w:t>、监控点处1h平均浓度值≤10mg/m</w:t>
            </w:r>
            <w:r>
              <w:rPr>
                <w:vertAlign w:val="superscript"/>
              </w:rPr>
              <w:t>3</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060" w:type="dxa"/>
            <w:vMerge w:val="restart"/>
            <w:vAlign w:val="center"/>
          </w:tcPr>
          <w:p>
            <w:pPr>
              <w:pStyle w:val="53"/>
            </w:pPr>
            <w:r>
              <w:t>地表水</w:t>
            </w:r>
          </w:p>
          <w:p>
            <w:pPr>
              <w:pStyle w:val="53"/>
            </w:pPr>
            <w:r>
              <w:t>环境</w:t>
            </w:r>
          </w:p>
        </w:tc>
        <w:tc>
          <w:tcPr>
            <w:tcW w:w="1255" w:type="dxa"/>
            <w:shd w:val="clear" w:color="auto" w:fill="auto"/>
            <w:vAlign w:val="center"/>
          </w:tcPr>
          <w:p>
            <w:pPr>
              <w:pStyle w:val="53"/>
            </w:pPr>
            <w:r>
              <w:rPr>
                <w:rFonts w:hint="eastAsia"/>
              </w:rPr>
              <w:t>冷却水</w:t>
            </w:r>
          </w:p>
        </w:tc>
        <w:tc>
          <w:tcPr>
            <w:tcW w:w="1245" w:type="dxa"/>
            <w:shd w:val="clear" w:color="auto" w:fill="auto"/>
            <w:vAlign w:val="center"/>
          </w:tcPr>
          <w:p>
            <w:pPr>
              <w:pStyle w:val="53"/>
            </w:pPr>
            <w:r>
              <w:t>/</w:t>
            </w:r>
          </w:p>
        </w:tc>
        <w:tc>
          <w:tcPr>
            <w:tcW w:w="2115" w:type="dxa"/>
            <w:shd w:val="clear" w:color="auto" w:fill="auto"/>
            <w:vAlign w:val="center"/>
          </w:tcPr>
          <w:p>
            <w:pPr>
              <w:pStyle w:val="53"/>
            </w:pPr>
            <w:r>
              <w:t>循环使用不外排</w:t>
            </w:r>
          </w:p>
        </w:tc>
        <w:tc>
          <w:tcPr>
            <w:tcW w:w="3214" w:type="dxa"/>
            <w:shd w:val="clear" w:color="auto" w:fill="auto"/>
            <w:vAlign w:val="center"/>
          </w:tcPr>
          <w:p>
            <w:pPr>
              <w:pStyle w:val="53"/>
            </w:pPr>
            <w:r>
              <w:t>验收落实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vAlign w:val="center"/>
          </w:tcPr>
          <w:p>
            <w:pPr>
              <w:pStyle w:val="53"/>
            </w:pPr>
          </w:p>
        </w:tc>
        <w:tc>
          <w:tcPr>
            <w:tcW w:w="1255" w:type="dxa"/>
            <w:vAlign w:val="center"/>
          </w:tcPr>
          <w:p>
            <w:pPr>
              <w:pStyle w:val="53"/>
            </w:pPr>
            <w:r>
              <w:t>生活污水</w:t>
            </w:r>
          </w:p>
        </w:tc>
        <w:tc>
          <w:tcPr>
            <w:tcW w:w="1245" w:type="dxa"/>
            <w:vAlign w:val="center"/>
          </w:tcPr>
          <w:p>
            <w:pPr>
              <w:pStyle w:val="53"/>
            </w:pPr>
            <w:r>
              <w:t>pH、COD、BOD</w:t>
            </w:r>
            <w:r>
              <w:rPr>
                <w:vertAlign w:val="subscript"/>
              </w:rPr>
              <w:t>5</w:t>
            </w:r>
            <w:r>
              <w:t>、悬浮物、氨氮</w:t>
            </w:r>
          </w:p>
        </w:tc>
        <w:tc>
          <w:tcPr>
            <w:tcW w:w="2115" w:type="dxa"/>
            <w:vAlign w:val="center"/>
          </w:tcPr>
          <w:p>
            <w:pPr>
              <w:pStyle w:val="53"/>
            </w:pPr>
            <w:r>
              <w:t>生活污水</w:t>
            </w:r>
            <w:r>
              <w:rPr>
                <w:rFonts w:hint="eastAsia"/>
              </w:rPr>
              <w:t>依托万洋化粪池</w:t>
            </w:r>
            <w:r>
              <w:t>收集预处理后排入市政污水管网</w:t>
            </w:r>
          </w:p>
        </w:tc>
        <w:tc>
          <w:tcPr>
            <w:tcW w:w="3214" w:type="dxa"/>
            <w:vAlign w:val="center"/>
          </w:tcPr>
          <w:p>
            <w:pPr>
              <w:pStyle w:val="53"/>
            </w:pPr>
            <w:r>
              <w:t>满足《污水综合排放标准》</w:t>
            </w:r>
            <w:r>
              <w:rPr>
                <w:rFonts w:hint="eastAsia"/>
              </w:rPr>
              <w:t>（</w:t>
            </w:r>
            <w:r>
              <w:t>GB8978-1996</w:t>
            </w:r>
            <w:r>
              <w:rPr>
                <w:rFonts w:hint="eastAsia"/>
              </w:rPr>
              <w:t>）</w:t>
            </w:r>
            <w:r>
              <w:t>表4中三级排放标准</w:t>
            </w:r>
            <w:r>
              <w:rPr>
                <w:rFonts w:hint="eastAsia"/>
              </w:rPr>
              <w:t>（</w:t>
            </w:r>
            <w:r>
              <w:t>pH6 ~ 9</w:t>
            </w:r>
            <w:r>
              <w:rPr>
                <w:rFonts w:hint="eastAsia"/>
              </w:rPr>
              <w:t>（</w:t>
            </w:r>
            <w:r>
              <w:t>无量纲</w:t>
            </w:r>
            <w:r>
              <w:rPr>
                <w:rFonts w:hint="eastAsia"/>
              </w:rPr>
              <w:t>）、</w:t>
            </w:r>
            <w:r>
              <w:t>COD≤500mg/L、BOD5≤300mg/L、SS≤400mg/L</w:t>
            </w:r>
            <w:r>
              <w:rPr>
                <w:rFonts w:hint="eastAsia"/>
              </w:rPr>
              <w:t>），氨氮执行</w:t>
            </w:r>
            <w:r>
              <w:t>《污水排入城镇下水道水质标准》</w:t>
            </w:r>
            <w:r>
              <w:rPr>
                <w:rFonts w:hint="eastAsia"/>
              </w:rPr>
              <w:t>（</w:t>
            </w:r>
            <w:r>
              <w:t>GB/T 31962-2015</w:t>
            </w:r>
            <w:r>
              <w:rPr>
                <w:rFonts w:hint="eastAsia"/>
              </w:rPr>
              <w:t>）</w:t>
            </w:r>
            <w:r>
              <w:t>表1中B级标准限值</w:t>
            </w:r>
            <w:r>
              <w:rPr>
                <w:rFonts w:hint="eastAsia"/>
              </w:rPr>
              <w:t>（</w:t>
            </w:r>
            <w:r>
              <w:t>NH</w:t>
            </w:r>
            <w:r>
              <w:rPr>
                <w:vertAlign w:val="subscript"/>
              </w:rPr>
              <w:t>3</w:t>
            </w:r>
            <w:r>
              <w:t>-N≤45mg/L</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pPr>
              <w:pStyle w:val="53"/>
            </w:pPr>
            <w:r>
              <w:t>声环境</w:t>
            </w:r>
          </w:p>
        </w:tc>
        <w:tc>
          <w:tcPr>
            <w:tcW w:w="1255" w:type="dxa"/>
            <w:vAlign w:val="center"/>
          </w:tcPr>
          <w:p>
            <w:pPr>
              <w:pStyle w:val="53"/>
            </w:pPr>
            <w:r>
              <w:t>厂界四周</w:t>
            </w:r>
          </w:p>
        </w:tc>
        <w:tc>
          <w:tcPr>
            <w:tcW w:w="1245" w:type="dxa"/>
            <w:vAlign w:val="center"/>
          </w:tcPr>
          <w:p>
            <w:pPr>
              <w:pStyle w:val="53"/>
            </w:pPr>
            <w:r>
              <w:t>等效A声级</w:t>
            </w:r>
          </w:p>
        </w:tc>
        <w:tc>
          <w:tcPr>
            <w:tcW w:w="2115" w:type="dxa"/>
            <w:vAlign w:val="center"/>
          </w:tcPr>
          <w:p>
            <w:pPr>
              <w:pStyle w:val="53"/>
            </w:pPr>
            <w:r>
              <w:rPr>
                <w:lang w:val="en-GB"/>
              </w:rPr>
              <w:t>选用低噪声设备，加强设备维护，高噪声设备设置基础减振、隔声等措施</w:t>
            </w:r>
          </w:p>
        </w:tc>
        <w:tc>
          <w:tcPr>
            <w:tcW w:w="3214" w:type="dxa"/>
            <w:vAlign w:val="center"/>
          </w:tcPr>
          <w:p>
            <w:pPr>
              <w:pStyle w:val="53"/>
            </w:pPr>
            <w:r>
              <w:t>满足《工业企业厂界环境噪声排放标准》</w:t>
            </w:r>
            <w:r>
              <w:rPr>
                <w:rFonts w:hint="eastAsia"/>
              </w:rPr>
              <w:t>（</w:t>
            </w:r>
            <w:r>
              <w:t>GB12348-2008</w:t>
            </w:r>
            <w:r>
              <w:rPr>
                <w:rFonts w:hint="eastAsia"/>
              </w:rPr>
              <w:t>）</w:t>
            </w:r>
            <w:r>
              <w:t>中</w:t>
            </w:r>
            <w:r>
              <w:rPr>
                <w:rFonts w:hint="eastAsia"/>
              </w:rPr>
              <w:t>2</w:t>
            </w:r>
            <w:r>
              <w:t>类标准</w:t>
            </w:r>
            <w:r>
              <w:rPr>
                <w:rFonts w:hint="eastAsia"/>
              </w:rPr>
              <w:t>（</w:t>
            </w:r>
            <w:r>
              <w:t>昼间≤6</w:t>
            </w:r>
            <w:r>
              <w:rPr>
                <w:rFonts w:hint="eastAsia"/>
              </w:rPr>
              <w:t>0</w:t>
            </w:r>
            <w:r>
              <w:t>dB</w:t>
            </w:r>
            <w:r>
              <w:rPr>
                <w:rFonts w:hint="eastAsia"/>
              </w:rPr>
              <w:t>（</w:t>
            </w:r>
            <w:r>
              <w:t>A</w:t>
            </w:r>
            <w:r>
              <w:rPr>
                <w:rFonts w:hint="eastAsia"/>
              </w:rPr>
              <w:t>）</w:t>
            </w:r>
            <w:r>
              <w:t>、夜间≤5</w:t>
            </w:r>
            <w:r>
              <w:rPr>
                <w:rFonts w:hint="eastAsia"/>
              </w:rPr>
              <w:t>0</w:t>
            </w:r>
            <w:r>
              <w:t>dB</w:t>
            </w:r>
            <w:r>
              <w:rPr>
                <w:rFonts w:hint="eastAsia"/>
              </w:rPr>
              <w:t>（</w:t>
            </w:r>
            <w:r>
              <w:t>A</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pPr>
              <w:pStyle w:val="53"/>
            </w:pPr>
            <w:r>
              <w:t>电磁辐射</w:t>
            </w:r>
          </w:p>
        </w:tc>
        <w:tc>
          <w:tcPr>
            <w:tcW w:w="1255" w:type="dxa"/>
            <w:vAlign w:val="center"/>
          </w:tcPr>
          <w:p>
            <w:pPr>
              <w:pStyle w:val="53"/>
            </w:pPr>
            <w:r>
              <w:t>/</w:t>
            </w:r>
          </w:p>
        </w:tc>
        <w:tc>
          <w:tcPr>
            <w:tcW w:w="1245" w:type="dxa"/>
            <w:vAlign w:val="center"/>
          </w:tcPr>
          <w:p>
            <w:pPr>
              <w:pStyle w:val="53"/>
            </w:pPr>
            <w:r>
              <w:t>/</w:t>
            </w:r>
          </w:p>
        </w:tc>
        <w:tc>
          <w:tcPr>
            <w:tcW w:w="2115" w:type="dxa"/>
            <w:vAlign w:val="center"/>
          </w:tcPr>
          <w:p>
            <w:pPr>
              <w:pStyle w:val="53"/>
            </w:pPr>
            <w:r>
              <w:t>/</w:t>
            </w:r>
          </w:p>
        </w:tc>
        <w:tc>
          <w:tcPr>
            <w:tcW w:w="3214" w:type="dxa"/>
            <w:vAlign w:val="center"/>
          </w:tcPr>
          <w:p>
            <w:pPr>
              <w:pStyle w:val="53"/>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1060" w:type="dxa"/>
            <w:vAlign w:val="center"/>
          </w:tcPr>
          <w:p>
            <w:pPr>
              <w:pStyle w:val="53"/>
              <w:rPr>
                <w:lang w:val="en-GB"/>
              </w:rPr>
            </w:pPr>
            <w:r>
              <w:rPr>
                <w:lang w:val="en-GB"/>
              </w:rPr>
              <w:t>固体废物</w:t>
            </w:r>
          </w:p>
        </w:tc>
        <w:tc>
          <w:tcPr>
            <w:tcW w:w="7829" w:type="dxa"/>
            <w:gridSpan w:val="4"/>
            <w:vAlign w:val="center"/>
          </w:tcPr>
          <w:p>
            <w:pPr>
              <w:pStyle w:val="53"/>
              <w:jc w:val="both"/>
              <w:rPr>
                <w:lang w:val="en-GB"/>
              </w:rPr>
            </w:pPr>
            <w:r>
              <w:rPr>
                <w:lang w:val="en-GB"/>
              </w:rPr>
              <w:t>①一般工业固废：设置一般工业固废</w:t>
            </w:r>
            <w:r>
              <w:rPr>
                <w:rFonts w:hint="eastAsia"/>
              </w:rPr>
              <w:t>暂存区</w:t>
            </w:r>
            <w:r>
              <w:rPr>
                <w:lang w:val="en-GB"/>
              </w:rPr>
              <w:t>，妥善分类收集后出售给回收企业综合利用；满足《一般工业固体废物贮存和填埋污染控制标准》</w:t>
            </w:r>
            <w:r>
              <w:rPr>
                <w:rFonts w:hint="eastAsia"/>
                <w:lang w:val="en-GB"/>
              </w:rPr>
              <w:t>（</w:t>
            </w:r>
            <w:r>
              <w:rPr>
                <w:lang w:val="en-GB"/>
              </w:rPr>
              <w:t>GB 18599-2020</w:t>
            </w:r>
            <w:r>
              <w:rPr>
                <w:rFonts w:hint="eastAsia"/>
                <w:lang w:val="en-GB"/>
              </w:rPr>
              <w:t>）</w:t>
            </w:r>
            <w:r>
              <w:rPr>
                <w:lang w:val="en-GB"/>
              </w:rPr>
              <w:t>的相关要求；</w:t>
            </w:r>
          </w:p>
          <w:p>
            <w:pPr>
              <w:pStyle w:val="53"/>
              <w:jc w:val="both"/>
              <w:rPr>
                <w:lang w:val="en-GB"/>
              </w:rPr>
            </w:pPr>
            <w:r>
              <w:rPr>
                <w:lang w:val="en-GB"/>
              </w:rPr>
              <w:t>②危险废物：设置危险废物</w:t>
            </w:r>
            <w:r>
              <w:rPr>
                <w:rFonts w:hint="eastAsia"/>
              </w:rPr>
              <w:t>贮存库</w:t>
            </w:r>
            <w:r>
              <w:rPr>
                <w:lang w:val="en-GB"/>
              </w:rPr>
              <w:t>，妥善分类收集后定期委托有资质的单位进行处置满足《危险废物贮存污染控制标准》</w:t>
            </w:r>
            <w:r>
              <w:rPr>
                <w:rFonts w:hint="eastAsia"/>
                <w:lang w:val="en-GB"/>
              </w:rPr>
              <w:t>（</w:t>
            </w:r>
            <w:r>
              <w:rPr>
                <w:lang w:val="en-GB"/>
              </w:rPr>
              <w:t>GB 18597-2023</w:t>
            </w:r>
            <w:r>
              <w:rPr>
                <w:rFonts w:hint="eastAsia"/>
                <w:lang w:val="en-GB"/>
              </w:rPr>
              <w:t>）</w:t>
            </w:r>
            <w:r>
              <w:rPr>
                <w:lang w:val="en-GB"/>
              </w:rPr>
              <w:t>要求。危废转移应严格</w:t>
            </w:r>
            <w:r>
              <w:rPr>
                <w:rFonts w:hint="eastAsia"/>
                <w:lang w:val="en-GB"/>
              </w:rPr>
              <w:t>按照</w:t>
            </w:r>
            <w:r>
              <w:rPr>
                <w:lang w:val="en-GB"/>
              </w:rPr>
              <w:t>《危险废物转移联单管理办法》要求；</w:t>
            </w:r>
          </w:p>
          <w:p>
            <w:pPr>
              <w:pStyle w:val="53"/>
              <w:jc w:val="both"/>
              <w:rPr>
                <w:lang w:val="en-GB"/>
              </w:rPr>
            </w:pPr>
            <w:r>
              <w:rPr>
                <w:lang w:val="en-GB"/>
              </w:rPr>
              <w:t>③生活垃圾：设置垃圾桶收集，由市政环卫部门统一清运处理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pPr>
              <w:pStyle w:val="53"/>
            </w:pPr>
            <w:r>
              <w:t>土壤及地下水污染防治措施</w:t>
            </w:r>
          </w:p>
        </w:tc>
        <w:tc>
          <w:tcPr>
            <w:tcW w:w="7829" w:type="dxa"/>
            <w:gridSpan w:val="4"/>
            <w:vAlign w:val="center"/>
          </w:tcPr>
          <w:p>
            <w:pPr>
              <w:pStyle w:val="53"/>
            </w:pPr>
            <w:r>
              <w:rPr>
                <w:lang w:val="en-GB"/>
              </w:rPr>
              <w:t>合理进行防渗区域划分，</w:t>
            </w:r>
            <w:r>
              <w:t>危废</w:t>
            </w:r>
            <w:r>
              <w:rPr>
                <w:rFonts w:hint="eastAsia"/>
              </w:rPr>
              <w:t>贮存库</w:t>
            </w:r>
            <w:r>
              <w:t>设置围堰等风险防范措施</w:t>
            </w:r>
            <w:r>
              <w:rPr>
                <w:lang w:val="en-GB"/>
              </w:rPr>
              <w:t>，地面采取防渗，按重点污染区防渗要求进行建设；</w:t>
            </w:r>
            <w:r>
              <w:t>项目生产车间等按一般污染区防渗要求进行建设，且具有防雨、防渗、防风、防日晒等功能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pPr>
              <w:pStyle w:val="53"/>
            </w:pPr>
            <w:r>
              <w:t>生态保护措施</w:t>
            </w:r>
          </w:p>
        </w:tc>
        <w:tc>
          <w:tcPr>
            <w:tcW w:w="7829" w:type="dxa"/>
            <w:gridSpan w:val="4"/>
            <w:vAlign w:val="center"/>
          </w:tcPr>
          <w:p>
            <w:pPr>
              <w:pStyle w:val="53"/>
            </w:pPr>
            <w: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pPr>
              <w:pStyle w:val="53"/>
            </w:pPr>
            <w:r>
              <w:t>环境风险</w:t>
            </w:r>
          </w:p>
          <w:p>
            <w:pPr>
              <w:pStyle w:val="53"/>
            </w:pPr>
            <w:r>
              <w:t>防范措施</w:t>
            </w:r>
          </w:p>
        </w:tc>
        <w:tc>
          <w:tcPr>
            <w:tcW w:w="7829" w:type="dxa"/>
            <w:gridSpan w:val="4"/>
            <w:vAlign w:val="center"/>
          </w:tcPr>
          <w:p>
            <w:pPr>
              <w:pStyle w:val="53"/>
            </w:pPr>
            <w:r>
              <w:t>加强设施管理及维护，避免事故排放；厂区内严禁烟火，严格动火审批制度；配备相应的堵漏材料</w:t>
            </w:r>
            <w:r>
              <w:rPr>
                <w:rFonts w:hint="eastAsia"/>
              </w:rPr>
              <w:t>（</w:t>
            </w:r>
            <w:r>
              <w:t>砂袋、吸油毡等</w:t>
            </w:r>
            <w:r>
              <w:rPr>
                <w:rFonts w:hint="eastAsia"/>
              </w:rPr>
              <w:t>）</w:t>
            </w: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pPr>
              <w:pStyle w:val="53"/>
            </w:pPr>
            <w:r>
              <w:t>其他环境管理要求</w:t>
            </w:r>
          </w:p>
        </w:tc>
        <w:tc>
          <w:tcPr>
            <w:tcW w:w="7829" w:type="dxa"/>
            <w:gridSpan w:val="4"/>
            <w:vAlign w:val="center"/>
          </w:tcPr>
          <w:p>
            <w:pPr>
              <w:pStyle w:val="53"/>
              <w:jc w:val="both"/>
            </w:pPr>
            <w:r>
              <w:rPr>
                <w:rFonts w:hint="eastAsia"/>
              </w:rPr>
              <w:t>（</w:t>
            </w:r>
            <w:r>
              <w:t>1</w:t>
            </w:r>
            <w:r>
              <w:rPr>
                <w:rFonts w:hint="eastAsia"/>
              </w:rPr>
              <w:t>）</w:t>
            </w:r>
            <w:r>
              <w:t>排污口规范管理</w:t>
            </w:r>
          </w:p>
          <w:p>
            <w:pPr>
              <w:pStyle w:val="53"/>
              <w:jc w:val="both"/>
            </w:pPr>
            <w:r>
              <w:t>各污染源排放口应设置专项图标，执行《环境保护图形标志—排放口</w:t>
            </w:r>
            <w:r>
              <w:rPr>
                <w:rFonts w:hint="eastAsia"/>
              </w:rPr>
              <w:t>（</w:t>
            </w:r>
            <w:r>
              <w:t>源</w:t>
            </w:r>
            <w:r>
              <w:rPr>
                <w:rFonts w:hint="eastAsia"/>
              </w:rPr>
              <w:t>）</w:t>
            </w:r>
            <w:r>
              <w:t>》</w:t>
            </w:r>
            <w:r>
              <w:rPr>
                <w:rFonts w:hint="eastAsia"/>
              </w:rPr>
              <w:t>（</w:t>
            </w:r>
            <w:r>
              <w:t>GB15563.1-1995</w:t>
            </w:r>
            <w:r>
              <w:rPr>
                <w:rFonts w:hint="eastAsia"/>
              </w:rPr>
              <w:t>）</w:t>
            </w:r>
            <w:r>
              <w:t>，要求各排放口</w:t>
            </w:r>
            <w:r>
              <w:rPr>
                <w:rFonts w:hint="eastAsia"/>
              </w:rPr>
              <w:t>（</w:t>
            </w:r>
            <w:r>
              <w:t>源</w:t>
            </w:r>
            <w:r>
              <w:rPr>
                <w:rFonts w:hint="eastAsia"/>
              </w:rPr>
              <w:t>）</w:t>
            </w:r>
            <w:r>
              <w:t>提示标志形状采用正方形边框，背景颜色采用绿色，图形颜色采用白色。标志牌应设在与之功能相应的醒目处，并保持清晰、完整，具体详见表5.1-1。</w:t>
            </w:r>
          </w:p>
          <w:p>
            <w:pPr>
              <w:pStyle w:val="96"/>
            </w:pPr>
            <w:r>
              <w:t>表5.1-1  排污口图形符号</w:t>
            </w:r>
            <w:r>
              <w:rPr>
                <w:rFonts w:hint="eastAsia"/>
              </w:rPr>
              <w:t>（</w:t>
            </w:r>
            <w:r>
              <w:t>提示标志</w:t>
            </w:r>
            <w:r>
              <w:rPr>
                <w:rFonts w:hint="eastAsia"/>
              </w:rPr>
              <w:t>）</w:t>
            </w:r>
            <w:r>
              <w:t>一览表</w:t>
            </w:r>
          </w:p>
          <w:tbl>
            <w:tblPr>
              <w:tblStyle w:val="36"/>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77"/>
              <w:gridCol w:w="1247"/>
              <w:gridCol w:w="1247"/>
              <w:gridCol w:w="1247"/>
              <w:gridCol w:w="1292"/>
              <w:gridCol w:w="1200"/>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vAlign w:val="center"/>
                </w:tcPr>
                <w:p>
                  <w:pPr>
                    <w:pStyle w:val="53"/>
                    <w:rPr>
                      <w:lang w:val="en-GB"/>
                    </w:rPr>
                  </w:pPr>
                  <w:r>
                    <w:rPr>
                      <w:lang w:val="en-GB"/>
                    </w:rPr>
                    <w:t>排放部位</w:t>
                  </w:r>
                </w:p>
                <w:p>
                  <w:pPr>
                    <w:pStyle w:val="53"/>
                    <w:rPr>
                      <w:lang w:val="en-GB"/>
                    </w:rPr>
                  </w:pPr>
                  <w:r>
                    <w:rPr>
                      <w:lang w:val="en-GB"/>
                    </w:rPr>
                    <w:t>项目</w:t>
                  </w:r>
                </w:p>
              </w:tc>
              <w:tc>
                <w:tcPr>
                  <w:tcW w:w="819" w:type="pct"/>
                  <w:tcBorders>
                    <w:top w:val="single" w:color="auto" w:sz="12" w:space="0"/>
                    <w:left w:val="single" w:color="auto" w:sz="6" w:space="0"/>
                    <w:bottom w:val="single" w:color="auto" w:sz="6" w:space="0"/>
                    <w:right w:val="single" w:color="auto" w:sz="6" w:space="0"/>
                  </w:tcBorders>
                  <w:vAlign w:val="center"/>
                </w:tcPr>
                <w:p>
                  <w:pPr>
                    <w:pStyle w:val="53"/>
                    <w:rPr>
                      <w:lang w:val="en-GB"/>
                    </w:rPr>
                  </w:pPr>
                  <w:r>
                    <w:rPr>
                      <w:lang w:val="en-GB"/>
                    </w:rPr>
                    <w:t>污水排放口</w:t>
                  </w:r>
                </w:p>
              </w:tc>
              <w:tc>
                <w:tcPr>
                  <w:tcW w:w="819" w:type="pct"/>
                  <w:tcBorders>
                    <w:top w:val="single" w:color="auto" w:sz="12" w:space="0"/>
                    <w:left w:val="single" w:color="auto" w:sz="6" w:space="0"/>
                    <w:bottom w:val="single" w:color="auto" w:sz="6" w:space="0"/>
                    <w:right w:val="single" w:color="auto" w:sz="6" w:space="0"/>
                  </w:tcBorders>
                  <w:vAlign w:val="center"/>
                </w:tcPr>
                <w:p>
                  <w:pPr>
                    <w:pStyle w:val="53"/>
                    <w:rPr>
                      <w:lang w:val="en-GB"/>
                    </w:rPr>
                  </w:pPr>
                  <w:r>
                    <w:rPr>
                      <w:lang w:val="en-GB"/>
                    </w:rPr>
                    <w:t>废气排放口</w:t>
                  </w:r>
                </w:p>
              </w:tc>
              <w:tc>
                <w:tcPr>
                  <w:tcW w:w="819" w:type="pct"/>
                  <w:tcBorders>
                    <w:top w:val="single" w:color="auto" w:sz="12" w:space="0"/>
                    <w:left w:val="single" w:color="auto" w:sz="6" w:space="0"/>
                    <w:bottom w:val="single" w:color="auto" w:sz="6" w:space="0"/>
                    <w:right w:val="single" w:color="auto" w:sz="6" w:space="0"/>
                  </w:tcBorders>
                  <w:vAlign w:val="center"/>
                </w:tcPr>
                <w:p>
                  <w:pPr>
                    <w:pStyle w:val="53"/>
                    <w:rPr>
                      <w:lang w:val="en-GB"/>
                    </w:rPr>
                  </w:pPr>
                  <w:r>
                    <w:rPr>
                      <w:lang w:val="en-GB"/>
                    </w:rPr>
                    <w:t>噪声排放源</w:t>
                  </w:r>
                </w:p>
              </w:tc>
              <w:tc>
                <w:tcPr>
                  <w:tcW w:w="848" w:type="pct"/>
                  <w:tcBorders>
                    <w:top w:val="single" w:color="auto" w:sz="12" w:space="0"/>
                    <w:left w:val="single" w:color="auto" w:sz="6" w:space="0"/>
                    <w:bottom w:val="single" w:color="auto" w:sz="6" w:space="0"/>
                    <w:right w:val="single" w:color="auto" w:sz="6" w:space="0"/>
                  </w:tcBorders>
                  <w:vAlign w:val="center"/>
                </w:tcPr>
                <w:p>
                  <w:pPr>
                    <w:pStyle w:val="53"/>
                    <w:rPr>
                      <w:lang w:val="en-GB"/>
                    </w:rPr>
                  </w:pPr>
                  <w:r>
                    <w:rPr>
                      <w:lang w:val="en-GB"/>
                    </w:rPr>
                    <w:t>一般工业固废</w:t>
                  </w:r>
                </w:p>
              </w:tc>
              <w:tc>
                <w:tcPr>
                  <w:tcW w:w="788" w:type="pct"/>
                  <w:tcBorders>
                    <w:top w:val="single" w:color="auto" w:sz="12" w:space="0"/>
                    <w:left w:val="single" w:color="auto" w:sz="6" w:space="0"/>
                    <w:bottom w:val="single" w:color="auto" w:sz="6" w:space="0"/>
                    <w:right w:val="nil"/>
                  </w:tcBorders>
                  <w:vAlign w:val="center"/>
                </w:tcPr>
                <w:p>
                  <w:pPr>
                    <w:pStyle w:val="53"/>
                    <w:rPr>
                      <w:lang w:val="en-GB"/>
                    </w:rPr>
                  </w:pPr>
                  <w:r>
                    <w:rPr>
                      <w:lang w:val="en-GB"/>
                    </w:rPr>
                    <w:t>危险废物</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vAlign w:val="center"/>
                </w:tcPr>
                <w:p>
                  <w:pPr>
                    <w:pStyle w:val="53"/>
                    <w:rPr>
                      <w:lang w:val="en-GB"/>
                    </w:rPr>
                  </w:pPr>
                  <w:r>
                    <w:rPr>
                      <w:lang w:val="en-GB"/>
                    </w:rPr>
                    <w:t>图形符号</w:t>
                  </w:r>
                </w:p>
              </w:tc>
              <w:tc>
                <w:tcPr>
                  <w:tcW w:w="819" w:type="pct"/>
                  <w:tcBorders>
                    <w:top w:val="single" w:color="auto" w:sz="6" w:space="0"/>
                    <w:left w:val="single" w:color="auto" w:sz="6" w:space="0"/>
                    <w:bottom w:val="single" w:color="auto" w:sz="6" w:space="0"/>
                    <w:right w:val="single" w:color="auto" w:sz="6" w:space="0"/>
                  </w:tcBorders>
                  <w:vAlign w:val="center"/>
                </w:tcPr>
                <w:p>
                  <w:pPr>
                    <w:pStyle w:val="53"/>
                    <w:rPr>
                      <w:lang w:val="en-GB"/>
                    </w:rPr>
                  </w:pPr>
                  <w:r>
                    <mc:AlternateContent>
                      <mc:Choice Requires="wpg">
                        <w:drawing>
                          <wp:anchor distT="0" distB="0" distL="114300" distR="114300" simplePos="0" relativeHeight="251668480" behindDoc="0" locked="0" layoutInCell="1" allowOverlap="1">
                            <wp:simplePos x="0" y="0"/>
                            <wp:positionH relativeFrom="column">
                              <wp:posOffset>26035</wp:posOffset>
                            </wp:positionH>
                            <wp:positionV relativeFrom="paragraph">
                              <wp:posOffset>85725</wp:posOffset>
                            </wp:positionV>
                            <wp:extent cx="3002915" cy="660400"/>
                            <wp:effectExtent l="0" t="0" r="6985" b="6350"/>
                            <wp:wrapNone/>
                            <wp:docPr id="19" name="组合 8"/>
                            <wp:cNvGraphicFramePr/>
                            <a:graphic xmlns:a="http://schemas.openxmlformats.org/drawingml/2006/main">
                              <a:graphicData uri="http://schemas.microsoft.com/office/word/2010/wordprocessingGroup">
                                <wpg:wgp>
                                  <wpg:cNvGrpSpPr/>
                                  <wpg:grpSpPr>
                                    <a:xfrm>
                                      <a:off x="0" y="0"/>
                                      <a:ext cx="3002915" cy="660400"/>
                                      <a:chOff x="4407" y="1049350"/>
                                      <a:chExt cx="4805" cy="1057"/>
                                    </a:xfrm>
                                    <a:effectLst/>
                                  </wpg:grpSpPr>
                                  <pic:pic xmlns:pic="http://schemas.openxmlformats.org/drawingml/2006/picture">
                                    <pic:nvPicPr>
                                      <pic:cNvPr id="20" name="图片 754" descr="1"/>
                                      <pic:cNvPicPr>
                                        <a:picLocks noChangeAspect="1"/>
                                      </pic:cNvPicPr>
                                    </pic:nvPicPr>
                                    <pic:blipFill>
                                      <a:blip r:embed="rId42"/>
                                      <a:stretch>
                                        <a:fillRect/>
                                      </a:stretch>
                                    </pic:blipFill>
                                    <pic:spPr>
                                      <a:xfrm>
                                        <a:off x="4407" y="1049350"/>
                                        <a:ext cx="1031" cy="1031"/>
                                      </a:xfrm>
                                      <a:prstGeom prst="rect">
                                        <a:avLst/>
                                      </a:prstGeom>
                                      <a:noFill/>
                                      <a:ln>
                                        <a:noFill/>
                                      </a:ln>
                                      <a:effectLst/>
                                    </pic:spPr>
                                  </pic:pic>
                                  <pic:pic xmlns:pic="http://schemas.openxmlformats.org/drawingml/2006/picture">
                                    <pic:nvPicPr>
                                      <pic:cNvPr id="21" name="图片 755" descr="点击看大图及详细资料"/>
                                      <pic:cNvPicPr>
                                        <a:picLocks noChangeAspect="1"/>
                                      </pic:cNvPicPr>
                                    </pic:nvPicPr>
                                    <pic:blipFill>
                                      <a:blip r:embed="rId43"/>
                                      <a:stretch>
                                        <a:fillRect/>
                                      </a:stretch>
                                    </pic:blipFill>
                                    <pic:spPr>
                                      <a:xfrm>
                                        <a:off x="5651" y="1049375"/>
                                        <a:ext cx="1031" cy="1031"/>
                                      </a:xfrm>
                                      <a:prstGeom prst="rect">
                                        <a:avLst/>
                                      </a:prstGeom>
                                      <a:noFill/>
                                      <a:ln>
                                        <a:noFill/>
                                      </a:ln>
                                      <a:effectLst/>
                                    </pic:spPr>
                                  </pic:pic>
                                  <pic:pic xmlns:pic="http://schemas.openxmlformats.org/drawingml/2006/picture">
                                    <pic:nvPicPr>
                                      <pic:cNvPr id="22" name="图片 756" descr="点击看大图及详细资料"/>
                                      <pic:cNvPicPr>
                                        <a:picLocks noChangeAspect="1"/>
                                      </pic:cNvPicPr>
                                    </pic:nvPicPr>
                                    <pic:blipFill>
                                      <a:blip r:embed="rId44"/>
                                      <a:stretch>
                                        <a:fillRect/>
                                      </a:stretch>
                                    </pic:blipFill>
                                    <pic:spPr>
                                      <a:xfrm>
                                        <a:off x="6899" y="1049361"/>
                                        <a:ext cx="1034" cy="1031"/>
                                      </a:xfrm>
                                      <a:prstGeom prst="rect">
                                        <a:avLst/>
                                      </a:prstGeom>
                                      <a:noFill/>
                                      <a:ln>
                                        <a:noFill/>
                                      </a:ln>
                                      <a:effectLst/>
                                    </pic:spPr>
                                  </pic:pic>
                                  <pic:pic xmlns:pic="http://schemas.openxmlformats.org/drawingml/2006/picture">
                                    <pic:nvPicPr>
                                      <pic:cNvPr id="23" name="图片 757" descr="一般固废"/>
                                      <pic:cNvPicPr preferRelativeResize="0"/>
                                    </pic:nvPicPr>
                                    <pic:blipFill>
                                      <a:blip r:embed="rId45"/>
                                      <a:stretch>
                                        <a:fillRect/>
                                      </a:stretch>
                                    </pic:blipFill>
                                    <pic:spPr>
                                      <a:xfrm>
                                        <a:off x="8179" y="1049376"/>
                                        <a:ext cx="1033" cy="1031"/>
                                      </a:xfrm>
                                      <a:prstGeom prst="rect">
                                        <a:avLst/>
                                      </a:prstGeom>
                                      <a:noFill/>
                                      <a:ln>
                                        <a:noFill/>
                                      </a:ln>
                                      <a:effectLst/>
                                    </pic:spPr>
                                  </pic:pic>
                                </wpg:wgp>
                              </a:graphicData>
                            </a:graphic>
                          </wp:anchor>
                        </w:drawing>
                      </mc:Choice>
                      <mc:Fallback>
                        <w:pict>
                          <v:group id="组合 8" o:spid="_x0000_s1026" o:spt="203" style="position:absolute;left:0pt;margin-left:2.05pt;margin-top:6.75pt;height:52pt;width:236.45pt;z-index:251668480;mso-width-relative:page;mso-height-relative:page;" coordorigin="4407,1049350" coordsize="4805,1057" o:gfxdata="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QEzNwLgAAADb&#10;AAAADwAAAGRycy9kb3ducmV2LnhtbEVPy6rCMBDdC/5DGMGdpnYh12oUFRWvOx8I7sZmbIvNpDTx&#10;+fVmIbg8nPdo8jSluFPtCssKet0IBHFqdcGZgsN+2fkD4TyyxtIyKXiRg8m42Rhhou2Dt3Tf+UyE&#10;EHYJKsi9rxIpXZqTQde1FXHgLrY26AOsM6lrfIRwU8o4ivrSYMGhIceK5jml193NKFgcq1Ns3ud4&#10;epv9p6vytPE0QKXarV40BOHp6X/ir3utFcRhffgSfoA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EzNwLgAAADbAAAA&#10;DwAAAAAAAAABACAAAAAiAAAAZHJzL2Rvd25yZXYueG1sUEsBAhQAFAAAAAgAh07iQDMvBZ47AAAA&#10;OQAAABAAAAAAAAAAAQAgAAAABwEAAGRycy9zaGFwZXhtbC54bWxQSwUGAAAAAAYABgBbAQAAsQMA&#10;AAAA&#10;">
                              <v:fill on="f" focussize="0,0"/>
                              <v:stroke on="f"/>
                              <v:imagedata r:id="rId42"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pSkszL4AAADb&#10;AAAADwAAAGRycy9kb3ducmV2LnhtbEWPQWvCQBSE7wX/w/KE3nSziqVEV0EhIpQe1KJ4e2afSdrs&#10;25DdGv33bkHocZiZb5jZ4mZrcaXWV441qGECgjh3puJCw9c+G7yD8AHZYO2YNNzJw2Lee5lhalzH&#10;W7ruQiEihH2KGsoQmlRKn5dk0Q9dQxy9i2sthijbQpoWuwi3tRwlyZu0WHFcKLGhVUn5z+7Xalhv&#10;z5Pl9/pwvK9wfFqqzyz76JTWr32VTEEEuoX/8LO9MRpGCv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kszL4A&#10;AADbAAAADwAAAAAAAAABACAAAAAiAAAAZHJzL2Rvd25yZXYueG1sUEsBAhQAFAAAAAgAh07iQDMv&#10;BZ47AAAAOQAAABAAAAAAAAAAAQAgAAAADQEAAGRycy9zaGFwZXhtbC54bWxQSwUGAAAAAAYABgBb&#10;AQAAtwMAAAAA&#10;">
                              <v:fill on="f" focussize="0,0"/>
                              <v:stroke on="f"/>
                              <v:imagedata r:id="rId43"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qe3wL70AAADb&#10;AAAADwAAAGRycy9kb3ducmV2LnhtbEWPS4vCQBCE7wv+h6EFb+skEaJkHT34AEH34AO8NpneJLuZ&#10;npgZo/77HUHwWFTVV9R0fje16Kh1lWUF8TACQZxbXXGh4HRcf05AOI+ssbZMCh7kYD7rfUwx0/bG&#10;e+oOvhABwi5DBaX3TSaly0sy6Ia2IQ7ej20N+iDbQuoWbwFuaplEUSoNVhwWSmxoUVL+d7gaBWZ0&#10;7H51ffaXld3Gu+/l+JqmW6UG/Tj6AuHp7t/hV3ujFSQJPL+EH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7fAvvQAA&#10;ANsAAAAPAAAAAAAAAAEAIAAAACIAAABkcnMvZG93bnJldi54bWxQSwECFAAUAAAACACHTuJAMy8F&#10;njsAAAA5AAAAEAAAAAAAAAABACAAAAAMAQAAZHJzL3NoYXBleG1sLnhtbFBLBQYAAAAABgAGAFsB&#10;AAC2AwAAAAA=&#10;">
                              <v:fill on="f" focussize="0,0"/>
                              <v:stroke on="f"/>
                              <v:imagedata r:id="rId44"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fJEvU74AAADb&#10;AAAADwAAAGRycy9kb3ducmV2LnhtbEWPQWvCQBSE74L/YXmFXqTuasFKzMaDVeit1Hrx9si+JrHZ&#10;t2F3m2h+fbdQ8DjMzDdMvr3aVvTkQ+NYw2KuQBCXzjRcaTh9Hp7WIEJENtg6Jg03CrAtppMcM+MG&#10;/qD+GCuRIBwy1FDH2GVShrImi2HuOuLkfTlvMSbpK2k8DgluW7lUaiUtNpwWauxoV1P5ffyxGi4y&#10;rF/eR3Vu+3Hmz7dx/zpUJ60fHxZqAyLSNd7D/+03o2H5DH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EvU74A&#10;AADbAAAADwAAAAAAAAABACAAAAAiAAAAZHJzL2Rvd25yZXYueG1sUEsBAhQAFAAAAAgAh07iQDMv&#10;BZ47AAAAOQAAABAAAAAAAAAAAQAgAAAADQEAAGRycy9zaGFwZXhtbC54bWxQSwUGAAAAAAYABgBb&#10;AQAAtwMAAAAA&#10;">
                              <v:fill on="f" focussize="0,0"/>
                              <v:stroke on="f"/>
                              <v:imagedata r:id="rId45" o:title=""/>
                              <o:lock v:ext="edit" aspectratio="f"/>
                            </v:shape>
                          </v:group>
                        </w:pict>
                      </mc:Fallback>
                    </mc:AlternateContent>
                  </w:r>
                </w:p>
                <w:p>
                  <w:pPr>
                    <w:pStyle w:val="53"/>
                    <w:rPr>
                      <w:lang w:val="en-GB"/>
                    </w:rPr>
                  </w:pPr>
                </w:p>
                <w:p>
                  <w:pPr>
                    <w:pStyle w:val="53"/>
                    <w:rPr>
                      <w:lang w:val="en-GB"/>
                    </w:rPr>
                  </w:pPr>
                </w:p>
                <w:p>
                  <w:pPr>
                    <w:pStyle w:val="53"/>
                    <w:rPr>
                      <w:lang w:val="en-GB"/>
                    </w:rPr>
                  </w:pPr>
                </w:p>
              </w:tc>
              <w:tc>
                <w:tcPr>
                  <w:tcW w:w="819" w:type="pct"/>
                  <w:tcBorders>
                    <w:top w:val="single" w:color="auto" w:sz="6" w:space="0"/>
                    <w:left w:val="single" w:color="auto" w:sz="6" w:space="0"/>
                    <w:bottom w:val="single" w:color="auto" w:sz="6" w:space="0"/>
                    <w:right w:val="single" w:color="auto" w:sz="6" w:space="0"/>
                  </w:tcBorders>
                  <w:vAlign w:val="center"/>
                </w:tcPr>
                <w:p>
                  <w:pPr>
                    <w:pStyle w:val="53"/>
                    <w:rPr>
                      <w:lang w:val="en-GB"/>
                    </w:rPr>
                  </w:pPr>
                </w:p>
                <w:p>
                  <w:pPr>
                    <w:pStyle w:val="53"/>
                    <w:rPr>
                      <w:lang w:val="en-GB"/>
                    </w:rPr>
                  </w:pPr>
                </w:p>
                <w:p>
                  <w:pPr>
                    <w:pStyle w:val="53"/>
                    <w:rPr>
                      <w:lang w:val="en-GB"/>
                    </w:rPr>
                  </w:pPr>
                </w:p>
              </w:tc>
              <w:tc>
                <w:tcPr>
                  <w:tcW w:w="819" w:type="pct"/>
                  <w:tcBorders>
                    <w:top w:val="single" w:color="auto" w:sz="6" w:space="0"/>
                    <w:left w:val="single" w:color="auto" w:sz="6" w:space="0"/>
                    <w:bottom w:val="single" w:color="auto" w:sz="6" w:space="0"/>
                    <w:right w:val="single" w:color="auto" w:sz="6" w:space="0"/>
                  </w:tcBorders>
                  <w:vAlign w:val="center"/>
                </w:tcPr>
                <w:p>
                  <w:pPr>
                    <w:pStyle w:val="53"/>
                    <w:rPr>
                      <w:lang w:val="en-GB"/>
                    </w:rPr>
                  </w:pPr>
                </w:p>
                <w:p>
                  <w:pPr>
                    <w:pStyle w:val="53"/>
                    <w:rPr>
                      <w:lang w:val="en-GB"/>
                    </w:rPr>
                  </w:pPr>
                </w:p>
                <w:p>
                  <w:pPr>
                    <w:pStyle w:val="53"/>
                    <w:rPr>
                      <w:lang w:val="en-GB"/>
                    </w:rPr>
                  </w:pPr>
                </w:p>
              </w:tc>
              <w:tc>
                <w:tcPr>
                  <w:tcW w:w="848" w:type="pct"/>
                  <w:tcBorders>
                    <w:top w:val="single" w:color="auto" w:sz="6" w:space="0"/>
                    <w:left w:val="single" w:color="auto" w:sz="6" w:space="0"/>
                    <w:bottom w:val="single" w:color="auto" w:sz="6" w:space="0"/>
                    <w:right w:val="single" w:color="auto" w:sz="6" w:space="0"/>
                  </w:tcBorders>
                  <w:vAlign w:val="center"/>
                </w:tcPr>
                <w:p>
                  <w:pPr>
                    <w:pStyle w:val="53"/>
                    <w:rPr>
                      <w:lang w:val="en-GB"/>
                    </w:rPr>
                  </w:pPr>
                </w:p>
              </w:tc>
              <w:tc>
                <w:tcPr>
                  <w:tcW w:w="788" w:type="pct"/>
                  <w:tcBorders>
                    <w:top w:val="single" w:color="auto" w:sz="6" w:space="0"/>
                    <w:left w:val="single" w:color="auto" w:sz="6" w:space="0"/>
                    <w:bottom w:val="single" w:color="auto" w:sz="6" w:space="0"/>
                    <w:right w:val="nil"/>
                  </w:tcBorders>
                  <w:vAlign w:val="center"/>
                </w:tcPr>
                <w:p>
                  <w:pPr>
                    <w:pStyle w:val="53"/>
                    <w:rPr>
                      <w:lang w:val="en-GB"/>
                    </w:rPr>
                  </w:pPr>
                  <w:r>
                    <w:drawing>
                      <wp:anchor distT="0" distB="0" distL="114300" distR="114300" simplePos="0" relativeHeight="251671552" behindDoc="0" locked="0" layoutInCell="1" allowOverlap="1">
                        <wp:simplePos x="0" y="0"/>
                        <wp:positionH relativeFrom="column">
                          <wp:posOffset>-22860</wp:posOffset>
                        </wp:positionH>
                        <wp:positionV relativeFrom="paragraph">
                          <wp:posOffset>42545</wp:posOffset>
                        </wp:positionV>
                        <wp:extent cx="723900" cy="658495"/>
                        <wp:effectExtent l="0" t="0" r="0" b="8255"/>
                        <wp:wrapNone/>
                        <wp:docPr id="91" name="图片 439"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39" descr="093c2d640a89c2c2fc565a102dcd89f"/>
                                <pic:cNvPicPr>
                                  <a:picLocks noChangeAspect="1"/>
                                </pic:cNvPicPr>
                              </pic:nvPicPr>
                              <pic:blipFill>
                                <a:blip r:embed="rId46" cstate="print"/>
                                <a:stretch>
                                  <a:fillRect/>
                                </a:stretch>
                              </pic:blipFill>
                              <pic:spPr>
                                <a:xfrm>
                                  <a:off x="0" y="0"/>
                                  <a:ext cx="723900" cy="6584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vAlign w:val="center"/>
                </w:tcPr>
                <w:p>
                  <w:pPr>
                    <w:pStyle w:val="53"/>
                    <w:rPr>
                      <w:lang w:val="en-GB"/>
                    </w:rPr>
                  </w:pPr>
                  <w:r>
                    <w:rPr>
                      <w:lang w:val="en-GB"/>
                    </w:rPr>
                    <w:t>形状</w:t>
                  </w:r>
                </w:p>
              </w:tc>
              <w:tc>
                <w:tcPr>
                  <w:tcW w:w="819" w:type="pct"/>
                  <w:tcBorders>
                    <w:top w:val="single" w:color="auto" w:sz="6" w:space="0"/>
                    <w:left w:val="single" w:color="auto" w:sz="6" w:space="0"/>
                    <w:bottom w:val="single" w:color="auto" w:sz="6" w:space="0"/>
                    <w:right w:val="single" w:color="auto" w:sz="6" w:space="0"/>
                  </w:tcBorders>
                  <w:vAlign w:val="center"/>
                </w:tcPr>
                <w:p>
                  <w:pPr>
                    <w:pStyle w:val="53"/>
                    <w:rPr>
                      <w:lang w:val="en-GB"/>
                    </w:rPr>
                  </w:pPr>
                  <w:r>
                    <w:rPr>
                      <w:lang w:val="en-GB"/>
                    </w:rPr>
                    <w:t>正方形边框</w:t>
                  </w:r>
                </w:p>
              </w:tc>
              <w:tc>
                <w:tcPr>
                  <w:tcW w:w="819" w:type="pct"/>
                  <w:tcBorders>
                    <w:top w:val="single" w:color="auto" w:sz="6" w:space="0"/>
                    <w:left w:val="single" w:color="auto" w:sz="6" w:space="0"/>
                    <w:bottom w:val="single" w:color="auto" w:sz="6" w:space="0"/>
                    <w:right w:val="single" w:color="auto" w:sz="6" w:space="0"/>
                  </w:tcBorders>
                  <w:vAlign w:val="center"/>
                </w:tcPr>
                <w:p>
                  <w:pPr>
                    <w:pStyle w:val="53"/>
                    <w:rPr>
                      <w:lang w:val="en-GB"/>
                    </w:rPr>
                  </w:pPr>
                  <w:r>
                    <w:rPr>
                      <w:lang w:val="en-GB"/>
                    </w:rPr>
                    <w:t>正方形边框</w:t>
                  </w:r>
                </w:p>
              </w:tc>
              <w:tc>
                <w:tcPr>
                  <w:tcW w:w="819" w:type="pct"/>
                  <w:tcBorders>
                    <w:top w:val="single" w:color="auto" w:sz="6" w:space="0"/>
                    <w:left w:val="single" w:color="auto" w:sz="6" w:space="0"/>
                    <w:bottom w:val="single" w:color="auto" w:sz="6" w:space="0"/>
                    <w:right w:val="single" w:color="auto" w:sz="6" w:space="0"/>
                  </w:tcBorders>
                  <w:vAlign w:val="center"/>
                </w:tcPr>
                <w:p>
                  <w:pPr>
                    <w:pStyle w:val="53"/>
                    <w:rPr>
                      <w:lang w:val="en-GB"/>
                    </w:rPr>
                  </w:pPr>
                  <w:r>
                    <w:rPr>
                      <w:lang w:val="en-GB"/>
                    </w:rPr>
                    <w:t>正方形边框</w:t>
                  </w:r>
                </w:p>
              </w:tc>
              <w:tc>
                <w:tcPr>
                  <w:tcW w:w="848" w:type="pct"/>
                  <w:tcBorders>
                    <w:top w:val="single" w:color="auto" w:sz="6" w:space="0"/>
                    <w:left w:val="single" w:color="auto" w:sz="6" w:space="0"/>
                    <w:bottom w:val="single" w:color="auto" w:sz="6" w:space="0"/>
                    <w:right w:val="single" w:color="auto" w:sz="6" w:space="0"/>
                  </w:tcBorders>
                  <w:vAlign w:val="center"/>
                </w:tcPr>
                <w:p>
                  <w:pPr>
                    <w:pStyle w:val="53"/>
                    <w:rPr>
                      <w:lang w:val="en-GB"/>
                    </w:rPr>
                  </w:pPr>
                  <w:r>
                    <w:rPr>
                      <w:lang w:val="en-GB"/>
                    </w:rPr>
                    <w:t>三角形边框</w:t>
                  </w:r>
                </w:p>
              </w:tc>
              <w:tc>
                <w:tcPr>
                  <w:tcW w:w="788" w:type="pct"/>
                  <w:tcBorders>
                    <w:top w:val="single" w:color="auto" w:sz="6" w:space="0"/>
                    <w:left w:val="single" w:color="auto" w:sz="6" w:space="0"/>
                    <w:bottom w:val="single" w:color="auto" w:sz="6" w:space="0"/>
                    <w:right w:val="nil"/>
                  </w:tcBorders>
                  <w:vAlign w:val="center"/>
                </w:tcPr>
                <w:p>
                  <w:pPr>
                    <w:pStyle w:val="53"/>
                    <w:rPr>
                      <w:lang w:val="en-GB"/>
                    </w:rPr>
                  </w:pPr>
                  <w:r>
                    <w:rPr>
                      <w:lang w:val="en-GB"/>
                    </w:rPr>
                    <w:t>三角形边框</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vAlign w:val="center"/>
                </w:tcPr>
                <w:p>
                  <w:pPr>
                    <w:pStyle w:val="53"/>
                    <w:rPr>
                      <w:lang w:val="en-GB"/>
                    </w:rPr>
                  </w:pPr>
                  <w:r>
                    <w:rPr>
                      <w:lang w:val="en-GB"/>
                    </w:rPr>
                    <w:t>背景颜色</w:t>
                  </w:r>
                </w:p>
              </w:tc>
              <w:tc>
                <w:tcPr>
                  <w:tcW w:w="819" w:type="pct"/>
                  <w:tcBorders>
                    <w:top w:val="single" w:color="auto" w:sz="6" w:space="0"/>
                    <w:left w:val="single" w:color="auto" w:sz="6" w:space="0"/>
                    <w:bottom w:val="single" w:color="auto" w:sz="6" w:space="0"/>
                    <w:right w:val="single" w:color="auto" w:sz="6" w:space="0"/>
                  </w:tcBorders>
                  <w:vAlign w:val="center"/>
                </w:tcPr>
                <w:p>
                  <w:pPr>
                    <w:pStyle w:val="53"/>
                    <w:rPr>
                      <w:lang w:val="en-GB"/>
                    </w:rPr>
                  </w:pPr>
                  <w:r>
                    <w:rPr>
                      <w:lang w:val="en-GB"/>
                    </w:rPr>
                    <w:t>绿色</w:t>
                  </w:r>
                </w:p>
              </w:tc>
              <w:tc>
                <w:tcPr>
                  <w:tcW w:w="819" w:type="pct"/>
                  <w:tcBorders>
                    <w:top w:val="single" w:color="auto" w:sz="6" w:space="0"/>
                    <w:left w:val="single" w:color="auto" w:sz="6" w:space="0"/>
                    <w:bottom w:val="single" w:color="auto" w:sz="6" w:space="0"/>
                    <w:right w:val="single" w:color="auto" w:sz="6" w:space="0"/>
                  </w:tcBorders>
                  <w:vAlign w:val="center"/>
                </w:tcPr>
                <w:p>
                  <w:pPr>
                    <w:pStyle w:val="53"/>
                    <w:rPr>
                      <w:lang w:val="en-GB"/>
                    </w:rPr>
                  </w:pPr>
                  <w:r>
                    <w:rPr>
                      <w:lang w:val="en-GB"/>
                    </w:rPr>
                    <w:t>绿色</w:t>
                  </w:r>
                </w:p>
              </w:tc>
              <w:tc>
                <w:tcPr>
                  <w:tcW w:w="819" w:type="pct"/>
                  <w:tcBorders>
                    <w:top w:val="single" w:color="auto" w:sz="6" w:space="0"/>
                    <w:left w:val="single" w:color="auto" w:sz="6" w:space="0"/>
                    <w:bottom w:val="single" w:color="auto" w:sz="6" w:space="0"/>
                    <w:right w:val="single" w:color="auto" w:sz="6" w:space="0"/>
                  </w:tcBorders>
                  <w:vAlign w:val="center"/>
                </w:tcPr>
                <w:p>
                  <w:pPr>
                    <w:pStyle w:val="53"/>
                    <w:rPr>
                      <w:lang w:val="en-GB"/>
                    </w:rPr>
                  </w:pPr>
                  <w:r>
                    <w:rPr>
                      <w:lang w:val="en-GB"/>
                    </w:rPr>
                    <w:t>绿色</w:t>
                  </w:r>
                </w:p>
              </w:tc>
              <w:tc>
                <w:tcPr>
                  <w:tcW w:w="848" w:type="pct"/>
                  <w:tcBorders>
                    <w:top w:val="single" w:color="auto" w:sz="6" w:space="0"/>
                    <w:left w:val="single" w:color="auto" w:sz="6" w:space="0"/>
                    <w:bottom w:val="single" w:color="auto" w:sz="6" w:space="0"/>
                    <w:right w:val="single" w:color="auto" w:sz="6" w:space="0"/>
                  </w:tcBorders>
                  <w:vAlign w:val="center"/>
                </w:tcPr>
                <w:p>
                  <w:pPr>
                    <w:pStyle w:val="53"/>
                    <w:rPr>
                      <w:lang w:val="en-GB"/>
                    </w:rPr>
                  </w:pPr>
                  <w:r>
                    <w:rPr>
                      <w:lang w:val="en-GB"/>
                    </w:rPr>
                    <w:t>黄色</w:t>
                  </w:r>
                </w:p>
              </w:tc>
              <w:tc>
                <w:tcPr>
                  <w:tcW w:w="788" w:type="pct"/>
                  <w:tcBorders>
                    <w:top w:val="single" w:color="auto" w:sz="6" w:space="0"/>
                    <w:left w:val="single" w:color="auto" w:sz="6" w:space="0"/>
                    <w:bottom w:val="single" w:color="auto" w:sz="6" w:space="0"/>
                    <w:right w:val="nil"/>
                  </w:tcBorders>
                  <w:vAlign w:val="center"/>
                </w:tcPr>
                <w:p>
                  <w:pPr>
                    <w:pStyle w:val="53"/>
                    <w:rPr>
                      <w:lang w:val="en-GB"/>
                    </w:rPr>
                  </w:pPr>
                  <w:r>
                    <w:rPr>
                      <w:lang w:val="en-GB"/>
                    </w:rPr>
                    <w:t>黄色</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vAlign w:val="center"/>
                </w:tcPr>
                <w:p>
                  <w:pPr>
                    <w:pStyle w:val="53"/>
                    <w:rPr>
                      <w:lang w:val="en-GB"/>
                    </w:rPr>
                  </w:pPr>
                  <w:r>
                    <w:rPr>
                      <w:lang w:val="en-GB"/>
                    </w:rPr>
                    <w:t>图形颜色</w:t>
                  </w:r>
                </w:p>
              </w:tc>
              <w:tc>
                <w:tcPr>
                  <w:tcW w:w="819" w:type="pct"/>
                  <w:tcBorders>
                    <w:top w:val="single" w:color="auto" w:sz="6" w:space="0"/>
                    <w:left w:val="single" w:color="auto" w:sz="6" w:space="0"/>
                    <w:bottom w:val="single" w:color="auto" w:sz="12" w:space="0"/>
                    <w:right w:val="single" w:color="auto" w:sz="6" w:space="0"/>
                  </w:tcBorders>
                  <w:vAlign w:val="center"/>
                </w:tcPr>
                <w:p>
                  <w:pPr>
                    <w:pStyle w:val="53"/>
                    <w:rPr>
                      <w:lang w:val="en-GB"/>
                    </w:rPr>
                  </w:pPr>
                  <w:r>
                    <w:rPr>
                      <w:lang w:val="en-GB"/>
                    </w:rPr>
                    <w:t>白色</w:t>
                  </w:r>
                </w:p>
              </w:tc>
              <w:tc>
                <w:tcPr>
                  <w:tcW w:w="819" w:type="pct"/>
                  <w:tcBorders>
                    <w:top w:val="single" w:color="auto" w:sz="6" w:space="0"/>
                    <w:left w:val="single" w:color="auto" w:sz="6" w:space="0"/>
                    <w:bottom w:val="single" w:color="auto" w:sz="12" w:space="0"/>
                    <w:right w:val="single" w:color="auto" w:sz="6" w:space="0"/>
                  </w:tcBorders>
                  <w:vAlign w:val="center"/>
                </w:tcPr>
                <w:p>
                  <w:pPr>
                    <w:pStyle w:val="53"/>
                    <w:rPr>
                      <w:lang w:val="en-GB"/>
                    </w:rPr>
                  </w:pPr>
                  <w:r>
                    <w:rPr>
                      <w:lang w:val="en-GB"/>
                    </w:rPr>
                    <w:t>白色</w:t>
                  </w:r>
                </w:p>
              </w:tc>
              <w:tc>
                <w:tcPr>
                  <w:tcW w:w="819" w:type="pct"/>
                  <w:tcBorders>
                    <w:top w:val="single" w:color="auto" w:sz="6" w:space="0"/>
                    <w:left w:val="single" w:color="auto" w:sz="6" w:space="0"/>
                    <w:bottom w:val="single" w:color="auto" w:sz="12" w:space="0"/>
                    <w:right w:val="single" w:color="auto" w:sz="6" w:space="0"/>
                  </w:tcBorders>
                  <w:vAlign w:val="center"/>
                </w:tcPr>
                <w:p>
                  <w:pPr>
                    <w:pStyle w:val="53"/>
                    <w:rPr>
                      <w:lang w:val="en-GB"/>
                    </w:rPr>
                  </w:pPr>
                  <w:r>
                    <w:rPr>
                      <w:lang w:val="en-GB"/>
                    </w:rPr>
                    <w:t>白色</w:t>
                  </w:r>
                </w:p>
              </w:tc>
              <w:tc>
                <w:tcPr>
                  <w:tcW w:w="848" w:type="pct"/>
                  <w:tcBorders>
                    <w:top w:val="single" w:color="auto" w:sz="6" w:space="0"/>
                    <w:left w:val="single" w:color="auto" w:sz="6" w:space="0"/>
                    <w:bottom w:val="single" w:color="auto" w:sz="12" w:space="0"/>
                    <w:right w:val="single" w:color="auto" w:sz="6" w:space="0"/>
                  </w:tcBorders>
                  <w:vAlign w:val="center"/>
                </w:tcPr>
                <w:p>
                  <w:pPr>
                    <w:pStyle w:val="53"/>
                    <w:rPr>
                      <w:lang w:val="en-GB"/>
                    </w:rPr>
                  </w:pPr>
                  <w:r>
                    <w:rPr>
                      <w:lang w:val="en-GB"/>
                    </w:rPr>
                    <w:t>黑色</w:t>
                  </w:r>
                </w:p>
              </w:tc>
              <w:tc>
                <w:tcPr>
                  <w:tcW w:w="788" w:type="pct"/>
                  <w:tcBorders>
                    <w:top w:val="single" w:color="auto" w:sz="6" w:space="0"/>
                    <w:left w:val="single" w:color="auto" w:sz="6" w:space="0"/>
                    <w:bottom w:val="single" w:color="auto" w:sz="12" w:space="0"/>
                    <w:right w:val="nil"/>
                  </w:tcBorders>
                  <w:vAlign w:val="center"/>
                </w:tcPr>
                <w:p>
                  <w:pPr>
                    <w:pStyle w:val="53"/>
                    <w:rPr>
                      <w:lang w:val="en-GB"/>
                    </w:rPr>
                  </w:pPr>
                  <w:r>
                    <w:rPr>
                      <w:lang w:val="en-GB"/>
                    </w:rPr>
                    <w:t>黑色</w:t>
                  </w:r>
                </w:p>
              </w:tc>
            </w:tr>
          </w:tbl>
          <w:p>
            <w:pPr>
              <w:pStyle w:val="53"/>
              <w:jc w:val="both"/>
            </w:pPr>
            <w:r>
              <w:rPr>
                <w:rFonts w:hint="eastAsia"/>
              </w:rPr>
              <w:t>（</w:t>
            </w:r>
            <w:r>
              <w:t>2</w:t>
            </w:r>
            <w:r>
              <w:rPr>
                <w:rFonts w:hint="eastAsia"/>
              </w:rPr>
              <w:t>）</w:t>
            </w:r>
            <w:r>
              <w:t>排污许可管理要求</w:t>
            </w:r>
          </w:p>
          <w:p>
            <w:pPr>
              <w:pStyle w:val="53"/>
              <w:ind w:firstLine="420" w:firstLineChars="200"/>
              <w:jc w:val="both"/>
            </w:pPr>
            <w:bookmarkStart w:id="89" w:name="_Toc24814500"/>
            <w:r>
              <w:t>根据《固定污染源排污许可分类管理名录</w:t>
            </w:r>
            <w:r>
              <w:rPr>
                <w:rFonts w:hint="eastAsia"/>
              </w:rPr>
              <w:t>（</w:t>
            </w:r>
            <w:r>
              <w:t>2019年版</w:t>
            </w:r>
            <w:r>
              <w:rPr>
                <w:rFonts w:hint="eastAsia"/>
              </w:rPr>
              <w:t>）</w:t>
            </w:r>
            <w:r>
              <w:t>》</w:t>
            </w:r>
            <w:r>
              <w:rPr>
                <w:rFonts w:hint="eastAsia"/>
              </w:rPr>
              <w:t>（</w:t>
            </w:r>
            <w:r>
              <w:t>生态环境部第11号</w:t>
            </w:r>
            <w:r>
              <w:rPr>
                <w:rFonts w:hint="eastAsia"/>
              </w:rPr>
              <w:t>）</w:t>
            </w:r>
            <w:r>
              <w:t>可知，本项目属于</w:t>
            </w:r>
            <w:r>
              <w:rPr>
                <w:rFonts w:hint="eastAsia"/>
              </w:rPr>
              <w:t>“</w:t>
            </w:r>
            <w:r>
              <w:t>二十四、橡胶和塑料制品业 29 塑料制品业 292</w:t>
            </w:r>
            <w:r>
              <w:rPr>
                <w:rFonts w:hint="eastAsia"/>
              </w:rPr>
              <w:t>”中的其他类</w:t>
            </w:r>
            <w:r>
              <w:t>实行排污许可登记管理；因此，建设单位应当在启动生产设施或者发生实际排污之前在全国排污许可证管理信息平台进行排污许可登记管理。</w:t>
            </w:r>
          </w:p>
          <w:p>
            <w:pPr>
              <w:pStyle w:val="96"/>
            </w:pPr>
            <w:r>
              <w:t xml:space="preserve">表 5.1-2 </w:t>
            </w:r>
            <w:r>
              <w:rPr>
                <w:rFonts w:hint="eastAsia"/>
              </w:rPr>
              <w:t>固定</w:t>
            </w:r>
            <w:r>
              <w:t>污染源排污许可分类管理名录</w:t>
            </w:r>
            <w:r>
              <w:rPr>
                <w:rFonts w:hint="eastAsia"/>
              </w:rPr>
              <w:t>（</w:t>
            </w:r>
            <w:r>
              <w:t>摘录</w:t>
            </w:r>
            <w:r>
              <w:rPr>
                <w:rFonts w:hint="eastAsia"/>
              </w:rPr>
              <w:t>）</w:t>
            </w:r>
          </w:p>
          <w:tbl>
            <w:tblPr>
              <w:tblStyle w:val="3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186"/>
              <w:gridCol w:w="1617"/>
              <w:gridCol w:w="3368"/>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2" w:type="dxa"/>
                  <w:tcBorders>
                    <w:top w:val="single" w:color="auto" w:sz="12" w:space="0"/>
                    <w:left w:val="nil"/>
                  </w:tcBorders>
                  <w:vAlign w:val="center"/>
                </w:tcPr>
                <w:p>
                  <w:pPr>
                    <w:pStyle w:val="53"/>
                  </w:pPr>
                  <w:r>
                    <w:t>序号</w:t>
                  </w:r>
                </w:p>
              </w:tc>
              <w:tc>
                <w:tcPr>
                  <w:tcW w:w="1186" w:type="dxa"/>
                  <w:tcBorders>
                    <w:top w:val="single" w:color="auto" w:sz="12" w:space="0"/>
                  </w:tcBorders>
                  <w:vAlign w:val="center"/>
                </w:tcPr>
                <w:p>
                  <w:pPr>
                    <w:pStyle w:val="53"/>
                  </w:pPr>
                  <w:r>
                    <w:t>行业类别</w:t>
                  </w:r>
                </w:p>
              </w:tc>
              <w:tc>
                <w:tcPr>
                  <w:tcW w:w="1617" w:type="dxa"/>
                  <w:tcBorders>
                    <w:top w:val="single" w:color="auto" w:sz="12" w:space="0"/>
                  </w:tcBorders>
                  <w:vAlign w:val="center"/>
                </w:tcPr>
                <w:p>
                  <w:pPr>
                    <w:pStyle w:val="53"/>
                  </w:pPr>
                  <w:r>
                    <w:t>重点管理</w:t>
                  </w:r>
                </w:p>
              </w:tc>
              <w:tc>
                <w:tcPr>
                  <w:tcW w:w="3368" w:type="dxa"/>
                  <w:tcBorders>
                    <w:top w:val="single" w:color="auto" w:sz="12" w:space="0"/>
                  </w:tcBorders>
                  <w:vAlign w:val="center"/>
                </w:tcPr>
                <w:p>
                  <w:pPr>
                    <w:pStyle w:val="53"/>
                  </w:pPr>
                  <w:r>
                    <w:t>简化管理</w:t>
                  </w:r>
                </w:p>
              </w:tc>
              <w:tc>
                <w:tcPr>
                  <w:tcW w:w="820" w:type="dxa"/>
                  <w:tcBorders>
                    <w:top w:val="single" w:color="auto" w:sz="12" w:space="0"/>
                    <w:right w:val="nil"/>
                  </w:tcBorders>
                  <w:shd w:val="clear" w:color="auto" w:fill="D7D7D7" w:themeFill="background1" w:themeFillShade="D8"/>
                  <w:vAlign w:val="center"/>
                </w:tcPr>
                <w:p>
                  <w:pPr>
                    <w:pStyle w:val="53"/>
                  </w:pPr>
                  <w:r>
                    <w:t>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3" w:type="dxa"/>
                  <w:gridSpan w:val="5"/>
                  <w:tcBorders>
                    <w:left w:val="nil"/>
                    <w:right w:val="nil"/>
                  </w:tcBorders>
                  <w:shd w:val="clear" w:color="auto" w:fill="auto"/>
                  <w:vAlign w:val="center"/>
                </w:tcPr>
                <w:p>
                  <w:pPr>
                    <w:pStyle w:val="53"/>
                  </w:pPr>
                  <w:r>
                    <w:t>二十四、橡胶和塑料制品业 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left w:val="nil"/>
                  </w:tcBorders>
                  <w:vAlign w:val="center"/>
                </w:tcPr>
                <w:p>
                  <w:pPr>
                    <w:pStyle w:val="53"/>
                  </w:pPr>
                  <w:r>
                    <w:t>91</w:t>
                  </w:r>
                </w:p>
              </w:tc>
              <w:tc>
                <w:tcPr>
                  <w:tcW w:w="1186" w:type="dxa"/>
                  <w:vAlign w:val="center"/>
                </w:tcPr>
                <w:p>
                  <w:pPr>
                    <w:pStyle w:val="53"/>
                  </w:pPr>
                  <w:r>
                    <w:t>塑料制品业 292</w:t>
                  </w:r>
                </w:p>
              </w:tc>
              <w:tc>
                <w:tcPr>
                  <w:tcW w:w="1617" w:type="dxa"/>
                  <w:vAlign w:val="center"/>
                </w:tcPr>
                <w:p>
                  <w:pPr>
                    <w:pStyle w:val="53"/>
                  </w:pPr>
                  <w:r>
                    <w:t>塑料人造革、合成革制造 2925</w:t>
                  </w:r>
                </w:p>
              </w:tc>
              <w:tc>
                <w:tcPr>
                  <w:tcW w:w="3368" w:type="dxa"/>
                  <w:vAlign w:val="center"/>
                </w:tcPr>
                <w:p>
                  <w:pPr>
                    <w:pStyle w:val="53"/>
                  </w:pPr>
                  <w:r>
                    <w:t>年产 1 万吨及以上的泡沫塑料制造2924，年产 1 万吨及以上涉及改性的塑料薄膜制造 2921、塑料板、管、型材制造</w:t>
                  </w:r>
                  <w:r>
                    <w:rPr>
                      <w:rFonts w:hint="eastAsia"/>
                    </w:rPr>
                    <w:t xml:space="preserve"> </w:t>
                  </w:r>
                  <w:r>
                    <w:t>2922、塑料丝、绳和编织品制造 2923、塑料包装箱及容器制造 2926、日用塑料品制造 2927、人造草坪制造 2928、塑料零件及其他塑料制品制造 2929</w:t>
                  </w:r>
                </w:p>
              </w:tc>
              <w:tc>
                <w:tcPr>
                  <w:tcW w:w="820" w:type="dxa"/>
                  <w:tcBorders>
                    <w:right w:val="nil"/>
                  </w:tcBorders>
                  <w:shd w:val="clear" w:color="auto" w:fill="D7D7D7" w:themeFill="background1" w:themeFillShade="D8"/>
                  <w:vAlign w:val="center"/>
                </w:tcPr>
                <w:p>
                  <w:pPr>
                    <w:pStyle w:val="53"/>
                  </w:pPr>
                  <w:r>
                    <w:t>其他</w:t>
                  </w:r>
                </w:p>
              </w:tc>
            </w:tr>
          </w:tbl>
          <w:p>
            <w:pPr>
              <w:pStyle w:val="53"/>
              <w:jc w:val="both"/>
            </w:pPr>
            <w:r>
              <w:rPr>
                <w:rFonts w:hint="eastAsia"/>
              </w:rPr>
              <w:t>（</w:t>
            </w:r>
            <w:r>
              <w:t>3</w:t>
            </w:r>
            <w:r>
              <w:rPr>
                <w:rFonts w:hint="eastAsia"/>
              </w:rPr>
              <w:t>）</w:t>
            </w:r>
            <w:r>
              <w:t>自主竣工环境保护验收要求</w:t>
            </w:r>
            <w:bookmarkEnd w:id="89"/>
          </w:p>
          <w:p>
            <w:pPr>
              <w:pStyle w:val="53"/>
              <w:ind w:firstLine="420" w:firstLineChars="200"/>
              <w:jc w:val="both"/>
            </w:pPr>
            <w:r>
              <w:t>根据国务院【国令第682号】《建设项目环境保护管理条例》及《建设项目竣工环境保护验收暂行办法》</w:t>
            </w:r>
            <w:r>
              <w:rPr>
                <w:rFonts w:hint="eastAsia"/>
              </w:rPr>
              <w:t>（</w:t>
            </w:r>
            <w:r>
              <w:t>国环规环评【2017】4号</w:t>
            </w:r>
            <w:r>
              <w:rPr>
                <w:rFonts w:hint="eastAsia"/>
              </w:rPr>
              <w:t>）</w:t>
            </w:r>
            <w:r>
              <w:t>，强化建设单位环境保护主体责任，落实建设项目环境保护</w:t>
            </w:r>
            <w:r>
              <w:rPr>
                <w:rFonts w:hint="eastAsia"/>
              </w:rPr>
              <w:t>“</w:t>
            </w:r>
            <w:r>
              <w:t>三同时</w:t>
            </w:r>
            <w:r>
              <w:rPr>
                <w:rFonts w:hint="eastAsia"/>
              </w:rPr>
              <w:t>”</w:t>
            </w:r>
            <w:r>
              <w:t>制度，规范建设项目竣工后建设单位自主开展环境保护验收的程序和标准。建设单位是建设项目竣工环境保护验收的责任主体。</w:t>
            </w:r>
          </w:p>
          <w:p>
            <w:pPr>
              <w:pStyle w:val="53"/>
              <w:ind w:firstLine="420" w:firstLineChars="200"/>
              <w:jc w:val="both"/>
            </w:pPr>
            <w:r>
              <w:t>根据环境保护部《建设项目竣工环境保护验收技术指南 污染影响类》</w:t>
            </w:r>
            <w:r>
              <w:rPr>
                <w:rFonts w:hint="eastAsia"/>
              </w:rPr>
              <w:t>（</w:t>
            </w:r>
            <w:r>
              <w:t>公告2018年第9号</w:t>
            </w:r>
            <w:r>
              <w:rPr>
                <w:rFonts w:hint="eastAsia"/>
              </w:rPr>
              <w:t>）</w:t>
            </w:r>
            <w:r>
              <w:t>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pPr>
        <w:pStyle w:val="3"/>
      </w:pPr>
      <w:r>
        <w:rPr>
          <w:rFonts w:eastAsia="宋体"/>
        </w:rPr>
        <w:br w:type="page"/>
      </w:r>
      <w:bookmarkStart w:id="90" w:name="_Toc26392"/>
      <w:bookmarkStart w:id="91" w:name="_Toc22784"/>
      <w:r>
        <w:drawing>
          <wp:anchor distT="0" distB="0" distL="114300" distR="114300" simplePos="0" relativeHeight="251678720" behindDoc="0" locked="0" layoutInCell="1" allowOverlap="1">
            <wp:simplePos x="0" y="0"/>
            <wp:positionH relativeFrom="column">
              <wp:posOffset>-263525</wp:posOffset>
            </wp:positionH>
            <wp:positionV relativeFrom="paragraph">
              <wp:posOffset>-22225</wp:posOffset>
            </wp:positionV>
            <wp:extent cx="6123940" cy="8214360"/>
            <wp:effectExtent l="0" t="0" r="10160" b="15240"/>
            <wp:wrapNone/>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47"/>
                    <a:stretch>
                      <a:fillRect/>
                    </a:stretch>
                  </pic:blipFill>
                  <pic:spPr>
                    <a:xfrm>
                      <a:off x="0" y="0"/>
                      <a:ext cx="6123940" cy="8214360"/>
                    </a:xfrm>
                    <a:prstGeom prst="rect">
                      <a:avLst/>
                    </a:prstGeom>
                    <a:noFill/>
                    <a:ln>
                      <a:noFill/>
                    </a:ln>
                  </pic:spPr>
                </pic:pic>
              </a:graphicData>
            </a:graphic>
          </wp:anchor>
        </w:drawing>
      </w:r>
      <w:r>
        <w:rPr>
          <w:rFonts w:hint="eastAsia"/>
        </w:rPr>
        <w:t>结论</w:t>
      </w:r>
      <w:bookmarkEnd w:id="90"/>
      <w:bookmarkEnd w:id="91"/>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4"/>
            </w:pPr>
            <w:bookmarkStart w:id="92" w:name="_Toc22364"/>
            <w:bookmarkStart w:id="93" w:name="_Toc8175"/>
            <w:bookmarkStart w:id="94" w:name="_Toc18917"/>
            <w:bookmarkStart w:id="95" w:name="_Toc4427"/>
            <w:r>
              <w:t>总结论</w:t>
            </w:r>
            <w:bookmarkEnd w:id="92"/>
            <w:bookmarkEnd w:id="93"/>
            <w:bookmarkEnd w:id="94"/>
            <w:bookmarkEnd w:id="95"/>
          </w:p>
          <w:p>
            <w: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r>
              <w:t>综上所述，在认真执行建设项目</w:t>
            </w:r>
            <w:r>
              <w:rPr>
                <w:rFonts w:hint="eastAsia"/>
              </w:rPr>
              <w:t>“</w:t>
            </w:r>
            <w:r>
              <w:t>三同时</w:t>
            </w:r>
            <w:r>
              <w:rPr>
                <w:rFonts w:hint="eastAsia"/>
              </w:rPr>
              <w:t>”</w:t>
            </w:r>
            <w:r>
              <w:t>制度，切实落实各项规划方案的要求，完成本次环境影响评价提出的各项污染防治措施，严格落实各项环保措施和环境管理机构的要求的前提下，确保各污染物达标排放，对周围的环境影响较小。从环境保护角度分析，该项目的建设是可行的。</w:t>
            </w:r>
          </w:p>
          <w:p>
            <w:pPr>
              <w:pStyle w:val="4"/>
            </w:pPr>
            <w:bookmarkStart w:id="96" w:name="_Toc29585"/>
            <w:bookmarkStart w:id="97" w:name="_Toc29899"/>
            <w:bookmarkStart w:id="98" w:name="_Toc11017"/>
            <w:bookmarkStart w:id="99" w:name="_Toc29401"/>
            <w:r>
              <w:t>建议</w:t>
            </w:r>
            <w:bookmarkEnd w:id="96"/>
            <w:bookmarkEnd w:id="97"/>
            <w:bookmarkEnd w:id="98"/>
            <w:bookmarkEnd w:id="99"/>
          </w:p>
          <w:p>
            <w:r>
              <w:rPr>
                <w:rFonts w:hint="eastAsia"/>
              </w:rPr>
              <w:t>（1）</w:t>
            </w:r>
            <w:r>
              <w:t>加强管理，保证生产设备正常运行，防止设备带故障使用，防止异常噪声的产生。</w:t>
            </w:r>
          </w:p>
          <w:p>
            <w:r>
              <w:rPr>
                <w:rFonts w:hint="eastAsia"/>
              </w:rPr>
              <w:t>（2）</w:t>
            </w:r>
            <w:r>
              <w:t>由厂内技术管理人员兼职环保工作负责环保设施的运行、检查、维护等工作。</w:t>
            </w:r>
          </w:p>
          <w:p>
            <w:r>
              <w:rPr>
                <w:rFonts w:hint="eastAsia"/>
              </w:rPr>
              <w:t>（3）</w:t>
            </w:r>
            <w:r>
              <w:t>加强职工的环保、安全教育，提高环保意识和安全生产意识。</w:t>
            </w:r>
          </w:p>
          <w:p>
            <w:r>
              <w:rPr>
                <w:rFonts w:hint="eastAsia"/>
              </w:rPr>
              <w:t>（4）</w:t>
            </w:r>
            <w:r>
              <w:t>遵守国家关于</w:t>
            </w:r>
            <w:r>
              <w:rPr>
                <w:rFonts w:hint="eastAsia"/>
              </w:rPr>
              <w:t>环境治理</w:t>
            </w:r>
            <w:r>
              <w:t>措施管理的规定，定期提交设施运行及监测报告，接受环保管理部门的监督。</w:t>
            </w:r>
          </w:p>
          <w:p>
            <w:r>
              <w:rPr>
                <w:rFonts w:hint="eastAsia"/>
              </w:rPr>
              <w:t>（5）</w:t>
            </w:r>
            <w:r>
              <w:t>加强环保工作的管理，要认真落实环保</w:t>
            </w:r>
            <w:r>
              <w:rPr>
                <w:rFonts w:hint="eastAsia"/>
              </w:rPr>
              <w:t>“</w:t>
            </w:r>
            <w:r>
              <w:t>三同时</w:t>
            </w:r>
            <w:r>
              <w:rPr>
                <w:rFonts w:hint="eastAsia"/>
              </w:rPr>
              <w:t>”</w:t>
            </w:r>
            <w:r>
              <w:t>制度。</w:t>
            </w:r>
          </w:p>
          <w:p>
            <w:pPr>
              <w:tabs>
                <w:tab w:val="left" w:pos="420"/>
              </w:tabs>
              <w:ind w:firstLine="0" w:firstLineChars="0"/>
            </w:pPr>
          </w:p>
          <w:p>
            <w:pPr>
              <w:tabs>
                <w:tab w:val="left" w:pos="420"/>
              </w:tabs>
              <w:ind w:firstLine="0" w:firstLineChars="0"/>
            </w:pPr>
          </w:p>
          <w:p>
            <w:pPr>
              <w:autoSpaceDE w:val="0"/>
              <w:autoSpaceDN w:val="0"/>
              <w:adjustRightInd w:val="0"/>
              <w:snapToGrid w:val="0"/>
              <w:ind w:firstLine="0" w:firstLineChars="0"/>
              <w:jc w:val="right"/>
              <w:rPr>
                <w:b/>
                <w:color w:val="000000"/>
                <w:kern w:val="0"/>
                <w:sz w:val="28"/>
                <w:szCs w:val="28"/>
              </w:rPr>
            </w:pPr>
            <w:r>
              <w:rPr>
                <w:b/>
                <w:color w:val="000000"/>
                <w:sz w:val="28"/>
                <w:szCs w:val="28"/>
              </w:rPr>
              <w:t>编制单位：福州朴诚至信环保科技有限公司</w:t>
            </w:r>
          </w:p>
          <w:p>
            <w:pPr>
              <w:autoSpaceDE w:val="0"/>
              <w:autoSpaceDN w:val="0"/>
              <w:adjustRightInd w:val="0"/>
              <w:snapToGrid w:val="0"/>
              <w:ind w:firstLine="0" w:firstLineChars="0"/>
              <w:jc w:val="right"/>
              <w:rPr>
                <w:color w:val="000000"/>
              </w:rPr>
            </w:pPr>
            <w:r>
              <w:rPr>
                <w:b/>
                <w:color w:val="000000"/>
                <w:sz w:val="28"/>
                <w:szCs w:val="28"/>
              </w:rPr>
              <w:t>编制日期：</w:t>
            </w:r>
            <w:r>
              <w:rPr>
                <w:b/>
                <w:color w:val="000000"/>
                <w:kern w:val="0"/>
                <w:sz w:val="28"/>
                <w:szCs w:val="28"/>
              </w:rPr>
              <w:t>202</w:t>
            </w:r>
            <w:r>
              <w:rPr>
                <w:rFonts w:hint="eastAsia"/>
                <w:b/>
                <w:color w:val="000000"/>
                <w:kern w:val="0"/>
                <w:sz w:val="28"/>
                <w:szCs w:val="28"/>
              </w:rPr>
              <w:t>5</w:t>
            </w:r>
            <w:r>
              <w:rPr>
                <w:b/>
                <w:color w:val="000000"/>
                <w:kern w:val="0"/>
                <w:sz w:val="28"/>
                <w:szCs w:val="28"/>
              </w:rPr>
              <w:t>年</w:t>
            </w:r>
            <w:r>
              <w:rPr>
                <w:rFonts w:hint="eastAsia"/>
                <w:b/>
                <w:color w:val="000000"/>
                <w:kern w:val="0"/>
                <w:sz w:val="28"/>
                <w:szCs w:val="28"/>
                <w:lang w:val="en-US" w:eastAsia="zh-CN"/>
              </w:rPr>
              <w:t>10</w:t>
            </w:r>
            <w:r>
              <w:rPr>
                <w:b/>
                <w:color w:val="000000"/>
                <w:kern w:val="0"/>
                <w:sz w:val="28"/>
                <w:szCs w:val="28"/>
              </w:rPr>
              <w:t>月</w:t>
            </w:r>
          </w:p>
        </w:tc>
      </w:tr>
    </w:tbl>
    <w:p>
      <w:pPr>
        <w:rPr>
          <w:color w:val="000000"/>
        </w:rPr>
        <w:sectPr>
          <w:pgSz w:w="11906" w:h="16838"/>
          <w:pgMar w:top="1701" w:right="1531" w:bottom="1701" w:left="1531" w:header="851" w:footer="851" w:gutter="0"/>
          <w:cols w:space="720" w:num="1"/>
          <w:docGrid w:linePitch="312" w:charSpace="0"/>
        </w:sectPr>
      </w:pPr>
    </w:p>
    <w:p>
      <w:pPr>
        <w:pStyle w:val="33"/>
        <w:adjustRightInd w:val="0"/>
        <w:snapToGrid w:val="0"/>
        <w:spacing w:before="0" w:beforeAutospacing="0" w:after="0" w:afterAutospacing="0" w:line="240" w:lineRule="auto"/>
        <w:ind w:firstLine="723"/>
        <w:outlineLvl w:val="0"/>
        <w:rPr>
          <w:rFonts w:ascii="Times New Roman" w:hAnsi="Times New Roman"/>
          <w:b/>
          <w:bCs/>
          <w:snapToGrid w:val="0"/>
          <w:color w:val="000000"/>
          <w:sz w:val="36"/>
          <w:szCs w:val="36"/>
        </w:rPr>
      </w:pPr>
      <w:bookmarkStart w:id="100" w:name="_Toc4180"/>
      <w:bookmarkStart w:id="101" w:name="_Toc11145"/>
      <w:bookmarkStart w:id="102" w:name="_Toc6408"/>
      <w:bookmarkStart w:id="103" w:name="_Toc32368"/>
      <w:r>
        <w:rPr>
          <w:rFonts w:ascii="Times New Roman" w:hAnsi="Times New Roman"/>
          <w:b/>
          <w:bCs/>
          <w:snapToGrid w:val="0"/>
          <w:color w:val="000000"/>
          <w:sz w:val="36"/>
          <w:szCs w:val="36"/>
        </w:rPr>
        <w:t>附表</w:t>
      </w:r>
      <w:bookmarkEnd w:id="100"/>
      <w:bookmarkEnd w:id="101"/>
      <w:bookmarkEnd w:id="102"/>
      <w:bookmarkEnd w:id="103"/>
    </w:p>
    <w:p>
      <w:pPr>
        <w:pStyle w:val="33"/>
        <w:adjustRightInd w:val="0"/>
        <w:snapToGrid w:val="0"/>
        <w:spacing w:beforeLines="50" w:beforeAutospacing="0" w:after="0" w:afterAutospacing="0" w:line="240" w:lineRule="auto"/>
        <w:ind w:firstLine="723"/>
        <w:jc w:val="center"/>
        <w:rPr>
          <w:rFonts w:ascii="Times New Roman" w:hAnsi="Times New Roman"/>
          <w:b/>
          <w:bCs/>
          <w:snapToGrid w:val="0"/>
          <w:color w:val="000000"/>
          <w:sz w:val="22"/>
          <w:szCs w:val="22"/>
        </w:rPr>
      </w:pPr>
      <w:bookmarkStart w:id="104" w:name="_Toc8370"/>
      <w:bookmarkStart w:id="105" w:name="_Toc8984"/>
      <w:bookmarkStart w:id="106" w:name="_Toc28427"/>
      <w:bookmarkStart w:id="107" w:name="_Toc27141"/>
      <w:r>
        <w:rPr>
          <w:rFonts w:ascii="Times New Roman" w:hAnsi="Times New Roman"/>
          <w:b/>
          <w:bCs/>
          <w:snapToGrid w:val="0"/>
          <w:color w:val="000000"/>
          <w:sz w:val="36"/>
          <w:szCs w:val="36"/>
        </w:rPr>
        <w:t>建设项目污染物排放量汇总表</w:t>
      </w:r>
      <w:bookmarkEnd w:id="104"/>
      <w:bookmarkEnd w:id="105"/>
      <w:bookmarkEnd w:id="106"/>
      <w:r>
        <w:rPr>
          <w:rFonts w:hint="eastAsia" w:ascii="Times New Roman" w:hAnsi="Times New Roman"/>
          <w:b/>
          <w:bCs/>
          <w:snapToGrid w:val="0"/>
          <w:color w:val="000000"/>
          <w:sz w:val="36"/>
          <w:szCs w:val="36"/>
        </w:rPr>
        <w:t xml:space="preserve">   </w:t>
      </w:r>
      <w:r>
        <w:rPr>
          <w:rFonts w:hint="eastAsia" w:ascii="Times New Roman" w:hAnsi="Times New Roman"/>
          <w:b/>
          <w:bCs/>
          <w:snapToGrid w:val="0"/>
          <w:color w:val="000000"/>
          <w:sz w:val="22"/>
          <w:szCs w:val="22"/>
        </w:rPr>
        <w:t>单位：t/a</w:t>
      </w:r>
      <w:bookmarkEnd w:id="107"/>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703"/>
        <w:gridCol w:w="1737"/>
        <w:gridCol w:w="1087"/>
        <w:gridCol w:w="1737"/>
        <w:gridCol w:w="1766"/>
        <w:gridCol w:w="1664"/>
        <w:gridCol w:w="2132"/>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0" w:type="auto"/>
            <w:shd w:val="clear" w:color="auto" w:fill="auto"/>
            <w:vAlign w:val="center"/>
          </w:tcPr>
          <w:p>
            <w:pPr>
              <w:pStyle w:val="53"/>
              <w:bidi w:val="0"/>
            </w:pPr>
            <w:r>
              <w:rPr>
                <w:rFonts w:hint="eastAsia"/>
                <w:lang w:val="en-US" w:eastAsia="zh-CN"/>
              </w:rPr>
              <w:t>项目分类</w:t>
            </w:r>
          </w:p>
        </w:tc>
        <w:tc>
          <w:tcPr>
            <w:tcW w:w="0" w:type="auto"/>
            <w:shd w:val="clear" w:color="auto" w:fill="auto"/>
            <w:vAlign w:val="center"/>
          </w:tcPr>
          <w:p>
            <w:pPr>
              <w:pStyle w:val="53"/>
              <w:bidi w:val="0"/>
            </w:pPr>
            <w:r>
              <w:rPr>
                <w:rFonts w:hint="eastAsia"/>
                <w:lang w:val="en-US" w:eastAsia="zh-CN"/>
              </w:rPr>
              <w:t>污染物名称</w:t>
            </w:r>
          </w:p>
        </w:tc>
        <w:tc>
          <w:tcPr>
            <w:tcW w:w="0" w:type="auto"/>
            <w:shd w:val="clear" w:color="auto" w:fill="auto"/>
            <w:vAlign w:val="center"/>
          </w:tcPr>
          <w:p>
            <w:pPr>
              <w:pStyle w:val="53"/>
              <w:bidi w:val="0"/>
            </w:pPr>
            <w:r>
              <w:rPr>
                <w:rFonts w:hint="eastAsia"/>
                <w:lang w:val="en-US" w:eastAsia="zh-CN"/>
              </w:rPr>
              <w:t>现有工程排放量（固体废物产生量）①</w:t>
            </w:r>
          </w:p>
        </w:tc>
        <w:tc>
          <w:tcPr>
            <w:tcW w:w="0" w:type="auto"/>
            <w:shd w:val="clear" w:color="auto" w:fill="auto"/>
            <w:vAlign w:val="center"/>
          </w:tcPr>
          <w:p>
            <w:pPr>
              <w:pStyle w:val="53"/>
              <w:bidi w:val="0"/>
            </w:pPr>
            <w:r>
              <w:rPr>
                <w:rFonts w:hint="eastAsia"/>
                <w:lang w:val="en-US" w:eastAsia="zh-CN"/>
              </w:rPr>
              <w:t>现有工程许可排放量②</w:t>
            </w:r>
          </w:p>
        </w:tc>
        <w:tc>
          <w:tcPr>
            <w:tcW w:w="0" w:type="auto"/>
            <w:shd w:val="clear" w:color="auto" w:fill="auto"/>
            <w:vAlign w:val="center"/>
          </w:tcPr>
          <w:p>
            <w:pPr>
              <w:pStyle w:val="53"/>
              <w:bidi w:val="0"/>
            </w:pPr>
            <w:r>
              <w:rPr>
                <w:rFonts w:hint="eastAsia"/>
                <w:lang w:val="en-US" w:eastAsia="zh-CN"/>
              </w:rPr>
              <w:t>在建工程排放量（固体废物产生量）③</w:t>
            </w:r>
          </w:p>
        </w:tc>
        <w:tc>
          <w:tcPr>
            <w:tcW w:w="0" w:type="auto"/>
            <w:shd w:val="clear" w:color="auto" w:fill="auto"/>
            <w:vAlign w:val="center"/>
          </w:tcPr>
          <w:p>
            <w:pPr>
              <w:pStyle w:val="53"/>
              <w:bidi w:val="0"/>
            </w:pPr>
            <w:r>
              <w:rPr>
                <w:rFonts w:hint="eastAsia"/>
                <w:lang w:val="en-US" w:eastAsia="zh-CN"/>
              </w:rPr>
              <w:t>本项目排放量（固体废物产生量）④</w:t>
            </w:r>
          </w:p>
        </w:tc>
        <w:tc>
          <w:tcPr>
            <w:tcW w:w="0" w:type="auto"/>
            <w:shd w:val="clear" w:color="auto" w:fill="auto"/>
            <w:vAlign w:val="center"/>
          </w:tcPr>
          <w:p>
            <w:pPr>
              <w:pStyle w:val="53"/>
              <w:bidi w:val="0"/>
            </w:pPr>
            <w:r>
              <w:rPr>
                <w:rFonts w:hint="eastAsia"/>
                <w:lang w:val="en-US" w:eastAsia="zh-CN"/>
              </w:rPr>
              <w:t>以新带老削减量（新建项目不填）⑤</w:t>
            </w:r>
          </w:p>
        </w:tc>
        <w:tc>
          <w:tcPr>
            <w:tcW w:w="0" w:type="auto"/>
            <w:shd w:val="clear" w:color="auto" w:fill="auto"/>
            <w:vAlign w:val="center"/>
          </w:tcPr>
          <w:p>
            <w:pPr>
              <w:pStyle w:val="53"/>
              <w:bidi w:val="0"/>
            </w:pPr>
            <w:r>
              <w:rPr>
                <w:rFonts w:hint="eastAsia"/>
                <w:lang w:val="en-US" w:eastAsia="zh-CN"/>
              </w:rPr>
              <w:t>本项目建成后全厂排放量（固体废物产生量）⑥</w:t>
            </w:r>
          </w:p>
        </w:tc>
        <w:tc>
          <w:tcPr>
            <w:tcW w:w="0" w:type="auto"/>
            <w:shd w:val="clear" w:color="auto" w:fill="auto"/>
            <w:vAlign w:val="center"/>
          </w:tcPr>
          <w:p>
            <w:pPr>
              <w:pStyle w:val="53"/>
              <w:bidi w:val="0"/>
            </w:pPr>
            <w:r>
              <w:rPr>
                <w:rFonts w:hint="eastAsia"/>
                <w:lang w:val="en-US" w:eastAsia="zh-CN"/>
              </w:rPr>
              <w:t>变化量⑦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0" w:type="auto"/>
            <w:vMerge w:val="restart"/>
            <w:shd w:val="clear" w:color="auto" w:fill="auto"/>
            <w:vAlign w:val="center"/>
          </w:tcPr>
          <w:p>
            <w:pPr>
              <w:pStyle w:val="53"/>
              <w:bidi w:val="0"/>
            </w:pPr>
            <w:r>
              <w:rPr>
                <w:rFonts w:hint="eastAsia"/>
                <w:lang w:val="en-US" w:eastAsia="zh-CN"/>
              </w:rPr>
              <w:t>废气</w:t>
            </w:r>
          </w:p>
        </w:tc>
        <w:tc>
          <w:tcPr>
            <w:tcW w:w="0" w:type="auto"/>
            <w:shd w:val="clear" w:color="auto" w:fill="auto"/>
            <w:vAlign w:val="center"/>
          </w:tcPr>
          <w:p>
            <w:pPr>
              <w:pStyle w:val="53"/>
              <w:bidi w:val="0"/>
            </w:pPr>
            <w:r>
              <w:rPr>
                <w:rFonts w:hint="eastAsia"/>
                <w:lang w:val="en-US" w:eastAsia="zh-CN"/>
              </w:rPr>
              <w:t>非甲烷总烃</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1.08</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1.08</w:t>
            </w:r>
          </w:p>
        </w:tc>
        <w:tc>
          <w:tcPr>
            <w:tcW w:w="886" w:type="dxa"/>
            <w:shd w:val="clear" w:color="auto" w:fill="auto"/>
            <w:vAlign w:val="center"/>
          </w:tcPr>
          <w:p>
            <w:pPr>
              <w:pStyle w:val="53"/>
              <w:bidi w:val="0"/>
            </w:pPr>
            <w:r>
              <w:rPr>
                <w:rFonts w:hint="default"/>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0" w:type="auto"/>
            <w:vMerge w:val="continue"/>
            <w:shd w:val="clear" w:color="auto" w:fill="auto"/>
            <w:vAlign w:val="center"/>
          </w:tcPr>
          <w:p>
            <w:pPr>
              <w:pStyle w:val="53"/>
              <w:bidi w:val="0"/>
            </w:pPr>
          </w:p>
        </w:tc>
        <w:tc>
          <w:tcPr>
            <w:tcW w:w="0" w:type="auto"/>
            <w:shd w:val="clear" w:color="auto" w:fill="auto"/>
            <w:vAlign w:val="center"/>
          </w:tcPr>
          <w:p>
            <w:pPr>
              <w:pStyle w:val="53"/>
              <w:bidi w:val="0"/>
              <w:rPr>
                <w:rFonts w:hint="eastAsia"/>
                <w:lang w:val="en-US" w:eastAsia="zh-CN"/>
              </w:rPr>
            </w:pPr>
            <w:r>
              <w:rPr>
                <w:rFonts w:hint="eastAsia"/>
                <w:lang w:val="en-US" w:eastAsia="zh-CN"/>
              </w:rPr>
              <w:t>苯乙烯</w:t>
            </w:r>
          </w:p>
        </w:tc>
        <w:tc>
          <w:tcPr>
            <w:tcW w:w="0" w:type="auto"/>
            <w:shd w:val="clear" w:color="auto" w:fill="auto"/>
            <w:vAlign w:val="center"/>
          </w:tcPr>
          <w:p>
            <w:pPr>
              <w:pStyle w:val="53"/>
              <w:bidi w:val="0"/>
              <w:rPr>
                <w:rFonts w:hint="eastAsia"/>
                <w:lang w:val="en-US" w:eastAsia="zh-CN"/>
              </w:rPr>
            </w:pPr>
            <w:r>
              <w:rPr>
                <w:rFonts w:hint="default"/>
                <w:lang w:val="en-US" w:eastAsia="zh-CN"/>
              </w:rPr>
              <w:t>/</w:t>
            </w:r>
          </w:p>
        </w:tc>
        <w:tc>
          <w:tcPr>
            <w:tcW w:w="0" w:type="auto"/>
            <w:shd w:val="clear" w:color="auto" w:fill="auto"/>
            <w:vAlign w:val="center"/>
          </w:tcPr>
          <w:p>
            <w:pPr>
              <w:pStyle w:val="53"/>
              <w:bidi w:val="0"/>
              <w:rPr>
                <w:rFonts w:hint="eastAsia"/>
                <w:lang w:val="en-US" w:eastAsia="zh-CN"/>
              </w:rPr>
            </w:pPr>
            <w:r>
              <w:rPr>
                <w:rFonts w:hint="default"/>
                <w:lang w:val="en-US" w:eastAsia="zh-CN"/>
              </w:rPr>
              <w:t>/</w:t>
            </w:r>
          </w:p>
        </w:tc>
        <w:tc>
          <w:tcPr>
            <w:tcW w:w="0" w:type="auto"/>
            <w:shd w:val="clear" w:color="auto" w:fill="auto"/>
            <w:vAlign w:val="center"/>
          </w:tcPr>
          <w:p>
            <w:pPr>
              <w:pStyle w:val="53"/>
              <w:bidi w:val="0"/>
              <w:rPr>
                <w:rFonts w:hint="eastAsia"/>
                <w:lang w:val="en-US" w:eastAsia="zh-CN"/>
              </w:rPr>
            </w:pPr>
            <w:r>
              <w:rPr>
                <w:rFonts w:hint="default"/>
                <w:lang w:val="en-US" w:eastAsia="zh-CN"/>
              </w:rPr>
              <w:t>/</w:t>
            </w:r>
          </w:p>
        </w:tc>
        <w:tc>
          <w:tcPr>
            <w:tcW w:w="0" w:type="auto"/>
            <w:shd w:val="clear" w:color="auto" w:fill="auto"/>
            <w:vAlign w:val="center"/>
          </w:tcPr>
          <w:p>
            <w:pPr>
              <w:pStyle w:val="53"/>
              <w:bidi w:val="0"/>
              <w:rPr>
                <w:rFonts w:hint="default"/>
                <w:lang w:val="en-US" w:eastAsia="zh-CN"/>
              </w:rPr>
            </w:pPr>
            <w:r>
              <w:rPr>
                <w:rFonts w:hint="default"/>
                <w:lang w:val="en-US" w:eastAsia="zh-CN"/>
              </w:rPr>
              <w:t>0.27</w:t>
            </w:r>
          </w:p>
        </w:tc>
        <w:tc>
          <w:tcPr>
            <w:tcW w:w="0" w:type="auto"/>
            <w:shd w:val="clear" w:color="auto" w:fill="auto"/>
            <w:vAlign w:val="center"/>
          </w:tcPr>
          <w:p>
            <w:pPr>
              <w:pStyle w:val="53"/>
              <w:bidi w:val="0"/>
              <w:rPr>
                <w:rFonts w:hint="eastAsia"/>
                <w:lang w:val="en-US" w:eastAsia="zh-CN"/>
              </w:rPr>
            </w:pPr>
            <w:r>
              <w:rPr>
                <w:rFonts w:hint="default"/>
                <w:lang w:val="en-US" w:eastAsia="zh-CN"/>
              </w:rPr>
              <w:t>/</w:t>
            </w:r>
          </w:p>
        </w:tc>
        <w:tc>
          <w:tcPr>
            <w:tcW w:w="2133" w:type="dxa"/>
            <w:shd w:val="clear" w:color="auto" w:fill="auto"/>
            <w:vAlign w:val="center"/>
          </w:tcPr>
          <w:p>
            <w:pPr>
              <w:pStyle w:val="53"/>
              <w:bidi w:val="0"/>
              <w:rPr>
                <w:rFonts w:hint="default"/>
                <w:lang w:val="en-US" w:eastAsia="zh-CN"/>
              </w:rPr>
            </w:pPr>
            <w:r>
              <w:rPr>
                <w:rFonts w:hint="default"/>
                <w:lang w:val="en-US" w:eastAsia="zh-CN"/>
              </w:rPr>
              <w:t>0.27</w:t>
            </w:r>
          </w:p>
        </w:tc>
        <w:tc>
          <w:tcPr>
            <w:tcW w:w="886" w:type="dxa"/>
            <w:shd w:val="clear" w:color="auto" w:fill="auto"/>
            <w:vAlign w:val="center"/>
          </w:tcPr>
          <w:p>
            <w:pPr>
              <w:pStyle w:val="53"/>
              <w:bidi w:val="0"/>
              <w:rPr>
                <w:rFonts w:hint="eastAsia"/>
              </w:rPr>
            </w:pPr>
            <w:r>
              <w:rPr>
                <w:rFonts w:hint="default"/>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0" w:type="auto"/>
            <w:vMerge w:val="continue"/>
            <w:shd w:val="clear" w:color="auto" w:fill="auto"/>
            <w:vAlign w:val="center"/>
          </w:tcPr>
          <w:p>
            <w:pPr>
              <w:pStyle w:val="53"/>
              <w:bidi w:val="0"/>
            </w:pPr>
          </w:p>
        </w:tc>
        <w:tc>
          <w:tcPr>
            <w:tcW w:w="0" w:type="auto"/>
            <w:shd w:val="clear" w:color="auto" w:fill="auto"/>
            <w:vAlign w:val="center"/>
          </w:tcPr>
          <w:p>
            <w:pPr>
              <w:pStyle w:val="53"/>
              <w:bidi w:val="0"/>
            </w:pPr>
            <w:r>
              <w:rPr>
                <w:rFonts w:hint="eastAsia"/>
                <w:lang w:val="en-US" w:eastAsia="zh-CN"/>
              </w:rPr>
              <w:t>颗粒物</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0.2</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0.2</w:t>
            </w:r>
          </w:p>
        </w:tc>
        <w:tc>
          <w:tcPr>
            <w:tcW w:w="886" w:type="dxa"/>
            <w:shd w:val="clear" w:color="auto" w:fill="auto"/>
            <w:vAlign w:val="center"/>
          </w:tcPr>
          <w:p>
            <w:pPr>
              <w:pStyle w:val="53"/>
              <w:bidi w:val="0"/>
            </w:pPr>
            <w:r>
              <w:rPr>
                <w:rFonts w:hint="default"/>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Merge w:val="restart"/>
            <w:shd w:val="clear" w:color="auto" w:fill="auto"/>
            <w:vAlign w:val="center"/>
          </w:tcPr>
          <w:p>
            <w:pPr>
              <w:pStyle w:val="53"/>
              <w:bidi w:val="0"/>
            </w:pPr>
            <w:r>
              <w:rPr>
                <w:rFonts w:hint="eastAsia"/>
                <w:lang w:val="en-US" w:eastAsia="zh-CN"/>
              </w:rPr>
              <w:t>废水</w:t>
            </w:r>
          </w:p>
        </w:tc>
        <w:tc>
          <w:tcPr>
            <w:tcW w:w="0" w:type="auto"/>
            <w:shd w:val="clear" w:color="auto" w:fill="auto"/>
            <w:vAlign w:val="center"/>
          </w:tcPr>
          <w:p>
            <w:pPr>
              <w:pStyle w:val="53"/>
              <w:bidi w:val="0"/>
            </w:pPr>
            <w:r>
              <w:rPr>
                <w:rFonts w:hint="eastAsia"/>
                <w:lang w:val="en-US" w:eastAsia="zh-CN"/>
              </w:rPr>
              <w:t>废水量</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180</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180</w:t>
            </w:r>
          </w:p>
        </w:tc>
        <w:tc>
          <w:tcPr>
            <w:tcW w:w="886" w:type="dxa"/>
            <w:shd w:val="clear" w:color="auto" w:fill="auto"/>
            <w:vAlign w:val="center"/>
          </w:tcPr>
          <w:p>
            <w:pPr>
              <w:pStyle w:val="53"/>
              <w:bidi w:val="0"/>
            </w:pPr>
            <w:r>
              <w:rPr>
                <w:rFonts w:hint="default"/>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Merge w:val="continue"/>
            <w:shd w:val="clear" w:color="auto" w:fill="auto"/>
            <w:vAlign w:val="center"/>
          </w:tcPr>
          <w:p>
            <w:pPr>
              <w:pStyle w:val="53"/>
              <w:bidi w:val="0"/>
            </w:pPr>
          </w:p>
        </w:tc>
        <w:tc>
          <w:tcPr>
            <w:tcW w:w="0" w:type="auto"/>
            <w:shd w:val="clear" w:color="auto" w:fill="auto"/>
            <w:vAlign w:val="center"/>
          </w:tcPr>
          <w:p>
            <w:pPr>
              <w:pStyle w:val="53"/>
              <w:bidi w:val="0"/>
            </w:pPr>
            <w:r>
              <w:rPr>
                <w:rFonts w:hint="default"/>
                <w:lang w:val="en-US" w:eastAsia="zh-CN"/>
              </w:rPr>
              <w:t>COD</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0.0504</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0.0504</w:t>
            </w:r>
          </w:p>
        </w:tc>
        <w:tc>
          <w:tcPr>
            <w:tcW w:w="886" w:type="dxa"/>
            <w:shd w:val="clear" w:color="auto" w:fill="auto"/>
            <w:vAlign w:val="center"/>
          </w:tcPr>
          <w:p>
            <w:pPr>
              <w:pStyle w:val="53"/>
              <w:bidi w:val="0"/>
            </w:pPr>
            <w:r>
              <w:rPr>
                <w:rFonts w:hint="default"/>
                <w:lang w:val="en-US" w:eastAsia="zh-CN"/>
              </w:rPr>
              <w:t>0.0504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Merge w:val="continue"/>
            <w:shd w:val="clear" w:color="auto" w:fill="auto"/>
            <w:vAlign w:val="center"/>
          </w:tcPr>
          <w:p>
            <w:pPr>
              <w:pStyle w:val="53"/>
              <w:bidi w:val="0"/>
            </w:pPr>
          </w:p>
        </w:tc>
        <w:tc>
          <w:tcPr>
            <w:tcW w:w="0" w:type="auto"/>
            <w:shd w:val="clear" w:color="auto" w:fill="auto"/>
            <w:vAlign w:val="center"/>
          </w:tcPr>
          <w:p>
            <w:pPr>
              <w:pStyle w:val="53"/>
              <w:bidi w:val="0"/>
            </w:pPr>
            <w:r>
              <w:rPr>
                <w:rFonts w:hint="default"/>
                <w:lang w:val="en-US" w:eastAsia="zh-CN"/>
              </w:rPr>
              <w:t>BOD</w:t>
            </w:r>
            <w:r>
              <w:rPr>
                <w:rFonts w:hint="default"/>
                <w:vertAlign w:val="subscript"/>
                <w:lang w:val="en-US" w:eastAsia="zh-CN"/>
              </w:rPr>
              <w:t>5</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0.0277</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0.0277</w:t>
            </w:r>
          </w:p>
        </w:tc>
        <w:tc>
          <w:tcPr>
            <w:tcW w:w="886" w:type="dxa"/>
            <w:shd w:val="clear" w:color="auto" w:fill="auto"/>
            <w:vAlign w:val="center"/>
          </w:tcPr>
          <w:p>
            <w:pPr>
              <w:pStyle w:val="53"/>
              <w:bidi w:val="0"/>
            </w:pPr>
            <w:r>
              <w:rPr>
                <w:rFonts w:hint="default"/>
                <w:lang w:val="en-US" w:eastAsia="zh-CN"/>
              </w:rPr>
              <w:t>0.0277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Merge w:val="continue"/>
            <w:shd w:val="clear" w:color="auto" w:fill="auto"/>
            <w:vAlign w:val="center"/>
          </w:tcPr>
          <w:p>
            <w:pPr>
              <w:pStyle w:val="53"/>
              <w:bidi w:val="0"/>
            </w:pPr>
          </w:p>
        </w:tc>
        <w:tc>
          <w:tcPr>
            <w:tcW w:w="0" w:type="auto"/>
            <w:shd w:val="clear" w:color="auto" w:fill="auto"/>
            <w:vAlign w:val="center"/>
          </w:tcPr>
          <w:p>
            <w:pPr>
              <w:pStyle w:val="53"/>
              <w:bidi w:val="0"/>
            </w:pPr>
            <w:r>
              <w:rPr>
                <w:rFonts w:hint="default"/>
                <w:lang w:val="en-US" w:eastAsia="zh-CN"/>
              </w:rPr>
              <w:t>SS</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0.0054</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0.0054</w:t>
            </w:r>
          </w:p>
        </w:tc>
        <w:tc>
          <w:tcPr>
            <w:tcW w:w="886" w:type="dxa"/>
            <w:shd w:val="clear" w:color="auto" w:fill="auto"/>
            <w:vAlign w:val="center"/>
          </w:tcPr>
          <w:p>
            <w:pPr>
              <w:pStyle w:val="53"/>
              <w:bidi w:val="0"/>
            </w:pPr>
            <w:r>
              <w:rPr>
                <w:rFonts w:hint="default"/>
                <w:lang w:val="en-US" w:eastAsia="zh-CN"/>
              </w:rPr>
              <w:t>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Merge w:val="continue"/>
            <w:shd w:val="clear" w:color="auto" w:fill="auto"/>
            <w:vAlign w:val="center"/>
          </w:tcPr>
          <w:p>
            <w:pPr>
              <w:pStyle w:val="53"/>
              <w:bidi w:val="0"/>
            </w:pPr>
          </w:p>
        </w:tc>
        <w:tc>
          <w:tcPr>
            <w:tcW w:w="0" w:type="auto"/>
            <w:shd w:val="clear" w:color="auto" w:fill="auto"/>
            <w:vAlign w:val="center"/>
          </w:tcPr>
          <w:p>
            <w:pPr>
              <w:pStyle w:val="53"/>
              <w:bidi w:val="0"/>
            </w:pPr>
            <w:r>
              <w:rPr>
                <w:rFonts w:hint="default"/>
                <w:lang w:val="en-US" w:eastAsia="zh-CN"/>
              </w:rPr>
              <w:t>NH</w:t>
            </w:r>
            <w:r>
              <w:rPr>
                <w:rFonts w:hint="default"/>
                <w:vertAlign w:val="subscript"/>
                <w:lang w:val="en-US" w:eastAsia="zh-CN"/>
              </w:rPr>
              <w:t>3</w:t>
            </w:r>
            <w:r>
              <w:rPr>
                <w:rFonts w:hint="default"/>
                <w:lang w:val="en-US" w:eastAsia="zh-CN"/>
              </w:rPr>
              <w:t>-N</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0.0061</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0.0061</w:t>
            </w:r>
          </w:p>
        </w:tc>
        <w:tc>
          <w:tcPr>
            <w:tcW w:w="886" w:type="dxa"/>
            <w:shd w:val="clear" w:color="auto" w:fill="auto"/>
            <w:vAlign w:val="center"/>
          </w:tcPr>
          <w:p>
            <w:pPr>
              <w:pStyle w:val="53"/>
              <w:bidi w:val="0"/>
            </w:pPr>
            <w:r>
              <w:rPr>
                <w:rFonts w:hint="default"/>
                <w:lang w:val="en-US" w:eastAsia="zh-CN"/>
              </w:rPr>
              <w:t>0.0061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0" w:type="auto"/>
            <w:vMerge w:val="restart"/>
            <w:shd w:val="clear" w:color="auto" w:fill="auto"/>
            <w:vAlign w:val="center"/>
          </w:tcPr>
          <w:p>
            <w:pPr>
              <w:pStyle w:val="53"/>
              <w:bidi w:val="0"/>
            </w:pPr>
            <w:r>
              <w:rPr>
                <w:rFonts w:hint="eastAsia"/>
                <w:lang w:val="en-US" w:eastAsia="zh-CN"/>
              </w:rPr>
              <w:t>一般工业固体废物</w:t>
            </w:r>
          </w:p>
        </w:tc>
        <w:tc>
          <w:tcPr>
            <w:tcW w:w="0" w:type="auto"/>
            <w:shd w:val="clear" w:color="auto" w:fill="auto"/>
            <w:vAlign w:val="center"/>
          </w:tcPr>
          <w:p>
            <w:pPr>
              <w:pStyle w:val="53"/>
              <w:bidi w:val="0"/>
            </w:pPr>
            <w:r>
              <w:rPr>
                <w:rFonts w:hint="eastAsia"/>
                <w:lang w:val="en-US" w:eastAsia="zh-CN"/>
              </w:rPr>
              <w:t>废包装物（包装纸箱、包装袋等）</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0.5</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0.5</w:t>
            </w:r>
          </w:p>
        </w:tc>
        <w:tc>
          <w:tcPr>
            <w:tcW w:w="886" w:type="dxa"/>
            <w:shd w:val="clear" w:color="auto" w:fill="auto"/>
            <w:vAlign w:val="center"/>
          </w:tcPr>
          <w:p>
            <w:pPr>
              <w:pStyle w:val="53"/>
              <w:bidi w:val="0"/>
            </w:pPr>
            <w:r>
              <w:rPr>
                <w:rFonts w:hint="default"/>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shd w:val="clear" w:color="auto" w:fill="auto"/>
            <w:vAlign w:val="center"/>
          </w:tcPr>
          <w:p>
            <w:pPr>
              <w:pStyle w:val="53"/>
              <w:bidi w:val="0"/>
            </w:pPr>
          </w:p>
        </w:tc>
        <w:tc>
          <w:tcPr>
            <w:tcW w:w="0" w:type="auto"/>
            <w:shd w:val="clear" w:color="auto" w:fill="auto"/>
            <w:vAlign w:val="center"/>
          </w:tcPr>
          <w:p>
            <w:pPr>
              <w:pStyle w:val="53"/>
              <w:bidi w:val="0"/>
            </w:pPr>
            <w:r>
              <w:rPr>
                <w:rFonts w:hint="eastAsia"/>
                <w:lang w:val="en-US" w:eastAsia="zh-CN"/>
              </w:rPr>
              <w:t>废边角料</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0.4</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0.4</w:t>
            </w:r>
          </w:p>
        </w:tc>
        <w:tc>
          <w:tcPr>
            <w:tcW w:w="886" w:type="dxa"/>
            <w:shd w:val="clear" w:color="auto" w:fill="auto"/>
            <w:vAlign w:val="center"/>
          </w:tcPr>
          <w:p>
            <w:pPr>
              <w:pStyle w:val="53"/>
              <w:bidi w:val="0"/>
            </w:pPr>
            <w:r>
              <w:rPr>
                <w:rFonts w:hint="default"/>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gridSpan w:val="2"/>
            <w:shd w:val="clear" w:color="auto" w:fill="auto"/>
            <w:vAlign w:val="center"/>
          </w:tcPr>
          <w:p>
            <w:pPr>
              <w:pStyle w:val="53"/>
              <w:bidi w:val="0"/>
            </w:pPr>
            <w:r>
              <w:rPr>
                <w:rFonts w:hint="eastAsia"/>
                <w:lang w:val="en-US" w:eastAsia="zh-CN"/>
              </w:rPr>
              <w:t>生活垃圾</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2.25</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2.25</w:t>
            </w:r>
          </w:p>
        </w:tc>
        <w:tc>
          <w:tcPr>
            <w:tcW w:w="886" w:type="dxa"/>
            <w:shd w:val="clear" w:color="auto" w:fill="auto"/>
            <w:vAlign w:val="center"/>
          </w:tcPr>
          <w:p>
            <w:pPr>
              <w:pStyle w:val="53"/>
              <w:bidi w:val="0"/>
            </w:pPr>
            <w:r>
              <w:rPr>
                <w:rFonts w:hint="default"/>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shd w:val="clear" w:color="auto" w:fill="auto"/>
            <w:vAlign w:val="center"/>
          </w:tcPr>
          <w:p>
            <w:pPr>
              <w:pStyle w:val="53"/>
              <w:bidi w:val="0"/>
            </w:pPr>
            <w:r>
              <w:rPr>
                <w:rFonts w:hint="eastAsia"/>
                <w:lang w:val="en-US" w:eastAsia="zh-CN"/>
              </w:rPr>
              <w:t>危险废物</w:t>
            </w:r>
          </w:p>
        </w:tc>
        <w:tc>
          <w:tcPr>
            <w:tcW w:w="0" w:type="auto"/>
            <w:shd w:val="clear" w:color="auto" w:fill="auto"/>
            <w:vAlign w:val="center"/>
          </w:tcPr>
          <w:p>
            <w:pPr>
              <w:pStyle w:val="53"/>
              <w:bidi w:val="0"/>
            </w:pPr>
            <w:r>
              <w:rPr>
                <w:rFonts w:hint="eastAsia"/>
                <w:lang w:val="en-US" w:eastAsia="zh-CN"/>
              </w:rPr>
              <w:t>废活性炭</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4.212</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4.212</w:t>
            </w:r>
          </w:p>
        </w:tc>
        <w:tc>
          <w:tcPr>
            <w:tcW w:w="886" w:type="dxa"/>
            <w:shd w:val="clear" w:color="auto" w:fill="auto"/>
            <w:vAlign w:val="center"/>
          </w:tcPr>
          <w:p>
            <w:pPr>
              <w:pStyle w:val="53"/>
              <w:bidi w:val="0"/>
            </w:pPr>
            <w:r>
              <w:rPr>
                <w:rFonts w:hint="default"/>
                <w:lang w:val="en-US" w:eastAsia="zh-CN"/>
              </w:rPr>
              <w:t>4.212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shd w:val="clear" w:color="auto" w:fill="auto"/>
            <w:vAlign w:val="center"/>
          </w:tcPr>
          <w:p>
            <w:pPr>
              <w:pStyle w:val="53"/>
              <w:bidi w:val="0"/>
            </w:pPr>
          </w:p>
        </w:tc>
        <w:tc>
          <w:tcPr>
            <w:tcW w:w="0" w:type="auto"/>
            <w:shd w:val="clear" w:color="auto" w:fill="auto"/>
            <w:vAlign w:val="center"/>
          </w:tcPr>
          <w:p>
            <w:pPr>
              <w:pStyle w:val="53"/>
              <w:bidi w:val="0"/>
            </w:pPr>
            <w:r>
              <w:rPr>
                <w:rFonts w:hint="eastAsia"/>
                <w:lang w:val="en-US" w:eastAsia="zh-CN"/>
              </w:rPr>
              <w:t>废矿物油</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w:t>
            </w:r>
          </w:p>
        </w:tc>
        <w:tc>
          <w:tcPr>
            <w:tcW w:w="0" w:type="auto"/>
            <w:shd w:val="clear" w:color="auto" w:fill="auto"/>
            <w:vAlign w:val="center"/>
          </w:tcPr>
          <w:p>
            <w:pPr>
              <w:pStyle w:val="53"/>
              <w:bidi w:val="0"/>
            </w:pPr>
            <w:r>
              <w:rPr>
                <w:rFonts w:hint="default"/>
                <w:lang w:val="en-US" w:eastAsia="zh-CN"/>
              </w:rPr>
              <w:t>0.1</w:t>
            </w:r>
          </w:p>
        </w:tc>
        <w:tc>
          <w:tcPr>
            <w:tcW w:w="0" w:type="auto"/>
            <w:shd w:val="clear" w:color="auto" w:fill="auto"/>
            <w:vAlign w:val="center"/>
          </w:tcPr>
          <w:p>
            <w:pPr>
              <w:pStyle w:val="53"/>
              <w:bidi w:val="0"/>
            </w:pPr>
            <w:r>
              <w:rPr>
                <w:rFonts w:hint="default"/>
                <w:lang w:val="en-US" w:eastAsia="zh-CN"/>
              </w:rPr>
              <w:t>/</w:t>
            </w:r>
          </w:p>
        </w:tc>
        <w:tc>
          <w:tcPr>
            <w:tcW w:w="2133" w:type="dxa"/>
            <w:shd w:val="clear" w:color="auto" w:fill="auto"/>
            <w:vAlign w:val="center"/>
          </w:tcPr>
          <w:p>
            <w:pPr>
              <w:pStyle w:val="53"/>
              <w:bidi w:val="0"/>
            </w:pPr>
            <w:r>
              <w:rPr>
                <w:rFonts w:hint="default"/>
                <w:lang w:val="en-US" w:eastAsia="zh-CN"/>
              </w:rPr>
              <w:t>0.1</w:t>
            </w:r>
          </w:p>
        </w:tc>
        <w:tc>
          <w:tcPr>
            <w:tcW w:w="886" w:type="dxa"/>
            <w:shd w:val="clear" w:color="auto" w:fill="auto"/>
            <w:vAlign w:val="center"/>
          </w:tcPr>
          <w:p>
            <w:pPr>
              <w:pStyle w:val="53"/>
              <w:bidi w:val="0"/>
            </w:pPr>
            <w:r>
              <w:rPr>
                <w:rFonts w:hint="default"/>
                <w:lang w:val="en-US" w:eastAsia="zh-CN"/>
              </w:rPr>
              <w:t>0.1</w:t>
            </w:r>
          </w:p>
        </w:tc>
      </w:tr>
    </w:tbl>
    <w:p>
      <w:pPr>
        <w:pStyle w:val="75"/>
        <w:spacing w:beforeLines="80" w:after="24"/>
        <w:ind w:firstLine="360"/>
        <w:jc w:val="left"/>
        <w:rPr>
          <w:rFonts w:ascii="Times New Roman"/>
          <w:color w:val="000000"/>
        </w:rPr>
      </w:pPr>
      <w:r>
        <w:rPr>
          <w:rFonts w:ascii="Times New Roman"/>
          <w:color w:val="000000"/>
          <w:sz w:val="18"/>
          <w:szCs w:val="18"/>
        </w:rPr>
        <w:t>注：</w:t>
      </w:r>
      <w:r>
        <w:rPr>
          <w:rFonts w:ascii="Times New Roman"/>
          <w:color w:val="000000"/>
          <w:sz w:val="18"/>
          <w:szCs w:val="18"/>
        </w:rPr>
        <w:fldChar w:fldCharType="begin"/>
      </w:r>
      <w:r>
        <w:rPr>
          <w:rFonts w:ascii="Times New Roman"/>
          <w:color w:val="000000"/>
          <w:sz w:val="18"/>
          <w:szCs w:val="18"/>
        </w:rPr>
        <w:instrText xml:space="preserve"> = 6 \* GB3 \* MERGEFORMAT </w:instrText>
      </w:r>
      <w:r>
        <w:rPr>
          <w:rFonts w:ascii="Times New Roman"/>
          <w:color w:val="000000"/>
          <w:sz w:val="18"/>
          <w:szCs w:val="18"/>
        </w:rPr>
        <w:fldChar w:fldCharType="separate"/>
      </w:r>
      <w:r>
        <w:rPr>
          <w:rFonts w:ascii="Times New Roman"/>
          <w:color w:val="000000"/>
          <w:sz w:val="18"/>
          <w:szCs w:val="18"/>
        </w:rPr>
        <w:t>⑥</w:t>
      </w:r>
      <w:r>
        <w:rPr>
          <w:rFonts w:ascii="Times New Roman"/>
          <w:color w:val="000000"/>
          <w:sz w:val="18"/>
          <w:szCs w:val="18"/>
        </w:rPr>
        <w:fldChar w:fldCharType="end"/>
      </w:r>
      <w:r>
        <w:rPr>
          <w:rFonts w:ascii="Times New Roman"/>
          <w:color w:val="000000"/>
          <w:sz w:val="18"/>
          <w:szCs w:val="18"/>
        </w:rPr>
        <w:t>=</w:t>
      </w:r>
      <w:r>
        <w:rPr>
          <w:rFonts w:ascii="Times New Roman"/>
          <w:color w:val="000000"/>
          <w:sz w:val="18"/>
          <w:szCs w:val="18"/>
        </w:rPr>
        <w:fldChar w:fldCharType="begin"/>
      </w:r>
      <w:r>
        <w:rPr>
          <w:rFonts w:ascii="Times New Roman"/>
          <w:color w:val="000000"/>
          <w:sz w:val="18"/>
          <w:szCs w:val="18"/>
        </w:rPr>
        <w:instrText xml:space="preserve"> = 1 \* GB3 \* MERGEFORMAT </w:instrText>
      </w:r>
      <w:r>
        <w:rPr>
          <w:rFonts w:ascii="Times New Roman"/>
          <w:color w:val="000000"/>
          <w:sz w:val="18"/>
          <w:szCs w:val="18"/>
        </w:rPr>
        <w:fldChar w:fldCharType="separate"/>
      </w:r>
      <w:r>
        <w:rPr>
          <w:rFonts w:ascii="Times New Roman"/>
          <w:color w:val="000000"/>
          <w:sz w:val="18"/>
          <w:szCs w:val="18"/>
        </w:rPr>
        <w:t>①</w:t>
      </w:r>
      <w:r>
        <w:rPr>
          <w:rFonts w:ascii="Times New Roman"/>
          <w:color w:val="000000"/>
          <w:sz w:val="18"/>
          <w:szCs w:val="18"/>
        </w:rPr>
        <w:fldChar w:fldCharType="end"/>
      </w:r>
      <w:r>
        <w:rPr>
          <w:rFonts w:ascii="Times New Roman"/>
          <w:color w:val="000000"/>
          <w:sz w:val="18"/>
          <w:szCs w:val="18"/>
        </w:rPr>
        <w:t>+</w:t>
      </w:r>
      <w:r>
        <w:rPr>
          <w:rFonts w:ascii="Times New Roman"/>
          <w:color w:val="000000"/>
          <w:sz w:val="18"/>
          <w:szCs w:val="18"/>
        </w:rPr>
        <w:fldChar w:fldCharType="begin"/>
      </w:r>
      <w:r>
        <w:rPr>
          <w:rFonts w:ascii="Times New Roman"/>
          <w:color w:val="000000"/>
          <w:sz w:val="18"/>
          <w:szCs w:val="18"/>
        </w:rPr>
        <w:instrText xml:space="preserve"> = 4 \* GB3 \* MERGEFORMAT </w:instrText>
      </w:r>
      <w:r>
        <w:rPr>
          <w:rFonts w:ascii="Times New Roman"/>
          <w:color w:val="000000"/>
          <w:sz w:val="18"/>
          <w:szCs w:val="18"/>
        </w:rPr>
        <w:fldChar w:fldCharType="separate"/>
      </w:r>
      <w:r>
        <w:rPr>
          <w:rFonts w:ascii="Times New Roman"/>
          <w:color w:val="000000"/>
          <w:sz w:val="18"/>
          <w:szCs w:val="18"/>
        </w:rPr>
        <w:t>④</w:t>
      </w:r>
      <w:r>
        <w:rPr>
          <w:rFonts w:ascii="Times New Roman"/>
          <w:color w:val="000000"/>
          <w:sz w:val="18"/>
          <w:szCs w:val="18"/>
        </w:rPr>
        <w:fldChar w:fldCharType="end"/>
      </w:r>
      <w:r>
        <w:rPr>
          <w:rFonts w:ascii="Times New Roman"/>
          <w:color w:val="000000"/>
          <w:sz w:val="18"/>
          <w:szCs w:val="18"/>
        </w:rPr>
        <w:t>；</w:t>
      </w:r>
      <w:r>
        <w:rPr>
          <w:rFonts w:ascii="Times New Roman"/>
          <w:color w:val="000000"/>
          <w:sz w:val="18"/>
          <w:szCs w:val="18"/>
        </w:rPr>
        <w:fldChar w:fldCharType="begin"/>
      </w:r>
      <w:r>
        <w:rPr>
          <w:rFonts w:ascii="Times New Roman"/>
          <w:color w:val="000000"/>
          <w:sz w:val="18"/>
          <w:szCs w:val="18"/>
        </w:rPr>
        <w:instrText xml:space="preserve"> = 7 \* GB3 \* MERGEFORMAT </w:instrText>
      </w:r>
      <w:r>
        <w:rPr>
          <w:rFonts w:ascii="Times New Roman"/>
          <w:color w:val="000000"/>
          <w:sz w:val="18"/>
          <w:szCs w:val="18"/>
        </w:rPr>
        <w:fldChar w:fldCharType="separate"/>
      </w:r>
      <w:r>
        <w:rPr>
          <w:rFonts w:ascii="Times New Roman"/>
          <w:color w:val="000000"/>
          <w:sz w:val="18"/>
          <w:szCs w:val="18"/>
        </w:rPr>
        <w:t>⑦</w:t>
      </w:r>
      <w:r>
        <w:rPr>
          <w:rFonts w:ascii="Times New Roman"/>
          <w:color w:val="000000"/>
          <w:sz w:val="18"/>
          <w:szCs w:val="18"/>
        </w:rPr>
        <w:fldChar w:fldCharType="end"/>
      </w:r>
      <w:r>
        <w:rPr>
          <w:rFonts w:ascii="Times New Roman"/>
          <w:color w:val="000000"/>
          <w:sz w:val="18"/>
          <w:szCs w:val="18"/>
        </w:rPr>
        <w:t>=</w:t>
      </w:r>
      <w:r>
        <w:rPr>
          <w:rFonts w:ascii="Times New Roman"/>
          <w:color w:val="000000"/>
          <w:sz w:val="18"/>
          <w:szCs w:val="18"/>
        </w:rPr>
        <w:fldChar w:fldCharType="begin"/>
      </w:r>
      <w:r>
        <w:rPr>
          <w:rFonts w:ascii="Times New Roman"/>
          <w:color w:val="000000"/>
          <w:sz w:val="18"/>
          <w:szCs w:val="18"/>
        </w:rPr>
        <w:instrText xml:space="preserve"> = 6 \* GB3 \* MERGEFORMAT </w:instrText>
      </w:r>
      <w:r>
        <w:rPr>
          <w:rFonts w:ascii="Times New Roman"/>
          <w:color w:val="000000"/>
          <w:sz w:val="18"/>
          <w:szCs w:val="18"/>
        </w:rPr>
        <w:fldChar w:fldCharType="separate"/>
      </w:r>
      <w:r>
        <w:rPr>
          <w:rFonts w:ascii="Times New Roman"/>
          <w:color w:val="000000"/>
          <w:sz w:val="18"/>
          <w:szCs w:val="18"/>
        </w:rPr>
        <w:t>⑥</w:t>
      </w:r>
      <w:r>
        <w:rPr>
          <w:rFonts w:ascii="Times New Roman"/>
          <w:color w:val="000000"/>
          <w:sz w:val="18"/>
          <w:szCs w:val="18"/>
        </w:rPr>
        <w:fldChar w:fldCharType="end"/>
      </w:r>
      <w:r>
        <w:rPr>
          <w:rFonts w:ascii="Times New Roman"/>
          <w:color w:val="000000"/>
          <w:sz w:val="18"/>
          <w:szCs w:val="18"/>
        </w:rPr>
        <w:t>-</w:t>
      </w:r>
      <w:r>
        <w:rPr>
          <w:rFonts w:ascii="Times New Roman"/>
          <w:color w:val="000000"/>
          <w:sz w:val="18"/>
          <w:szCs w:val="18"/>
        </w:rPr>
        <w:fldChar w:fldCharType="begin"/>
      </w:r>
      <w:r>
        <w:rPr>
          <w:rFonts w:ascii="Times New Roman"/>
          <w:color w:val="000000"/>
          <w:sz w:val="18"/>
          <w:szCs w:val="18"/>
        </w:rPr>
        <w:instrText xml:space="preserve"> = 1 \* GB3 \* MERGEFORMAT </w:instrText>
      </w:r>
      <w:r>
        <w:rPr>
          <w:rFonts w:ascii="Times New Roman"/>
          <w:color w:val="000000"/>
          <w:sz w:val="18"/>
          <w:szCs w:val="18"/>
        </w:rPr>
        <w:fldChar w:fldCharType="separate"/>
      </w:r>
      <w:r>
        <w:rPr>
          <w:rFonts w:ascii="Times New Roman"/>
          <w:color w:val="000000"/>
          <w:sz w:val="18"/>
          <w:szCs w:val="18"/>
        </w:rPr>
        <w:t>①</w:t>
      </w:r>
      <w:r>
        <w:rPr>
          <w:rFonts w:ascii="Times New Roman"/>
          <w:color w:val="000000"/>
          <w:sz w:val="18"/>
          <w:szCs w:val="18"/>
        </w:rPr>
        <w:fldChar w:fldCharType="end"/>
      </w:r>
      <w:r>
        <w:rPr>
          <w:rFonts w:hint="eastAsia" w:ascii="Times New Roman"/>
          <w:color w:val="000000"/>
          <w:sz w:val="18"/>
          <w:szCs w:val="18"/>
        </w:rPr>
        <w:t xml:space="preserve"> </w:t>
      </w:r>
    </w:p>
    <w:p>
      <w:pPr>
        <w:pStyle w:val="21"/>
        <w:ind w:left="480" w:firstLine="480"/>
        <w:rPr>
          <w:color w:val="000000"/>
        </w:rPr>
        <w:sectPr>
          <w:pgSz w:w="16838" w:h="11906" w:orient="landscape"/>
          <w:pgMar w:top="1531" w:right="1701" w:bottom="1531" w:left="1701" w:header="851" w:footer="851" w:gutter="0"/>
          <w:cols w:space="720" w:num="1"/>
          <w:docGrid w:linePitch="312" w:charSpace="0"/>
        </w:sectPr>
      </w:pPr>
    </w:p>
    <w:p>
      <w:pPr>
        <w:pStyle w:val="51"/>
      </w:pPr>
      <w:bookmarkStart w:id="108" w:name="_Toc5148"/>
      <w:bookmarkStart w:id="109" w:name="_Toc7629"/>
      <w:r>
        <w:t xml:space="preserve">附件 </w:t>
      </w:r>
      <w:r>
        <w:fldChar w:fldCharType="begin"/>
      </w:r>
      <w:r>
        <w:instrText xml:space="preserve"> SEQ 附件 \* ARABIC </w:instrText>
      </w:r>
      <w:r>
        <w:fldChar w:fldCharType="separate"/>
      </w:r>
      <w:r>
        <w:t>7</w:t>
      </w:r>
      <w:r>
        <w:fldChar w:fldCharType="end"/>
      </w:r>
      <w:r>
        <w:t xml:space="preserve"> 涉密说明</w:t>
      </w:r>
      <w:bookmarkEnd w:id="108"/>
      <w:r>
        <w:drawing>
          <wp:anchor distT="0" distB="0" distL="114300" distR="114300" simplePos="0" relativeHeight="251672576" behindDoc="0" locked="0" layoutInCell="1" allowOverlap="1">
            <wp:simplePos x="0" y="0"/>
            <wp:positionH relativeFrom="column">
              <wp:posOffset>0</wp:posOffset>
            </wp:positionH>
            <wp:positionV relativeFrom="paragraph">
              <wp:posOffset>295910</wp:posOffset>
            </wp:positionV>
            <wp:extent cx="5271135" cy="7522845"/>
            <wp:effectExtent l="0" t="0" r="5715" b="1905"/>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48"/>
                    <a:stretch>
                      <a:fillRect/>
                    </a:stretch>
                  </pic:blipFill>
                  <pic:spPr>
                    <a:xfrm>
                      <a:off x="0" y="0"/>
                      <a:ext cx="5271135" cy="7522845"/>
                    </a:xfrm>
                    <a:prstGeom prst="rect">
                      <a:avLst/>
                    </a:prstGeom>
                    <a:noFill/>
                    <a:ln>
                      <a:noFill/>
                    </a:ln>
                  </pic:spPr>
                </pic:pic>
              </a:graphicData>
            </a:graphic>
          </wp:anchor>
        </w:drawing>
      </w:r>
      <w:bookmarkEnd w:id="109"/>
    </w:p>
    <w:p>
      <w:pPr>
        <w:ind w:firstLine="0" w:firstLineChars="0"/>
        <w:jc w:val="center"/>
        <w:rPr>
          <w:b/>
          <w:bCs/>
          <w:color w:val="000000"/>
          <w:kern w:val="0"/>
          <w:sz w:val="30"/>
          <w:szCs w:val="30"/>
        </w:rPr>
      </w:pPr>
      <w:bookmarkStart w:id="110" w:name="_Toc4867_WPSOffice_Level1"/>
      <w:bookmarkStart w:id="111" w:name="_Toc13548_WPSOffice_Level1"/>
      <w:bookmarkStart w:id="112" w:name="_Toc31794_WPSOffice_Level1"/>
      <w:r>
        <w:rPr>
          <w:rFonts w:hint="eastAsia"/>
          <w:b/>
          <w:bCs/>
          <w:color w:val="000000"/>
          <w:sz w:val="32"/>
          <w:szCs w:val="32"/>
        </w:rPr>
        <w:t>关于</w:t>
      </w:r>
      <w:bookmarkEnd w:id="110"/>
      <w:bookmarkEnd w:id="111"/>
      <w:bookmarkEnd w:id="112"/>
      <w:r>
        <w:rPr>
          <w:rFonts w:hint="eastAsia"/>
          <w:b/>
          <w:bCs/>
          <w:color w:val="000000"/>
          <w:sz w:val="32"/>
          <w:szCs w:val="32"/>
        </w:rPr>
        <w:t>环评文件公开文本删除的涉及国家秘密、商业秘密等内容的删除依据和理由说明</w:t>
      </w:r>
    </w:p>
    <w:p>
      <w:pPr>
        <w:ind w:firstLine="560"/>
        <w:jc w:val="left"/>
        <w:rPr>
          <w:color w:val="000000"/>
          <w:sz w:val="28"/>
          <w:szCs w:val="28"/>
        </w:rPr>
      </w:pPr>
      <w:r>
        <w:rPr>
          <w:rFonts w:hint="eastAsia"/>
          <w:color w:val="000000"/>
          <w:sz w:val="28"/>
          <w:szCs w:val="28"/>
        </w:rPr>
        <w:t>福州市马尾生态环境局：</w:t>
      </w:r>
    </w:p>
    <w:p>
      <w:pPr>
        <w:spacing w:line="240" w:lineRule="auto"/>
        <w:ind w:firstLine="560"/>
        <w:jc w:val="left"/>
        <w:rPr>
          <w:rFonts w:ascii="宋体" w:hAnsi="宋体" w:cs="宋体"/>
          <w:color w:val="000000"/>
          <w:sz w:val="28"/>
          <w:szCs w:val="28"/>
        </w:rPr>
      </w:pPr>
      <w:r>
        <w:rPr>
          <w:rFonts w:hint="eastAsia"/>
          <w:color w:val="000000"/>
          <w:sz w:val="28"/>
          <w:szCs w:val="28"/>
        </w:rPr>
        <w:t>我司福州鑫博创工贸有限公司已完成环境影响评价报告表编制，现报送贵局审批。我司已删除涉及国家秘密、商业秘密、个人隐私等内容（具体删除内容、删除依据详见附件）。报送贵局的环境影响评价报告表公开文本已经我司审核，</w:t>
      </w:r>
      <w:r>
        <w:rPr>
          <w:rFonts w:hint="eastAsia" w:ascii="宋体" w:hAnsi="宋体" w:cs="宋体"/>
          <w:color w:val="000000"/>
          <w:sz w:val="28"/>
          <w:szCs w:val="28"/>
        </w:rPr>
        <w:t>我司同意对《鑫博创按摩器配件生产项目环境影响评价报告表》公开文本全文进行公示，特此声明。</w:t>
      </w:r>
    </w:p>
    <w:p>
      <w:pPr>
        <w:widowControl/>
        <w:ind w:firstLine="560"/>
        <w:jc w:val="left"/>
        <w:rPr>
          <w:color w:val="000000"/>
          <w:sz w:val="28"/>
          <w:szCs w:val="28"/>
        </w:rPr>
      </w:pPr>
      <w:r>
        <w:rPr>
          <w:rFonts w:hint="eastAsia"/>
          <w:color w:val="000000"/>
          <w:sz w:val="28"/>
          <w:szCs w:val="28"/>
        </w:rPr>
        <w:t>附件：关于《鑫博创按摩器配件生产项目环境影响评价报告表》公开删除内容、删除依据的说明。</w:t>
      </w:r>
    </w:p>
    <w:p>
      <w:pPr>
        <w:spacing w:line="240" w:lineRule="auto"/>
        <w:ind w:firstLine="560"/>
        <w:jc w:val="center"/>
        <w:rPr>
          <w:color w:val="000000"/>
          <w:sz w:val="28"/>
          <w:szCs w:val="28"/>
        </w:rPr>
      </w:pPr>
      <w:r>
        <w:rPr>
          <w:rFonts w:hint="eastAsia"/>
          <w:color w:val="000000"/>
          <w:sz w:val="28"/>
          <w:szCs w:val="28"/>
        </w:rPr>
        <w:t xml:space="preserve">                              </w:t>
      </w:r>
    </w:p>
    <w:p>
      <w:pPr>
        <w:spacing w:line="240" w:lineRule="auto"/>
        <w:ind w:firstLine="560"/>
        <w:jc w:val="center"/>
        <w:rPr>
          <w:color w:val="000000"/>
          <w:sz w:val="28"/>
          <w:szCs w:val="28"/>
        </w:rPr>
      </w:pPr>
    </w:p>
    <w:p>
      <w:pPr>
        <w:spacing w:line="240" w:lineRule="auto"/>
        <w:ind w:firstLine="560"/>
        <w:jc w:val="center"/>
        <w:rPr>
          <w:color w:val="000000"/>
          <w:sz w:val="28"/>
          <w:szCs w:val="28"/>
        </w:rPr>
      </w:pPr>
      <w:r>
        <w:rPr>
          <w:rFonts w:hint="eastAsia"/>
          <w:color w:val="000000"/>
          <w:sz w:val="28"/>
          <w:szCs w:val="28"/>
        </w:rPr>
        <w:t xml:space="preserve">                              单位盖章</w:t>
      </w:r>
    </w:p>
    <w:p>
      <w:pPr>
        <w:ind w:firstLine="5722" w:firstLineChars="1900"/>
        <w:jc w:val="right"/>
        <w:rPr>
          <w:b/>
          <w:color w:val="000000"/>
          <w:sz w:val="30"/>
          <w:szCs w:val="30"/>
        </w:rPr>
      </w:pPr>
      <w:r>
        <w:rPr>
          <w:rFonts w:hint="eastAsia"/>
          <w:b/>
          <w:color w:val="000000"/>
          <w:sz w:val="30"/>
          <w:szCs w:val="30"/>
        </w:rPr>
        <w:t>2025年  月  日</w:t>
      </w:r>
    </w:p>
    <w:p>
      <w:r>
        <w:br w:type="page"/>
      </w:r>
    </w:p>
    <w:p>
      <w:pPr>
        <w:pStyle w:val="51"/>
      </w:pPr>
      <w:bookmarkStart w:id="113" w:name="_Toc11894"/>
      <w:r>
        <w:drawing>
          <wp:anchor distT="0" distB="0" distL="114300" distR="114300" simplePos="0" relativeHeight="251673600" behindDoc="0" locked="0" layoutInCell="1" allowOverlap="1">
            <wp:simplePos x="0" y="0"/>
            <wp:positionH relativeFrom="column">
              <wp:posOffset>-238125</wp:posOffset>
            </wp:positionH>
            <wp:positionV relativeFrom="paragraph">
              <wp:posOffset>217805</wp:posOffset>
            </wp:positionV>
            <wp:extent cx="6015990" cy="8258175"/>
            <wp:effectExtent l="0" t="0" r="3810" b="9525"/>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49"/>
                    <a:stretch>
                      <a:fillRect/>
                    </a:stretch>
                  </pic:blipFill>
                  <pic:spPr>
                    <a:xfrm>
                      <a:off x="0" y="0"/>
                      <a:ext cx="6015990" cy="8258175"/>
                    </a:xfrm>
                    <a:prstGeom prst="rect">
                      <a:avLst/>
                    </a:prstGeom>
                    <a:noFill/>
                    <a:ln>
                      <a:noFill/>
                    </a:ln>
                  </pic:spPr>
                </pic:pic>
              </a:graphicData>
            </a:graphic>
          </wp:anchor>
        </w:drawing>
      </w:r>
      <w:r>
        <w:t xml:space="preserve">附件 </w:t>
      </w:r>
      <w:r>
        <w:fldChar w:fldCharType="begin"/>
      </w:r>
      <w:r>
        <w:instrText xml:space="preserve"> SEQ 附件 \* ARABIC </w:instrText>
      </w:r>
      <w:r>
        <w:fldChar w:fldCharType="separate"/>
      </w:r>
      <w:r>
        <w:t>8</w:t>
      </w:r>
      <w:r>
        <w:fldChar w:fldCharType="end"/>
      </w:r>
      <w:r>
        <w:rPr>
          <w:rFonts w:hint="eastAsia"/>
        </w:rPr>
        <w:t xml:space="preserve"> 涉及国家秘密、商业秘密等内容的删除依据和理由说明</w:t>
      </w:r>
      <w:bookmarkEnd w:id="113"/>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000000"/>
          <w:sz w:val="32"/>
          <w:szCs w:val="32"/>
        </w:rPr>
      </w:pPr>
      <w:r>
        <w:rPr>
          <w:rFonts w:hint="eastAsia"/>
          <w:b/>
          <w:bCs/>
          <w:color w:val="000000"/>
          <w:sz w:val="32"/>
          <w:szCs w:val="32"/>
        </w:rPr>
        <w:t>关于福州市马尾区福州鑫博创工贸有限公司鑫博创按摩器配件生产项目环境影响评价报告表公开文本删除的涉及国家秘密、商业秘密等内容的删除依据和理由说明</w:t>
      </w:r>
    </w:p>
    <w:p>
      <w:pPr>
        <w:spacing w:line="240" w:lineRule="auto"/>
        <w:ind w:firstLine="560"/>
        <w:jc w:val="left"/>
        <w:rPr>
          <w:color w:val="000000"/>
          <w:sz w:val="28"/>
          <w:szCs w:val="28"/>
        </w:rPr>
      </w:pPr>
      <w:r>
        <w:rPr>
          <w:rFonts w:hint="eastAsia"/>
          <w:color w:val="000000"/>
          <w:sz w:val="28"/>
          <w:szCs w:val="28"/>
        </w:rPr>
        <w:t>我司《鑫博创按摩器配件生产项目</w:t>
      </w:r>
      <w:r>
        <w:rPr>
          <w:rFonts w:hint="eastAsia" w:ascii="宋体" w:hAnsi="宋体" w:cs="宋体"/>
          <w:color w:val="000000"/>
          <w:sz w:val="28"/>
          <w:szCs w:val="28"/>
        </w:rPr>
        <w:t>环境影响评价报告表</w:t>
      </w:r>
      <w:r>
        <w:rPr>
          <w:rFonts w:hint="eastAsia"/>
          <w:color w:val="000000"/>
          <w:sz w:val="28"/>
          <w:szCs w:val="28"/>
        </w:rPr>
        <w:t>》部分内容因涉及国家秘密、商业秘密、个人隐私。我司删除了环境影响评价报告表中相应内容。具体删除内容和删除依据如下：</w:t>
      </w:r>
    </w:p>
    <w:p>
      <w:pPr>
        <w:numPr>
          <w:ilvl w:val="0"/>
          <w:numId w:val="7"/>
        </w:numPr>
        <w:spacing w:line="240" w:lineRule="auto"/>
        <w:ind w:firstLine="560"/>
        <w:jc w:val="left"/>
        <w:rPr>
          <w:color w:val="000000"/>
        </w:rPr>
      </w:pPr>
      <w:r>
        <w:rPr>
          <w:rFonts w:hint="eastAsia"/>
          <w:color w:val="000000"/>
          <w:sz w:val="28"/>
          <w:szCs w:val="28"/>
        </w:rPr>
        <w:t>删除项目附件，删除理由：涉及商业秘密及个人隐私；</w:t>
      </w:r>
    </w:p>
    <w:p>
      <w:pPr>
        <w:numPr>
          <w:ilvl w:val="0"/>
          <w:numId w:val="7"/>
        </w:numPr>
        <w:spacing w:line="240" w:lineRule="auto"/>
        <w:ind w:firstLine="560"/>
        <w:jc w:val="left"/>
        <w:rPr>
          <w:color w:val="000000"/>
          <w:sz w:val="28"/>
          <w:szCs w:val="28"/>
        </w:rPr>
      </w:pPr>
      <w:r>
        <w:rPr>
          <w:rFonts w:hint="eastAsia"/>
          <w:color w:val="000000"/>
          <w:sz w:val="28"/>
          <w:szCs w:val="28"/>
        </w:rPr>
        <w:t>删除我司联系方式，删除理由：涉及个人隐私；</w:t>
      </w:r>
    </w:p>
    <w:p>
      <w:pPr>
        <w:numPr>
          <w:ilvl w:val="0"/>
          <w:numId w:val="7"/>
        </w:numPr>
        <w:spacing w:line="240" w:lineRule="auto"/>
        <w:ind w:firstLine="560"/>
        <w:jc w:val="left"/>
        <w:rPr>
          <w:color w:val="000000"/>
          <w:sz w:val="28"/>
          <w:szCs w:val="28"/>
        </w:rPr>
      </w:pPr>
      <w:r>
        <w:rPr>
          <w:rFonts w:hint="eastAsia"/>
          <w:color w:val="000000"/>
          <w:sz w:val="28"/>
          <w:szCs w:val="28"/>
        </w:rPr>
        <w:t>删除项目编制单位统一社会信用代码及编制主持人证书编号、信用编号等，删除理由：涉及商业秘密及个人隐私。</w:t>
      </w:r>
    </w:p>
    <w:p>
      <w:pPr>
        <w:spacing w:line="240" w:lineRule="auto"/>
        <w:ind w:firstLine="560"/>
        <w:jc w:val="left"/>
        <w:rPr>
          <w:color w:val="000000"/>
          <w:sz w:val="28"/>
          <w:szCs w:val="28"/>
        </w:rPr>
      </w:pPr>
      <w:r>
        <w:rPr>
          <w:rFonts w:hint="eastAsia"/>
          <w:color w:val="000000"/>
          <w:sz w:val="28"/>
          <w:szCs w:val="28"/>
        </w:rPr>
        <w:t xml:space="preserve"> </w:t>
      </w:r>
    </w:p>
    <w:p>
      <w:pPr>
        <w:pStyle w:val="2"/>
        <w:ind w:firstLine="480"/>
        <w:rPr>
          <w:color w:val="000000"/>
        </w:rPr>
      </w:pPr>
    </w:p>
    <w:p>
      <w:pPr>
        <w:spacing w:line="240" w:lineRule="auto"/>
        <w:ind w:firstLine="560"/>
        <w:jc w:val="left"/>
        <w:rPr>
          <w:color w:val="000000"/>
          <w:sz w:val="28"/>
          <w:szCs w:val="28"/>
        </w:rPr>
      </w:pPr>
      <w:r>
        <w:rPr>
          <w:rFonts w:hint="eastAsia"/>
          <w:color w:val="000000"/>
          <w:sz w:val="28"/>
          <w:szCs w:val="28"/>
        </w:rPr>
        <w:t xml:space="preserve">                                       单位盖章</w:t>
      </w:r>
    </w:p>
    <w:p>
      <w:pPr>
        <w:ind w:firstLine="5722" w:firstLineChars="1900"/>
        <w:jc w:val="right"/>
        <w:rPr>
          <w:b/>
          <w:color w:val="000000"/>
          <w:sz w:val="30"/>
          <w:szCs w:val="30"/>
        </w:rPr>
      </w:pPr>
      <w:r>
        <w:rPr>
          <w:rFonts w:hint="eastAsia"/>
          <w:b/>
          <w:color w:val="000000"/>
          <w:sz w:val="30"/>
          <w:szCs w:val="30"/>
        </w:rPr>
        <w:t>2025年  月  日</w:t>
      </w:r>
    </w:p>
    <w:p>
      <w:pPr>
        <w:pStyle w:val="2"/>
        <w:ind w:firstLine="480"/>
        <w:rPr>
          <w:color w:val="000000"/>
        </w:rPr>
      </w:pPr>
    </w:p>
    <w:p>
      <w:pPr>
        <w:rPr>
          <w:color w:val="000000"/>
        </w:rPr>
      </w:pPr>
    </w:p>
    <w:p>
      <w:pPr>
        <w:pStyle w:val="2"/>
        <w:ind w:firstLine="480"/>
        <w:rPr>
          <w:color w:val="000000"/>
        </w:rPr>
      </w:pPr>
    </w:p>
    <w:p>
      <w:pPr>
        <w:ind w:firstLine="0" w:firstLineChars="0"/>
        <w:rPr>
          <w:color w:val="000000"/>
        </w:rPr>
      </w:pPr>
    </w:p>
    <w:p>
      <w:pPr>
        <w:ind w:firstLine="0" w:firstLineChars="0"/>
        <w:rPr>
          <w:color w:val="000000"/>
        </w:rPr>
      </w:pPr>
    </w:p>
    <w:p>
      <w:pPr>
        <w:ind w:firstLine="0" w:firstLineChars="0"/>
        <w:rPr>
          <w:color w:val="000000"/>
        </w:rPr>
      </w:pPr>
    </w:p>
    <w:p>
      <w:pPr>
        <w:ind w:firstLine="0" w:firstLineChars="0"/>
        <w:rPr>
          <w:color w:val="000000"/>
        </w:rPr>
      </w:pPr>
    </w:p>
    <w:p>
      <w:pPr>
        <w:ind w:firstLine="0" w:firstLineChars="0"/>
        <w:rPr>
          <w:color w:val="000000"/>
        </w:rPr>
      </w:pPr>
    </w:p>
    <w:p>
      <w:pPr>
        <w:pStyle w:val="51"/>
      </w:pPr>
      <w:bookmarkStart w:id="114" w:name="_Toc10851"/>
      <w:r>
        <w:rPr>
          <w:bCs/>
          <w:kern w:val="44"/>
          <w:szCs w:val="28"/>
        </w:rPr>
        <w:br w:type="page"/>
      </w:r>
      <w:bookmarkStart w:id="115" w:name="_Toc18235"/>
      <w:r>
        <w:t xml:space="preserve">附件 </w:t>
      </w:r>
      <w:r>
        <w:fldChar w:fldCharType="begin"/>
      </w:r>
      <w:r>
        <w:instrText xml:space="preserve"> SEQ 附件 \* ARABIC </w:instrText>
      </w:r>
      <w:r>
        <w:fldChar w:fldCharType="separate"/>
      </w:r>
      <w:r>
        <w:t>9</w:t>
      </w:r>
      <w:r>
        <w:fldChar w:fldCharType="end"/>
      </w:r>
      <w:r>
        <w:t xml:space="preserve"> 申请环评批复报告</w:t>
      </w:r>
      <w:bookmarkEnd w:id="114"/>
      <w:bookmarkEnd w:id="115"/>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000000"/>
          <w:sz w:val="48"/>
          <w:szCs w:val="48"/>
        </w:rPr>
      </w:pPr>
      <w:bookmarkStart w:id="116" w:name="_Toc6390_WPSOffice_Level2"/>
      <w:bookmarkStart w:id="117" w:name="_Toc26424_WPSOffice_Level2"/>
      <w:r>
        <w:drawing>
          <wp:anchor distT="0" distB="0" distL="114300" distR="114300" simplePos="0" relativeHeight="251677696" behindDoc="0" locked="0" layoutInCell="1" allowOverlap="1">
            <wp:simplePos x="0" y="0"/>
            <wp:positionH relativeFrom="column">
              <wp:posOffset>0</wp:posOffset>
            </wp:positionH>
            <wp:positionV relativeFrom="paragraph">
              <wp:posOffset>40005</wp:posOffset>
            </wp:positionV>
            <wp:extent cx="5918835" cy="8346440"/>
            <wp:effectExtent l="0" t="0" r="5715" b="16510"/>
            <wp:wrapNone/>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pic:cNvPicPr>
                      <a:picLocks noChangeAspect="1"/>
                    </pic:cNvPicPr>
                  </pic:nvPicPr>
                  <pic:blipFill>
                    <a:blip r:embed="rId50"/>
                    <a:stretch>
                      <a:fillRect/>
                    </a:stretch>
                  </pic:blipFill>
                  <pic:spPr>
                    <a:xfrm>
                      <a:off x="0" y="0"/>
                      <a:ext cx="5918835" cy="8346440"/>
                    </a:xfrm>
                    <a:prstGeom prst="rect">
                      <a:avLst/>
                    </a:prstGeom>
                    <a:noFill/>
                    <a:ln>
                      <a:noFill/>
                    </a:ln>
                  </pic:spPr>
                </pic:pic>
              </a:graphicData>
            </a:graphic>
          </wp:anchor>
        </w:drawing>
      </w:r>
      <w:r>
        <w:rPr>
          <w:rFonts w:hint="eastAsia"/>
          <w:b/>
          <w:bCs/>
          <w:color w:val="000000"/>
          <w:sz w:val="48"/>
          <w:szCs w:val="48"/>
        </w:rPr>
        <w:t>申请环评批复报告</w:t>
      </w:r>
    </w:p>
    <w:p>
      <w:pPr>
        <w:ind w:firstLine="560"/>
        <w:jc w:val="left"/>
        <w:rPr>
          <w:color w:val="000000"/>
          <w:sz w:val="28"/>
        </w:rPr>
      </w:pPr>
      <w:r>
        <w:rPr>
          <w:rFonts w:hint="eastAsia"/>
          <w:color w:val="000000"/>
          <w:sz w:val="28"/>
          <w:szCs w:val="28"/>
        </w:rPr>
        <w:t>福州市马尾生态环境局</w:t>
      </w:r>
      <w:r>
        <w:rPr>
          <w:color w:val="000000"/>
          <w:sz w:val="28"/>
        </w:rPr>
        <w:t>：</w:t>
      </w:r>
    </w:p>
    <w:p>
      <w:pPr>
        <w:widowControl/>
        <w:ind w:firstLine="560"/>
        <w:jc w:val="left"/>
        <w:rPr>
          <w:color w:val="000000"/>
          <w:sz w:val="28"/>
          <w:szCs w:val="22"/>
        </w:rPr>
      </w:pPr>
      <w:r>
        <w:rPr>
          <w:color w:val="000000"/>
          <w:sz w:val="28"/>
        </w:rPr>
        <w:t>我单位申请</w:t>
      </w:r>
      <w:r>
        <w:rPr>
          <w:rFonts w:hint="eastAsia"/>
          <w:color w:val="000000"/>
          <w:sz w:val="28"/>
          <w:u w:val="single"/>
        </w:rPr>
        <w:t>鑫博创按摩器配件生产项目</w:t>
      </w:r>
      <w:r>
        <w:rPr>
          <w:color w:val="000000"/>
          <w:sz w:val="28"/>
          <w:szCs w:val="22"/>
        </w:rPr>
        <w:t>环评文件审批，本项目选址于</w:t>
      </w:r>
      <w:r>
        <w:rPr>
          <w:rFonts w:hint="eastAsia"/>
          <w:color w:val="000000"/>
          <w:sz w:val="28"/>
          <w:szCs w:val="22"/>
          <w:lang w:eastAsia="zh-CN"/>
        </w:rPr>
        <w:t>福建省福州市马尾区亭江镇亭江路66号福州（马尾）万洋众创（三期）B22#楼1层02厂房</w:t>
      </w:r>
      <w:r>
        <w:rPr>
          <w:color w:val="000000"/>
          <w:sz w:val="28"/>
          <w:szCs w:val="22"/>
        </w:rPr>
        <w:t>。</w:t>
      </w:r>
    </w:p>
    <w:p>
      <w:pPr>
        <w:ind w:firstLine="560"/>
        <w:jc w:val="left"/>
        <w:rPr>
          <w:color w:val="000000"/>
          <w:sz w:val="28"/>
          <w:szCs w:val="22"/>
        </w:rPr>
      </w:pPr>
      <w:r>
        <w:rPr>
          <w:color w:val="000000"/>
          <w:sz w:val="28"/>
          <w:u w:val="single"/>
        </w:rPr>
        <w:t>建设规模项目总投资</w:t>
      </w:r>
      <w:r>
        <w:rPr>
          <w:rFonts w:hint="eastAsia"/>
          <w:color w:val="000000"/>
          <w:sz w:val="28"/>
          <w:u w:val="single"/>
        </w:rPr>
        <w:t>500</w:t>
      </w:r>
      <w:r>
        <w:rPr>
          <w:color w:val="000000"/>
          <w:sz w:val="28"/>
          <w:u w:val="single"/>
        </w:rPr>
        <w:t>万元，其中</w:t>
      </w:r>
      <w:r>
        <w:rPr>
          <w:rFonts w:hint="eastAsia"/>
          <w:color w:val="000000"/>
          <w:sz w:val="28"/>
          <w:u w:val="single"/>
        </w:rPr>
        <w:t>环保</w:t>
      </w:r>
      <w:r>
        <w:rPr>
          <w:color w:val="000000"/>
          <w:sz w:val="28"/>
          <w:u w:val="single"/>
        </w:rPr>
        <w:t>投资</w:t>
      </w:r>
      <w:r>
        <w:rPr>
          <w:rFonts w:hint="eastAsia"/>
          <w:color w:val="000000"/>
          <w:sz w:val="28"/>
          <w:u w:val="single"/>
        </w:rPr>
        <w:t>80</w:t>
      </w:r>
      <w:r>
        <w:rPr>
          <w:color w:val="000000"/>
          <w:sz w:val="28"/>
          <w:u w:val="single"/>
        </w:rPr>
        <w:t>万元</w:t>
      </w:r>
      <w:r>
        <w:rPr>
          <w:rFonts w:hint="eastAsia"/>
          <w:color w:val="000000"/>
          <w:sz w:val="28"/>
          <w:u w:val="single"/>
        </w:rPr>
        <w:t>，</w:t>
      </w:r>
      <w:r>
        <w:rPr>
          <w:color w:val="000000"/>
          <w:sz w:val="28"/>
          <w:u w:val="single"/>
        </w:rPr>
        <w:t>用于</w:t>
      </w:r>
      <w:r>
        <w:rPr>
          <w:rFonts w:hint="eastAsia"/>
          <w:color w:val="000000"/>
          <w:sz w:val="28"/>
          <w:u w:val="single"/>
        </w:rPr>
        <w:t>鑫博创按摩器配件生产项目</w:t>
      </w:r>
      <w:r>
        <w:rPr>
          <w:color w:val="000000"/>
          <w:sz w:val="28"/>
          <w:szCs w:val="28"/>
          <w:u w:val="single"/>
        </w:rPr>
        <w:t>的建设</w:t>
      </w:r>
      <w:r>
        <w:rPr>
          <w:color w:val="000000"/>
          <w:sz w:val="28"/>
          <w:szCs w:val="22"/>
          <w:u w:val="single"/>
        </w:rPr>
        <w:t>，新增生产能力（或使用功能）：工程建设内容包括</w:t>
      </w:r>
      <w:r>
        <w:rPr>
          <w:rFonts w:hint="eastAsia"/>
          <w:color w:val="000000"/>
          <w:sz w:val="28"/>
          <w:szCs w:val="22"/>
          <w:u w:val="single"/>
        </w:rPr>
        <w:t>主体</w:t>
      </w:r>
      <w:r>
        <w:rPr>
          <w:color w:val="000000"/>
          <w:sz w:val="28"/>
          <w:szCs w:val="22"/>
          <w:u w:val="single"/>
        </w:rPr>
        <w:t>工程、</w:t>
      </w:r>
      <w:r>
        <w:rPr>
          <w:rFonts w:hint="eastAsia"/>
          <w:color w:val="000000"/>
          <w:sz w:val="28"/>
          <w:szCs w:val="22"/>
          <w:u w:val="single"/>
        </w:rPr>
        <w:t>辅助</w:t>
      </w:r>
      <w:r>
        <w:rPr>
          <w:color w:val="000000"/>
          <w:sz w:val="28"/>
          <w:szCs w:val="22"/>
          <w:u w:val="single"/>
        </w:rPr>
        <w:t>工程、</w:t>
      </w:r>
      <w:r>
        <w:rPr>
          <w:rFonts w:hint="eastAsia"/>
          <w:color w:val="000000"/>
          <w:sz w:val="28"/>
          <w:szCs w:val="22"/>
          <w:u w:val="single"/>
        </w:rPr>
        <w:t>公用</w:t>
      </w:r>
      <w:r>
        <w:rPr>
          <w:color w:val="000000"/>
          <w:sz w:val="28"/>
          <w:szCs w:val="22"/>
          <w:u w:val="single"/>
        </w:rPr>
        <w:t>工程、</w:t>
      </w:r>
      <w:r>
        <w:rPr>
          <w:rFonts w:hint="eastAsia"/>
          <w:color w:val="000000"/>
          <w:sz w:val="28"/>
          <w:szCs w:val="22"/>
          <w:u w:val="single"/>
        </w:rPr>
        <w:t>环保工程。</w:t>
      </w:r>
      <w:r>
        <w:rPr>
          <w:color w:val="000000"/>
          <w:sz w:val="28"/>
          <w:szCs w:val="22"/>
        </w:rPr>
        <w:t>根据《建设项目环境保护管理条例》等有关法律、法规规定，本单位委托</w:t>
      </w:r>
      <w:r>
        <w:rPr>
          <w:color w:val="000000"/>
          <w:sz w:val="28"/>
          <w:szCs w:val="22"/>
          <w:u w:val="single"/>
        </w:rPr>
        <w:t>福州朴诚至信环保科技有限公司</w:t>
      </w:r>
      <w:r>
        <w:rPr>
          <w:color w:val="000000"/>
          <w:sz w:val="28"/>
          <w:szCs w:val="22"/>
        </w:rPr>
        <w:t>编制了环境影响报告表，现已完成并呈报贵局，请及时</w:t>
      </w:r>
      <w:r>
        <w:rPr>
          <w:rFonts w:hint="eastAsia"/>
          <w:color w:val="000000"/>
          <w:sz w:val="28"/>
          <w:szCs w:val="22"/>
        </w:rPr>
        <w:t>给予</w:t>
      </w:r>
      <w:r>
        <w:rPr>
          <w:color w:val="000000"/>
          <w:sz w:val="28"/>
          <w:szCs w:val="22"/>
        </w:rPr>
        <w:t>批复。</w:t>
      </w:r>
    </w:p>
    <w:p>
      <w:pPr>
        <w:ind w:firstLine="560"/>
        <w:jc w:val="left"/>
        <w:rPr>
          <w:color w:val="000000"/>
          <w:sz w:val="28"/>
          <w:szCs w:val="22"/>
        </w:rPr>
      </w:pPr>
      <w:r>
        <w:rPr>
          <w:color w:val="000000"/>
          <w:sz w:val="28"/>
          <w:szCs w:val="22"/>
        </w:rPr>
        <w:t>专此报告</w:t>
      </w:r>
    </w:p>
    <w:p>
      <w:pPr>
        <w:wordWrap w:val="0"/>
        <w:ind w:firstLine="560"/>
        <w:jc w:val="right"/>
        <w:rPr>
          <w:color w:val="000000"/>
          <w:sz w:val="28"/>
          <w:szCs w:val="22"/>
        </w:rPr>
      </w:pPr>
    </w:p>
    <w:p>
      <w:pPr>
        <w:wordWrap w:val="0"/>
        <w:ind w:firstLine="560"/>
        <w:jc w:val="right"/>
        <w:rPr>
          <w:color w:val="000000"/>
          <w:sz w:val="28"/>
          <w:szCs w:val="22"/>
        </w:rPr>
      </w:pPr>
    </w:p>
    <w:p>
      <w:pPr>
        <w:wordWrap w:val="0"/>
        <w:ind w:firstLine="560"/>
        <w:jc w:val="right"/>
        <w:rPr>
          <w:color w:val="000000"/>
          <w:sz w:val="28"/>
          <w:szCs w:val="22"/>
        </w:rPr>
      </w:pPr>
    </w:p>
    <w:p>
      <w:pPr>
        <w:wordWrap w:val="0"/>
        <w:ind w:firstLine="560"/>
        <w:jc w:val="right"/>
        <w:rPr>
          <w:color w:val="000000"/>
          <w:sz w:val="28"/>
          <w:szCs w:val="22"/>
        </w:rPr>
      </w:pPr>
      <w:r>
        <w:rPr>
          <w:rFonts w:hint="eastAsia"/>
          <w:color w:val="000000"/>
          <w:sz w:val="28"/>
          <w:szCs w:val="22"/>
        </w:rPr>
        <w:t xml:space="preserve">申请单位（盖章）：         </w:t>
      </w:r>
    </w:p>
    <w:p>
      <w:pPr>
        <w:wordWrap w:val="0"/>
        <w:ind w:firstLine="560"/>
        <w:jc w:val="right"/>
        <w:rPr>
          <w:color w:val="000000"/>
          <w:sz w:val="28"/>
          <w:szCs w:val="22"/>
        </w:rPr>
      </w:pPr>
      <w:r>
        <w:rPr>
          <w:rFonts w:hint="eastAsia"/>
          <w:color w:val="000000"/>
          <w:sz w:val="28"/>
          <w:szCs w:val="22"/>
        </w:rPr>
        <w:t xml:space="preserve">法定代表人（盖章或签字）：  </w:t>
      </w:r>
    </w:p>
    <w:p>
      <w:pPr>
        <w:pStyle w:val="2"/>
        <w:ind w:firstLine="0" w:firstLineChars="0"/>
        <w:jc w:val="right"/>
        <w:rPr>
          <w:color w:val="000000"/>
        </w:rPr>
      </w:pPr>
      <w:r>
        <w:rPr>
          <w:color w:val="000000"/>
          <w:sz w:val="28"/>
          <w:szCs w:val="22"/>
        </w:rPr>
        <w:t>2025</w:t>
      </w:r>
      <w:r>
        <w:rPr>
          <w:rFonts w:hint="eastAsia"/>
          <w:color w:val="000000"/>
          <w:sz w:val="28"/>
          <w:szCs w:val="22"/>
        </w:rPr>
        <w:t xml:space="preserve">年  月  日 </w:t>
      </w:r>
    </w:p>
    <w:p>
      <w:pPr>
        <w:pStyle w:val="27"/>
        <w:rPr>
          <w:rFonts w:ascii="Times New Roman" w:hAnsi="Times New Roman"/>
          <w:color w:val="000000"/>
        </w:rPr>
      </w:pPr>
    </w:p>
    <w:p>
      <w:pPr>
        <w:pStyle w:val="27"/>
        <w:rPr>
          <w:rFonts w:ascii="Times New Roman" w:hAnsi="Times New Roman"/>
          <w:color w:val="000000"/>
        </w:rPr>
      </w:pPr>
    </w:p>
    <w:bookmarkEnd w:id="116"/>
    <w:bookmarkEnd w:id="117"/>
    <w:p>
      <w:pPr>
        <w:rPr>
          <w:color w:val="000000"/>
        </w:rPr>
      </w:pPr>
      <w:r>
        <w:br w:type="page"/>
      </w:r>
    </w:p>
    <w:p>
      <w:pPr>
        <w:pStyle w:val="51"/>
      </w:pPr>
      <w:bookmarkStart w:id="118" w:name="_Toc17942"/>
      <w:bookmarkStart w:id="119" w:name="_Toc6682"/>
      <w:r>
        <w:t xml:space="preserve">附件 </w:t>
      </w:r>
      <w:r>
        <w:fldChar w:fldCharType="begin"/>
      </w:r>
      <w:r>
        <w:instrText xml:space="preserve"> SEQ 附件 \* ARABIC </w:instrText>
      </w:r>
      <w:r>
        <w:fldChar w:fldCharType="separate"/>
      </w:r>
      <w:r>
        <w:t>10</w:t>
      </w:r>
      <w:r>
        <w:fldChar w:fldCharType="end"/>
      </w:r>
      <w:r>
        <w:t xml:space="preserve"> 审批申请报告</w:t>
      </w:r>
      <w:bookmarkEnd w:id="118"/>
      <w:bookmarkEnd w:id="119"/>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color w:val="000000"/>
          <w:sz w:val="48"/>
        </w:rPr>
      </w:pPr>
      <w:r>
        <w:drawing>
          <wp:anchor distT="0" distB="0" distL="114300" distR="114300" simplePos="0" relativeHeight="251674624" behindDoc="0" locked="0" layoutInCell="1" allowOverlap="1">
            <wp:simplePos x="0" y="0"/>
            <wp:positionH relativeFrom="column">
              <wp:posOffset>0</wp:posOffset>
            </wp:positionH>
            <wp:positionV relativeFrom="paragraph">
              <wp:posOffset>36195</wp:posOffset>
            </wp:positionV>
            <wp:extent cx="5958205" cy="8202295"/>
            <wp:effectExtent l="0" t="0" r="4445" b="8255"/>
            <wp:wrapNone/>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51"/>
                    <a:stretch>
                      <a:fillRect/>
                    </a:stretch>
                  </pic:blipFill>
                  <pic:spPr>
                    <a:xfrm>
                      <a:off x="0" y="0"/>
                      <a:ext cx="5958205" cy="8202295"/>
                    </a:xfrm>
                    <a:prstGeom prst="rect">
                      <a:avLst/>
                    </a:prstGeom>
                    <a:noFill/>
                    <a:ln>
                      <a:noFill/>
                    </a:ln>
                  </pic:spPr>
                </pic:pic>
              </a:graphicData>
            </a:graphic>
          </wp:anchor>
        </w:drawing>
      </w:r>
      <w:r>
        <w:rPr>
          <w:b/>
          <w:color w:val="000000"/>
          <w:sz w:val="48"/>
        </w:rPr>
        <w:t>审批申请报告</w:t>
      </w:r>
    </w:p>
    <w:p>
      <w:pPr>
        <w:rPr>
          <w:color w:val="000000"/>
        </w:rPr>
      </w:pPr>
    </w:p>
    <w:p>
      <w:pPr>
        <w:ind w:firstLine="560"/>
        <w:rPr>
          <w:color w:val="000000"/>
          <w:sz w:val="28"/>
        </w:rPr>
      </w:pPr>
      <w:r>
        <w:rPr>
          <w:rFonts w:hint="eastAsia"/>
          <w:color w:val="000000"/>
          <w:sz w:val="28"/>
          <w:szCs w:val="28"/>
        </w:rPr>
        <w:t>福州市马尾生态环境局</w:t>
      </w:r>
      <w:r>
        <w:rPr>
          <w:color w:val="000000"/>
          <w:sz w:val="28"/>
        </w:rPr>
        <w:t>：</w:t>
      </w:r>
    </w:p>
    <w:p>
      <w:pPr>
        <w:ind w:firstLine="560"/>
        <w:rPr>
          <w:color w:val="000000"/>
          <w:sz w:val="28"/>
          <w:szCs w:val="22"/>
        </w:rPr>
      </w:pPr>
      <w:r>
        <w:rPr>
          <w:rFonts w:hint="eastAsia"/>
          <w:color w:val="000000"/>
          <w:sz w:val="28"/>
          <w:szCs w:val="22"/>
        </w:rPr>
        <w:t>我单位已委托福州朴诚至信环保科技有限公司对“鑫博创按摩器配件生产项目”开展环境影响评价工作，编制完成了《鑫博创按摩器配件生产项目</w:t>
      </w:r>
      <w:r>
        <w:rPr>
          <w:rFonts w:hint="eastAsia" w:ascii="宋体" w:hAnsi="宋体" w:cs="宋体"/>
          <w:color w:val="000000"/>
          <w:sz w:val="28"/>
          <w:szCs w:val="28"/>
        </w:rPr>
        <w:t>环境影响评价报告表</w:t>
      </w:r>
      <w:r>
        <w:rPr>
          <w:rFonts w:hint="eastAsia"/>
          <w:color w:val="000000"/>
          <w:sz w:val="28"/>
          <w:szCs w:val="22"/>
        </w:rPr>
        <w:t>》，详见附表。</w:t>
      </w:r>
    </w:p>
    <w:p>
      <w:pPr>
        <w:ind w:firstLine="560"/>
        <w:rPr>
          <w:color w:val="000000"/>
          <w:sz w:val="28"/>
        </w:rPr>
      </w:pPr>
      <w:r>
        <w:rPr>
          <w:rFonts w:hint="eastAsia"/>
          <w:color w:val="000000"/>
          <w:sz w:val="28"/>
        </w:rPr>
        <w:t>我公司提供的相关支持性材料真实有效，如有虚假愿意承担相应的法律责任。</w:t>
      </w:r>
    </w:p>
    <w:p>
      <w:pPr>
        <w:ind w:firstLine="560"/>
        <w:rPr>
          <w:color w:val="000000"/>
          <w:sz w:val="28"/>
        </w:rPr>
      </w:pPr>
    </w:p>
    <w:p>
      <w:pPr>
        <w:ind w:firstLine="560"/>
        <w:jc w:val="right"/>
        <w:rPr>
          <w:color w:val="000000"/>
          <w:sz w:val="28"/>
          <w:szCs w:val="22"/>
        </w:rPr>
      </w:pPr>
      <w:r>
        <w:rPr>
          <w:color w:val="000000"/>
          <w:sz w:val="28"/>
        </w:rPr>
        <w:t xml:space="preserve">               </w:t>
      </w:r>
      <w:r>
        <w:rPr>
          <w:rFonts w:hint="eastAsia"/>
          <w:color w:val="000000"/>
          <w:sz w:val="28"/>
        </w:rPr>
        <w:t xml:space="preserve">  福州鑫博创工贸有限公司</w:t>
      </w:r>
    </w:p>
    <w:p>
      <w:pPr>
        <w:ind w:firstLine="0" w:firstLineChars="0"/>
        <w:jc w:val="right"/>
        <w:rPr>
          <w:b/>
          <w:bCs/>
          <w:color w:val="000000"/>
          <w:sz w:val="28"/>
          <w:szCs w:val="28"/>
        </w:rPr>
      </w:pPr>
      <w:r>
        <w:rPr>
          <w:rFonts w:hint="eastAsia"/>
          <w:color w:val="000000"/>
          <w:sz w:val="28"/>
          <w:szCs w:val="22"/>
        </w:rPr>
        <w:t xml:space="preserve">                            2025年  月  日</w:t>
      </w:r>
    </w:p>
    <w:p>
      <w:pPr>
        <w:pStyle w:val="51"/>
      </w:pPr>
      <w:r>
        <w:br w:type="page"/>
      </w:r>
      <w:bookmarkStart w:id="120" w:name="_Toc4516"/>
      <w:r>
        <w:t xml:space="preserve">附件 </w:t>
      </w:r>
      <w:r>
        <w:fldChar w:fldCharType="begin"/>
      </w:r>
      <w:r>
        <w:instrText xml:space="preserve"> SEQ 附件 \* ARABIC </w:instrText>
      </w:r>
      <w:r>
        <w:fldChar w:fldCharType="separate"/>
      </w:r>
      <w:r>
        <w:t>11</w:t>
      </w:r>
      <w:r>
        <w:fldChar w:fldCharType="end"/>
      </w:r>
      <w:r>
        <w:t xml:space="preserve"> </w:t>
      </w:r>
      <w:r>
        <w:rPr>
          <w:rFonts w:hint="eastAsia"/>
        </w:rPr>
        <w:t>排污权取得事宜承诺书</w:t>
      </w:r>
      <w:bookmarkEnd w:id="120"/>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000000"/>
          <w:sz w:val="52"/>
          <w:szCs w:val="52"/>
        </w:rPr>
      </w:pPr>
      <w:r>
        <w:drawing>
          <wp:anchor distT="0" distB="0" distL="114300" distR="114300" simplePos="0" relativeHeight="251675648" behindDoc="0" locked="0" layoutInCell="1" allowOverlap="1">
            <wp:simplePos x="0" y="0"/>
            <wp:positionH relativeFrom="column">
              <wp:posOffset>0</wp:posOffset>
            </wp:positionH>
            <wp:positionV relativeFrom="paragraph">
              <wp:posOffset>45720</wp:posOffset>
            </wp:positionV>
            <wp:extent cx="5881370" cy="8075295"/>
            <wp:effectExtent l="0" t="0" r="5080" b="1905"/>
            <wp:wrapNone/>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52"/>
                    <a:stretch>
                      <a:fillRect/>
                    </a:stretch>
                  </pic:blipFill>
                  <pic:spPr>
                    <a:xfrm>
                      <a:off x="0" y="0"/>
                      <a:ext cx="5881370" cy="8075295"/>
                    </a:xfrm>
                    <a:prstGeom prst="rect">
                      <a:avLst/>
                    </a:prstGeom>
                    <a:noFill/>
                    <a:ln>
                      <a:noFill/>
                    </a:ln>
                  </pic:spPr>
                </pic:pic>
              </a:graphicData>
            </a:graphic>
          </wp:anchor>
        </w:drawing>
      </w:r>
      <w:r>
        <w:rPr>
          <w:rFonts w:hint="eastAsia"/>
          <w:b/>
          <w:bCs/>
          <w:color w:val="000000"/>
          <w:sz w:val="52"/>
          <w:szCs w:val="52"/>
        </w:rPr>
        <w:t>承诺函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color w:val="000000"/>
        </w:rPr>
      </w:pPr>
    </w:p>
    <w:p>
      <w:pPr>
        <w:ind w:firstLine="560"/>
        <w:rPr>
          <w:color w:val="000000"/>
          <w:sz w:val="28"/>
          <w:szCs w:val="28"/>
        </w:rPr>
      </w:pPr>
      <w:r>
        <w:rPr>
          <w:rFonts w:hint="eastAsia"/>
          <w:color w:val="000000"/>
          <w:sz w:val="28"/>
          <w:szCs w:val="28"/>
        </w:rPr>
        <w:t>福州市马尾生态环境局</w:t>
      </w:r>
      <w:r>
        <w:rPr>
          <w:color w:val="000000"/>
          <w:sz w:val="28"/>
          <w:szCs w:val="28"/>
        </w:rPr>
        <w:t>：</w:t>
      </w:r>
    </w:p>
    <w:p>
      <w:pPr>
        <w:ind w:firstLine="560"/>
        <w:rPr>
          <w:color w:val="000000"/>
          <w:sz w:val="28"/>
          <w:szCs w:val="22"/>
        </w:rPr>
      </w:pPr>
      <w:r>
        <w:rPr>
          <w:rFonts w:hint="eastAsia"/>
          <w:color w:val="000000"/>
          <w:sz w:val="28"/>
          <w:szCs w:val="22"/>
        </w:rPr>
        <w:t>我司鑫博创按摩器配件生产项目位于</w:t>
      </w:r>
      <w:r>
        <w:rPr>
          <w:rFonts w:hint="eastAsia"/>
          <w:color w:val="000000"/>
          <w:sz w:val="28"/>
          <w:szCs w:val="22"/>
          <w:lang w:eastAsia="zh-CN"/>
        </w:rPr>
        <w:t>福建省福州市马尾区亭江镇亭江路66号福州（马尾）万洋众创（三期）B22#楼1层02厂房</w:t>
      </w:r>
      <w:r>
        <w:rPr>
          <w:rFonts w:hint="eastAsia"/>
          <w:color w:val="000000"/>
          <w:sz w:val="28"/>
          <w:szCs w:val="22"/>
        </w:rPr>
        <w:t>，年产8万台按摩器。</w:t>
      </w:r>
    </w:p>
    <w:p>
      <w:pPr>
        <w:ind w:firstLine="560"/>
        <w:rPr>
          <w:color w:val="000000"/>
          <w:sz w:val="28"/>
          <w:szCs w:val="22"/>
        </w:rPr>
      </w:pPr>
      <w:r>
        <w:rPr>
          <w:rFonts w:hint="eastAsia"/>
          <w:color w:val="000000"/>
          <w:sz w:val="28"/>
          <w:szCs w:val="22"/>
        </w:rPr>
        <w:t>根据福州朴诚至信环保科技有限公司编制的《鑫博创按摩器配件生产项目环境影响报告表》，本项目主要污染物为</w:t>
      </w:r>
      <w:r>
        <w:rPr>
          <w:color w:val="000000"/>
          <w:sz w:val="28"/>
          <w:szCs w:val="22"/>
        </w:rPr>
        <w:t>VOCs</w:t>
      </w:r>
      <w:r>
        <w:rPr>
          <w:rFonts w:hint="eastAsia"/>
          <w:color w:val="000000"/>
          <w:sz w:val="28"/>
          <w:szCs w:val="22"/>
        </w:rPr>
        <w:t>（以非甲烷总烃计），计算结果为：</w:t>
      </w:r>
    </w:p>
    <w:p>
      <w:pPr>
        <w:ind w:firstLine="560"/>
        <w:rPr>
          <w:color w:val="000000"/>
          <w:sz w:val="28"/>
          <w:szCs w:val="22"/>
        </w:rPr>
      </w:pPr>
      <w:r>
        <w:rPr>
          <w:color w:val="000000"/>
          <w:sz w:val="28"/>
          <w:szCs w:val="22"/>
        </w:rPr>
        <w:t>VOCs</w:t>
      </w:r>
      <w:r>
        <w:rPr>
          <w:rFonts w:hint="eastAsia"/>
          <w:color w:val="000000"/>
          <w:sz w:val="28"/>
          <w:szCs w:val="22"/>
        </w:rPr>
        <w:t>（以非甲烷总烃计）排放总量为0.2635</w:t>
      </w:r>
      <w:r>
        <w:rPr>
          <w:color w:val="000000"/>
          <w:sz w:val="28"/>
          <w:szCs w:val="22"/>
        </w:rPr>
        <w:t>t/a</w:t>
      </w:r>
      <w:r>
        <w:rPr>
          <w:rFonts w:hint="eastAsia"/>
          <w:color w:val="000000"/>
          <w:sz w:val="28"/>
          <w:szCs w:val="22"/>
        </w:rPr>
        <w:t>。</w:t>
      </w:r>
    </w:p>
    <w:p>
      <w:pPr>
        <w:ind w:firstLine="560"/>
        <w:rPr>
          <w:color w:val="000000"/>
          <w:sz w:val="28"/>
          <w:szCs w:val="22"/>
        </w:rPr>
      </w:pPr>
      <w:r>
        <w:rPr>
          <w:rFonts w:hint="eastAsia"/>
          <w:color w:val="000000"/>
          <w:sz w:val="28"/>
          <w:szCs w:val="22"/>
        </w:rPr>
        <w:t>我单位承诺本项目投产前，上述排放污染物通过总量确认后合法取得排污权指标并依法申领排污许可证。</w:t>
      </w:r>
    </w:p>
    <w:p>
      <w:pPr>
        <w:ind w:firstLine="560"/>
        <w:rPr>
          <w:color w:val="000000"/>
          <w:sz w:val="28"/>
          <w:szCs w:val="22"/>
        </w:rPr>
      </w:pPr>
      <w:r>
        <w:rPr>
          <w:rFonts w:hint="eastAsia"/>
          <w:color w:val="000000"/>
          <w:sz w:val="28"/>
          <w:szCs w:val="22"/>
        </w:rPr>
        <w:t>特此承诺</w:t>
      </w:r>
    </w:p>
    <w:p>
      <w:pPr>
        <w:pStyle w:val="14"/>
        <w:rPr>
          <w:color w:val="000000"/>
        </w:rPr>
      </w:pPr>
    </w:p>
    <w:p>
      <w:pPr>
        <w:pStyle w:val="69"/>
        <w:ind w:firstLine="480"/>
        <w:rPr>
          <w:color w:val="000000"/>
        </w:rPr>
      </w:pPr>
    </w:p>
    <w:p>
      <w:pPr>
        <w:ind w:firstLine="560"/>
        <w:jc w:val="right"/>
        <w:rPr>
          <w:color w:val="000000"/>
          <w:sz w:val="28"/>
          <w:szCs w:val="28"/>
        </w:rPr>
      </w:pPr>
      <w:r>
        <w:rPr>
          <w:rFonts w:hint="eastAsia"/>
          <w:color w:val="000000"/>
          <w:sz w:val="28"/>
          <w:szCs w:val="28"/>
        </w:rPr>
        <w:t>福州鑫博创工贸有限公司</w:t>
      </w:r>
    </w:p>
    <w:p>
      <w:pPr>
        <w:ind w:firstLine="560"/>
        <w:jc w:val="right"/>
        <w:rPr>
          <w:color w:val="000000"/>
          <w:sz w:val="28"/>
          <w:szCs w:val="28"/>
        </w:rPr>
      </w:pPr>
      <w:r>
        <w:rPr>
          <w:rFonts w:hint="eastAsia"/>
          <w:color w:val="000000"/>
          <w:sz w:val="28"/>
          <w:szCs w:val="28"/>
        </w:rPr>
        <w:t xml:space="preserve">                            </w:t>
      </w:r>
      <w:r>
        <w:rPr>
          <w:color w:val="000000"/>
          <w:sz w:val="28"/>
          <w:szCs w:val="28"/>
        </w:rPr>
        <w:t>2025</w:t>
      </w:r>
      <w:r>
        <w:rPr>
          <w:rFonts w:hint="eastAsia"/>
          <w:color w:val="000000"/>
          <w:sz w:val="28"/>
          <w:szCs w:val="28"/>
        </w:rPr>
        <w:t>年  月  日</w:t>
      </w:r>
    </w:p>
    <w:p>
      <w:pPr>
        <w:ind w:firstLine="560"/>
        <w:rPr>
          <w:color w:val="000000"/>
          <w:sz w:val="28"/>
          <w:szCs w:val="28"/>
        </w:rPr>
      </w:pPr>
      <w:r>
        <w:rPr>
          <w:rFonts w:hint="eastAsia"/>
          <w:color w:val="000000"/>
          <w:sz w:val="28"/>
          <w:szCs w:val="28"/>
        </w:rPr>
        <w:br w:type="page"/>
      </w:r>
    </w:p>
    <w:p>
      <w:pPr>
        <w:pStyle w:val="51"/>
      </w:pPr>
      <w:bookmarkStart w:id="121" w:name="_Toc17285"/>
      <w:r>
        <w:drawing>
          <wp:anchor distT="0" distB="0" distL="114300" distR="114300" simplePos="0" relativeHeight="251676672" behindDoc="0" locked="0" layoutInCell="1" allowOverlap="1">
            <wp:simplePos x="0" y="0"/>
            <wp:positionH relativeFrom="column">
              <wp:posOffset>-28575</wp:posOffset>
            </wp:positionH>
            <wp:positionV relativeFrom="paragraph">
              <wp:posOffset>232410</wp:posOffset>
            </wp:positionV>
            <wp:extent cx="6078855" cy="8558530"/>
            <wp:effectExtent l="0" t="0" r="17145" b="13970"/>
            <wp:wrapNone/>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53"/>
                    <a:stretch>
                      <a:fillRect/>
                    </a:stretch>
                  </pic:blipFill>
                  <pic:spPr>
                    <a:xfrm>
                      <a:off x="0" y="0"/>
                      <a:ext cx="6078855" cy="8558530"/>
                    </a:xfrm>
                    <a:prstGeom prst="rect">
                      <a:avLst/>
                    </a:prstGeom>
                    <a:noFill/>
                    <a:ln>
                      <a:noFill/>
                    </a:ln>
                  </pic:spPr>
                </pic:pic>
              </a:graphicData>
            </a:graphic>
          </wp:anchor>
        </w:drawing>
      </w:r>
      <w:r>
        <w:t xml:space="preserve">附件 </w:t>
      </w:r>
      <w:r>
        <w:fldChar w:fldCharType="begin"/>
      </w:r>
      <w:r>
        <w:instrText xml:space="preserve"> SEQ 附件 \* ARABIC </w:instrText>
      </w:r>
      <w:r>
        <w:fldChar w:fldCharType="separate"/>
      </w:r>
      <w:r>
        <w:t>12</w:t>
      </w:r>
      <w:r>
        <w:fldChar w:fldCharType="end"/>
      </w:r>
      <w:r>
        <w:rPr>
          <w:rFonts w:hint="eastAsia"/>
        </w:rPr>
        <w:t xml:space="preserve"> </w:t>
      </w:r>
      <w:r>
        <w:t>公开建设项目环评信息情况的说明报告</w:t>
      </w:r>
      <w:bookmarkEnd w:id="121"/>
    </w:p>
    <w:p>
      <w:pPr>
        <w:pStyle w:val="21"/>
        <w:ind w:left="480" w:firstLine="562"/>
        <w:rPr>
          <w:b/>
          <w:bCs/>
          <w:color w:val="000000"/>
          <w:kern w:val="2"/>
          <w:sz w:val="28"/>
          <w:szCs w:val="28"/>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color w:val="000000"/>
          <w:sz w:val="36"/>
        </w:rPr>
      </w:pPr>
      <w:r>
        <w:rPr>
          <w:b/>
          <w:color w:val="000000"/>
          <w:sz w:val="36"/>
        </w:rPr>
        <w:t>关于公开建设项目环评文件等信息情况的说明</w:t>
      </w:r>
    </w:p>
    <w:p>
      <w:pPr>
        <w:spacing w:beforeLines="50"/>
        <w:ind w:firstLine="0" w:firstLineChars="0"/>
        <w:rPr>
          <w:color w:val="000000"/>
          <w:sz w:val="28"/>
        </w:rPr>
      </w:pPr>
      <w:r>
        <w:rPr>
          <w:rFonts w:hint="eastAsia"/>
          <w:color w:val="000000"/>
          <w:sz w:val="28"/>
          <w:szCs w:val="28"/>
        </w:rPr>
        <w:t>福州市马尾生态环境局</w:t>
      </w:r>
      <w:r>
        <w:rPr>
          <w:color w:val="000000"/>
          <w:sz w:val="28"/>
        </w:rPr>
        <w:t>：</w:t>
      </w:r>
    </w:p>
    <w:p>
      <w:pPr>
        <w:spacing w:beforeLines="50"/>
        <w:ind w:firstLine="560"/>
        <w:rPr>
          <w:color w:val="000000"/>
          <w:sz w:val="28"/>
          <w:szCs w:val="28"/>
        </w:rPr>
      </w:pPr>
      <w:r>
        <w:rPr>
          <w:color w:val="000000"/>
          <w:sz w:val="28"/>
          <w:szCs w:val="28"/>
        </w:rPr>
        <w:t>我单位已按照《</w:t>
      </w:r>
      <w:r>
        <w:rPr>
          <w:rFonts w:hint="eastAsia"/>
          <w:color w:val="000000"/>
          <w:sz w:val="28"/>
          <w:szCs w:val="28"/>
        </w:rPr>
        <w:t>中华人民共和国环境保护法》《</w:t>
      </w:r>
      <w:r>
        <w:rPr>
          <w:color w:val="000000"/>
          <w:sz w:val="28"/>
          <w:szCs w:val="28"/>
        </w:rPr>
        <w:t>建设项目环境影响评价信息公开机制方案》（环发[2015]162号）等相关规定，通过福建环保网（链接：https://www.fjhb.org/huanping/quanben/1273.html）公开建设项目环评文件等信息（具体见下图）</w:t>
      </w:r>
    </w:p>
    <w:p>
      <w:pPr>
        <w:adjustRightInd w:val="0"/>
        <w:snapToGrid w:val="0"/>
        <w:spacing w:line="240" w:lineRule="auto"/>
        <w:ind w:firstLine="0" w:firstLineChars="0"/>
        <w:jc w:val="center"/>
        <w:rPr>
          <w:snapToGrid w:val="0"/>
          <w:color w:val="000000"/>
          <w:sz w:val="28"/>
          <w:szCs w:val="22"/>
        </w:rPr>
      </w:pPr>
    </w:p>
    <w:p>
      <w:pPr>
        <w:ind w:firstLine="560"/>
        <w:jc w:val="right"/>
        <w:rPr>
          <w:color w:val="000000"/>
          <w:sz w:val="28"/>
          <w:szCs w:val="28"/>
        </w:rPr>
      </w:pPr>
    </w:p>
    <w:p>
      <w:pPr>
        <w:ind w:firstLine="560"/>
        <w:jc w:val="right"/>
        <w:rPr>
          <w:color w:val="000000"/>
          <w:sz w:val="28"/>
          <w:szCs w:val="22"/>
        </w:rPr>
      </w:pPr>
      <w:r>
        <w:rPr>
          <w:rFonts w:hint="eastAsia"/>
          <w:color w:val="000000"/>
          <w:sz w:val="28"/>
          <w:szCs w:val="28"/>
        </w:rPr>
        <w:t>福州鑫博创工贸有限公司</w:t>
      </w:r>
    </w:p>
    <w:p>
      <w:pPr>
        <w:pStyle w:val="18"/>
        <w:ind w:firstLine="560"/>
        <w:jc w:val="right"/>
        <w:rPr>
          <w:color w:val="000000"/>
          <w:kern w:val="2"/>
          <w:sz w:val="28"/>
          <w:szCs w:val="22"/>
        </w:rPr>
      </w:pPr>
      <w:r>
        <w:rPr>
          <w:color w:val="000000"/>
          <w:kern w:val="2"/>
          <w:sz w:val="28"/>
          <w:szCs w:val="22"/>
        </w:rPr>
        <w:t>20</w:t>
      </w:r>
      <w:r>
        <w:rPr>
          <w:rFonts w:hint="eastAsia"/>
          <w:color w:val="000000"/>
          <w:kern w:val="2"/>
          <w:sz w:val="28"/>
          <w:szCs w:val="22"/>
        </w:rPr>
        <w:t>25</w:t>
      </w:r>
      <w:r>
        <w:rPr>
          <w:color w:val="000000"/>
          <w:kern w:val="2"/>
          <w:sz w:val="28"/>
          <w:szCs w:val="22"/>
        </w:rPr>
        <w:t>年</w:t>
      </w:r>
      <w:r>
        <w:rPr>
          <w:rFonts w:hint="eastAsia"/>
          <w:color w:val="000000"/>
          <w:kern w:val="2"/>
          <w:sz w:val="28"/>
          <w:szCs w:val="22"/>
        </w:rPr>
        <w:t xml:space="preserve"> </w:t>
      </w:r>
      <w:r>
        <w:rPr>
          <w:color w:val="000000"/>
          <w:kern w:val="2"/>
          <w:sz w:val="28"/>
          <w:szCs w:val="22"/>
        </w:rPr>
        <w:t>月</w:t>
      </w:r>
      <w:r>
        <w:rPr>
          <w:rFonts w:hint="eastAsia"/>
          <w:color w:val="000000"/>
          <w:kern w:val="2"/>
          <w:sz w:val="28"/>
          <w:szCs w:val="22"/>
        </w:rPr>
        <w:t xml:space="preserve">  </w:t>
      </w:r>
      <w:r>
        <w:rPr>
          <w:color w:val="000000"/>
          <w:kern w:val="2"/>
          <w:sz w:val="28"/>
          <w:szCs w:val="22"/>
        </w:rPr>
        <w:t>日</w:t>
      </w:r>
    </w:p>
    <w:p>
      <w:pPr>
        <w:pStyle w:val="51"/>
        <w:rPr>
          <w:bCs/>
          <w:kern w:val="44"/>
          <w:szCs w:val="28"/>
        </w:rPr>
      </w:pPr>
      <w:r>
        <w:rPr>
          <w:kern w:val="2"/>
          <w:szCs w:val="22"/>
        </w:rPr>
        <w:br w:type="page"/>
      </w:r>
      <w:bookmarkStart w:id="122" w:name="_Ref26952"/>
      <w:bookmarkStart w:id="123" w:name="_Toc27027"/>
      <w:r>
        <w:t xml:space="preserve">附件 </w:t>
      </w:r>
      <w:r>
        <w:fldChar w:fldCharType="begin"/>
      </w:r>
      <w:r>
        <w:instrText xml:space="preserve"> SEQ 附件 \* ARABIC </w:instrText>
      </w:r>
      <w:r>
        <w:fldChar w:fldCharType="separate"/>
      </w:r>
      <w:r>
        <w:t>13</w:t>
      </w:r>
      <w:r>
        <w:fldChar w:fldCharType="end"/>
      </w:r>
      <w:bookmarkEnd w:id="122"/>
      <w:r>
        <w:t xml:space="preserve"> </w:t>
      </w:r>
      <w:r>
        <w:rPr>
          <w:rFonts w:hint="eastAsia"/>
        </w:rPr>
        <w:t>生态环境分区管控综合查询报告书</w:t>
      </w:r>
      <w:bookmarkEnd w:id="123"/>
    </w:p>
    <w:p>
      <w:pPr>
        <w:pStyle w:val="19"/>
        <w:ind w:firstLineChars="0"/>
        <w:jc w:val="center"/>
        <w:rPr>
          <w:color w:val="000000"/>
        </w:rPr>
      </w:pPr>
      <w:r>
        <w:drawing>
          <wp:inline distT="0" distB="0" distL="114300" distR="114300">
            <wp:extent cx="5191125" cy="7381875"/>
            <wp:effectExtent l="0" t="0" r="9525" b="952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54" cstate="print"/>
                    <a:stretch>
                      <a:fillRect/>
                    </a:stretch>
                  </pic:blipFill>
                  <pic:spPr>
                    <a:xfrm>
                      <a:off x="0" y="0"/>
                      <a:ext cx="5191125" cy="7381875"/>
                    </a:xfrm>
                    <a:prstGeom prst="rect">
                      <a:avLst/>
                    </a:prstGeom>
                    <a:noFill/>
                    <a:ln>
                      <a:noFill/>
                    </a:ln>
                  </pic:spPr>
                </pic:pic>
              </a:graphicData>
            </a:graphic>
          </wp:inline>
        </w:drawing>
      </w:r>
      <w:r>
        <w:drawing>
          <wp:inline distT="0" distB="0" distL="114300" distR="114300">
            <wp:extent cx="5229225" cy="7429500"/>
            <wp:effectExtent l="0" t="0" r="9525"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55" cstate="print"/>
                    <a:stretch>
                      <a:fillRect/>
                    </a:stretch>
                  </pic:blipFill>
                  <pic:spPr>
                    <a:xfrm>
                      <a:off x="0" y="0"/>
                      <a:ext cx="5229225" cy="7429500"/>
                    </a:xfrm>
                    <a:prstGeom prst="rect">
                      <a:avLst/>
                    </a:prstGeom>
                    <a:noFill/>
                    <a:ln>
                      <a:noFill/>
                    </a:ln>
                  </pic:spPr>
                </pic:pic>
              </a:graphicData>
            </a:graphic>
          </wp:inline>
        </w:drawing>
      </w:r>
      <w:r>
        <w:drawing>
          <wp:inline distT="0" distB="0" distL="114300" distR="114300">
            <wp:extent cx="5181600" cy="7458075"/>
            <wp:effectExtent l="0" t="0" r="0" b="952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56" cstate="print"/>
                    <a:stretch>
                      <a:fillRect/>
                    </a:stretch>
                  </pic:blipFill>
                  <pic:spPr>
                    <a:xfrm>
                      <a:off x="0" y="0"/>
                      <a:ext cx="5181600" cy="7458075"/>
                    </a:xfrm>
                    <a:prstGeom prst="rect">
                      <a:avLst/>
                    </a:prstGeom>
                    <a:noFill/>
                    <a:ln>
                      <a:noFill/>
                    </a:ln>
                  </pic:spPr>
                </pic:pic>
              </a:graphicData>
            </a:graphic>
          </wp:inline>
        </w:drawing>
      </w:r>
      <w:r>
        <w:drawing>
          <wp:inline distT="0" distB="0" distL="114300" distR="114300">
            <wp:extent cx="5257800" cy="7429500"/>
            <wp:effectExtent l="0" t="0" r="0" b="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57" cstate="print"/>
                    <a:stretch>
                      <a:fillRect/>
                    </a:stretch>
                  </pic:blipFill>
                  <pic:spPr>
                    <a:xfrm>
                      <a:off x="0" y="0"/>
                      <a:ext cx="5257800" cy="7429500"/>
                    </a:xfrm>
                    <a:prstGeom prst="rect">
                      <a:avLst/>
                    </a:prstGeom>
                    <a:noFill/>
                    <a:ln>
                      <a:noFill/>
                    </a:ln>
                  </pic:spPr>
                </pic:pic>
              </a:graphicData>
            </a:graphic>
          </wp:inline>
        </w:drawing>
      </w:r>
      <w:r>
        <w:drawing>
          <wp:inline distT="0" distB="0" distL="114300" distR="114300">
            <wp:extent cx="5257800" cy="7439025"/>
            <wp:effectExtent l="0" t="0" r="0" b="952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8" cstate="print"/>
                    <a:stretch>
                      <a:fillRect/>
                    </a:stretch>
                  </pic:blipFill>
                  <pic:spPr>
                    <a:xfrm>
                      <a:off x="0" y="0"/>
                      <a:ext cx="5257800" cy="7439025"/>
                    </a:xfrm>
                    <a:prstGeom prst="rect">
                      <a:avLst/>
                    </a:prstGeom>
                    <a:noFill/>
                    <a:ln>
                      <a:noFill/>
                    </a:ln>
                  </pic:spPr>
                </pic:pic>
              </a:graphicData>
            </a:graphic>
          </wp:inline>
        </w:drawing>
      </w:r>
      <w:r>
        <w:drawing>
          <wp:inline distT="0" distB="0" distL="114300" distR="114300">
            <wp:extent cx="5248275" cy="7448550"/>
            <wp:effectExtent l="0" t="0" r="9525" b="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59" cstate="print"/>
                    <a:stretch>
                      <a:fillRect/>
                    </a:stretch>
                  </pic:blipFill>
                  <pic:spPr>
                    <a:xfrm>
                      <a:off x="0" y="0"/>
                      <a:ext cx="5248275" cy="7448550"/>
                    </a:xfrm>
                    <a:prstGeom prst="rect">
                      <a:avLst/>
                    </a:prstGeom>
                    <a:noFill/>
                    <a:ln>
                      <a:noFill/>
                    </a:ln>
                  </pic:spPr>
                </pic:pic>
              </a:graphicData>
            </a:graphic>
          </wp:inline>
        </w:drawing>
      </w:r>
    </w:p>
    <w:p>
      <w:pPr>
        <w:ind w:left="0" w:leftChars="0" w:firstLine="0" w:firstLineChars="0"/>
      </w:pPr>
    </w:p>
    <w:sectPr>
      <w:headerReference r:id="rId13" w:type="default"/>
      <w:footerReference r:id="rId14" w:type="default"/>
      <w:pgSz w:w="11906" w:h="16838"/>
      <w:pgMar w:top="1701" w:right="1531" w:bottom="1701" w:left="153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6"/>
                            <w:ind w:firstLine="360"/>
                          </w:pPr>
                          <w:r>
                            <w:fldChar w:fldCharType="begin"/>
                          </w:r>
                          <w:r>
                            <w:instrText xml:space="preserve"> PAGE  \* MERGEFORMAT </w:instrText>
                          </w:r>
                          <w:r>
                            <w:fldChar w:fldCharType="separate"/>
                          </w:r>
                          <w:r>
                            <w:t>56</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ql5uc8AAAAFAQAADwAA&#10;AAAAAAABACAAAAAiAAAAZHJzL2Rvd25yZXYueG1sUEsBAhQAFAAAAAgAh07iQBsW8CnmAQAA0QMA&#10;AA4AAAAAAAAAAQAgAAAAHgEAAGRycy9lMm9Eb2MueG1sUEsFBgAAAAAGAAYAWQEAAHYFAAAAAA==&#10;">
              <v:fill on="f" focussize="0,0"/>
              <v:stroke on="f"/>
              <v:imagedata o:title=""/>
              <o:lock v:ext="edit" aspectratio="f"/>
              <v:textbox inset="0mm,0mm,0mm,0mm" style="mso-fit-shape-to-text:t;">
                <w:txbxContent>
                  <w:p>
                    <w:pPr>
                      <w:pStyle w:val="26"/>
                      <w:ind w:firstLine="360"/>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6"/>
                            <w:ind w:firstLine="360"/>
                          </w:pPr>
                          <w:r>
                            <w:fldChar w:fldCharType="begin"/>
                          </w:r>
                          <w:r>
                            <w:instrText xml:space="preserve"> PAGE  \* MERGEFORMAT </w:instrText>
                          </w:r>
                          <w:r>
                            <w:fldChar w:fldCharType="separate"/>
                          </w:r>
                          <w:r>
                            <w:t>115</w:t>
                          </w:r>
                          <w:r>
                            <w:fldChar w:fldCharType="end"/>
                          </w:r>
                        </w:p>
                      </w:txbxContent>
                    </wps:txbx>
                    <wps:bodyPr vert="horz" wrap="none" lIns="0" tIns="0" rIns="0" bIns="0" anchor="t" anchorCtr="0" upright="0">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OqXm5zwAAAAUBAAAPAAAA&#10;AAAAAAEAIAAAACIAAABkcnMvZG93bnJldi54bWxQSwECFAAUAAAACACHTuJA6r4YNeUBAADRAwAA&#10;DgAAAAAAAAABACAAAAAeAQAAZHJzL2Uyb0RvYy54bWxQSwUGAAAAAAYABgBZAQAAdQUAAAAA&#10;">
              <v:fill on="f" focussize="0,0"/>
              <v:stroke on="f"/>
              <v:imagedata o:title=""/>
              <o:lock v:ext="edit" aspectratio="f"/>
              <v:textbox inset="0mm,0mm,0mm,0mm" style="mso-fit-shape-to-text:t;">
                <w:txbxContent>
                  <w:p>
                    <w:pPr>
                      <w:pStyle w:val="26"/>
                      <w:ind w:firstLine="360"/>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4C95CD"/>
    <w:multiLevelType w:val="singleLevel"/>
    <w:tmpl w:val="9C4C95CD"/>
    <w:lvl w:ilvl="0" w:tentative="0">
      <w:start w:val="1"/>
      <w:numFmt w:val="decimal"/>
      <w:suff w:val="nothing"/>
      <w:lvlText w:val="（%1）"/>
      <w:lvlJc w:val="left"/>
    </w:lvl>
  </w:abstractNum>
  <w:abstractNum w:abstractNumId="1">
    <w:nsid w:val="0278A6E3"/>
    <w:multiLevelType w:val="singleLevel"/>
    <w:tmpl w:val="0278A6E3"/>
    <w:lvl w:ilvl="0" w:tentative="0">
      <w:start w:val="3"/>
      <w:numFmt w:val="decimal"/>
      <w:suff w:val="nothing"/>
      <w:lvlText w:val="（%1）"/>
      <w:lvlJc w:val="left"/>
    </w:lvl>
  </w:abstractNum>
  <w:abstractNum w:abstractNumId="2">
    <w:nsid w:val="15080B23"/>
    <w:multiLevelType w:val="singleLevel"/>
    <w:tmpl w:val="15080B23"/>
    <w:lvl w:ilvl="0" w:tentative="0">
      <w:start w:val="1"/>
      <w:numFmt w:val="decimal"/>
      <w:suff w:val="nothing"/>
      <w:lvlText w:val="（%1）"/>
      <w:lvlJc w:val="left"/>
    </w:lvl>
  </w:abstractNum>
  <w:abstractNum w:abstractNumId="3">
    <w:nsid w:val="36862550"/>
    <w:multiLevelType w:val="multilevel"/>
    <w:tmpl w:val="36862550"/>
    <w:lvl w:ilvl="0" w:tentative="0">
      <w:start w:val="1"/>
      <w:numFmt w:val="chineseCounting"/>
      <w:pStyle w:val="3"/>
      <w:lvlText w:val="%1、"/>
      <w:lvlJc w:val="left"/>
      <w:pPr>
        <w:tabs>
          <w:tab w:val="left" w:pos="420"/>
        </w:tabs>
        <w:ind w:left="432" w:hanging="432"/>
      </w:pPr>
      <w:rPr>
        <w:rFonts w:hint="eastAsia"/>
      </w:rPr>
    </w:lvl>
    <w:lvl w:ilvl="1" w:tentative="0">
      <w:start w:val="1"/>
      <w:numFmt w:val="decimal"/>
      <w:pStyle w:val="4"/>
      <w:isLgl/>
      <w:suff w:val="space"/>
      <w:lvlText w:val="%1.%2"/>
      <w:lvlJc w:val="left"/>
      <w:pPr>
        <w:tabs>
          <w:tab w:val="left" w:pos="420"/>
        </w:tabs>
        <w:ind w:left="0" w:firstLine="0"/>
      </w:pPr>
      <w:rPr>
        <w:rFonts w:hint="eastAsia"/>
      </w:rPr>
    </w:lvl>
    <w:lvl w:ilvl="2" w:tentative="0">
      <w:start w:val="1"/>
      <w:numFmt w:val="decimal"/>
      <w:pStyle w:val="5"/>
      <w:isLgl/>
      <w:suff w:val="space"/>
      <w:lvlText w:val="%1.%2.%3"/>
      <w:lvlJc w:val="left"/>
      <w:pPr>
        <w:tabs>
          <w:tab w:val="left" w:pos="420"/>
        </w:tabs>
        <w:ind w:left="0" w:firstLine="0"/>
      </w:pPr>
      <w:rPr>
        <w:rFonts w:hint="eastAsia"/>
      </w:rPr>
    </w:lvl>
    <w:lvl w:ilvl="3" w:tentative="0">
      <w:start w:val="1"/>
      <w:numFmt w:val="decimal"/>
      <w:pStyle w:val="6"/>
      <w:isLgl/>
      <w:suff w:val="space"/>
      <w:lvlText w:val="%1.%2.%3.%4"/>
      <w:lvlJc w:val="left"/>
      <w:pPr>
        <w:tabs>
          <w:tab w:val="left" w:pos="420"/>
        </w:tabs>
        <w:ind w:left="0" w:firstLine="0"/>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1" w:hanging="1151"/>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3" w:hanging="1583"/>
      </w:pPr>
      <w:rPr>
        <w:rFonts w:hint="eastAsia"/>
      </w:rPr>
    </w:lvl>
  </w:abstractNum>
  <w:abstractNum w:abstractNumId="4">
    <w:nsid w:val="3EB5A0A6"/>
    <w:multiLevelType w:val="singleLevel"/>
    <w:tmpl w:val="3EB5A0A6"/>
    <w:lvl w:ilvl="0" w:tentative="0">
      <w:start w:val="1"/>
      <w:numFmt w:val="upperLetter"/>
      <w:lvlText w:val="%1."/>
      <w:lvlJc w:val="left"/>
      <w:pPr>
        <w:tabs>
          <w:tab w:val="left" w:pos="312"/>
        </w:tabs>
      </w:pPr>
    </w:lvl>
  </w:abstractNum>
  <w:abstractNum w:abstractNumId="5">
    <w:nsid w:val="461AEC25"/>
    <w:multiLevelType w:val="singleLevel"/>
    <w:tmpl w:val="461AEC25"/>
    <w:lvl w:ilvl="0" w:tentative="0">
      <w:start w:val="1"/>
      <w:numFmt w:val="decimal"/>
      <w:suff w:val="nothing"/>
      <w:lvlText w:val="%1、"/>
      <w:lvlJc w:val="left"/>
    </w:lvl>
  </w:abstractNum>
  <w:abstractNum w:abstractNumId="6">
    <w:nsid w:val="4F75FC50"/>
    <w:multiLevelType w:val="singleLevel"/>
    <w:tmpl w:val="4F75FC50"/>
    <w:lvl w:ilvl="0" w:tentative="0">
      <w:start w:val="1"/>
      <w:numFmt w:val="decimal"/>
      <w:suff w:val="nothing"/>
      <w:lvlText w:val="（%1）"/>
      <w:lvlJc w:val="left"/>
    </w:lvl>
  </w:abstractNum>
  <w:num w:numId="1">
    <w:abstractNumId w:val="3"/>
  </w:num>
  <w:num w:numId="2">
    <w:abstractNumId w:val="0"/>
  </w:num>
  <w:num w:numId="3">
    <w:abstractNumId w:val="1"/>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jYmE2OWUyYzkyNDcwZmUwOWVkM2M4NWIyM2NmYWIifQ=="/>
  </w:docVars>
  <w:rsids>
    <w:rsidRoot w:val="00172A27"/>
    <w:rsid w:val="00000769"/>
    <w:rsid w:val="000060B3"/>
    <w:rsid w:val="0001486F"/>
    <w:rsid w:val="00034085"/>
    <w:rsid w:val="0004364B"/>
    <w:rsid w:val="00061B1F"/>
    <w:rsid w:val="000733C4"/>
    <w:rsid w:val="00074783"/>
    <w:rsid w:val="0008070B"/>
    <w:rsid w:val="000810AC"/>
    <w:rsid w:val="000817AE"/>
    <w:rsid w:val="00081A02"/>
    <w:rsid w:val="00082231"/>
    <w:rsid w:val="00092D38"/>
    <w:rsid w:val="0009377B"/>
    <w:rsid w:val="000A20C9"/>
    <w:rsid w:val="000B058F"/>
    <w:rsid w:val="000B4467"/>
    <w:rsid w:val="000B4DB9"/>
    <w:rsid w:val="000C09AC"/>
    <w:rsid w:val="000C767F"/>
    <w:rsid w:val="000D1D0D"/>
    <w:rsid w:val="000D5544"/>
    <w:rsid w:val="000D5A44"/>
    <w:rsid w:val="000E1BA4"/>
    <w:rsid w:val="000E3ED2"/>
    <w:rsid w:val="00105981"/>
    <w:rsid w:val="00131F42"/>
    <w:rsid w:val="00132E73"/>
    <w:rsid w:val="001357F1"/>
    <w:rsid w:val="00140FA8"/>
    <w:rsid w:val="00142FEB"/>
    <w:rsid w:val="00143A2D"/>
    <w:rsid w:val="00145A41"/>
    <w:rsid w:val="00146516"/>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1F7F7E"/>
    <w:rsid w:val="002125B4"/>
    <w:rsid w:val="002155B8"/>
    <w:rsid w:val="00224839"/>
    <w:rsid w:val="002249B2"/>
    <w:rsid w:val="00226574"/>
    <w:rsid w:val="002278EC"/>
    <w:rsid w:val="0023280E"/>
    <w:rsid w:val="002377D1"/>
    <w:rsid w:val="00241943"/>
    <w:rsid w:val="002506BC"/>
    <w:rsid w:val="00254345"/>
    <w:rsid w:val="00264557"/>
    <w:rsid w:val="00272351"/>
    <w:rsid w:val="0027785D"/>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0621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1643"/>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5F2340"/>
    <w:rsid w:val="00610597"/>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2588"/>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F3AFD"/>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2C2A"/>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3CF5"/>
    <w:rsid w:val="009D6C3D"/>
    <w:rsid w:val="009E227D"/>
    <w:rsid w:val="009E5019"/>
    <w:rsid w:val="00A04F1B"/>
    <w:rsid w:val="00A0501B"/>
    <w:rsid w:val="00A14947"/>
    <w:rsid w:val="00A32A83"/>
    <w:rsid w:val="00A343CA"/>
    <w:rsid w:val="00A368DB"/>
    <w:rsid w:val="00A423AA"/>
    <w:rsid w:val="00A53EC6"/>
    <w:rsid w:val="00A55C0F"/>
    <w:rsid w:val="00A56FE1"/>
    <w:rsid w:val="00A81FC6"/>
    <w:rsid w:val="00A8713F"/>
    <w:rsid w:val="00A90BA1"/>
    <w:rsid w:val="00A97A9A"/>
    <w:rsid w:val="00AA0671"/>
    <w:rsid w:val="00AA2531"/>
    <w:rsid w:val="00AB1E09"/>
    <w:rsid w:val="00AB5330"/>
    <w:rsid w:val="00AB7747"/>
    <w:rsid w:val="00AC14CE"/>
    <w:rsid w:val="00AC171E"/>
    <w:rsid w:val="00AC2A56"/>
    <w:rsid w:val="00AD055E"/>
    <w:rsid w:val="00AD47A7"/>
    <w:rsid w:val="00AF0CBF"/>
    <w:rsid w:val="00AF257F"/>
    <w:rsid w:val="00AF33CF"/>
    <w:rsid w:val="00AF41D7"/>
    <w:rsid w:val="00AF4D50"/>
    <w:rsid w:val="00AF6179"/>
    <w:rsid w:val="00AF73FF"/>
    <w:rsid w:val="00B1295A"/>
    <w:rsid w:val="00B20A45"/>
    <w:rsid w:val="00B22C5C"/>
    <w:rsid w:val="00B24F30"/>
    <w:rsid w:val="00B31ABF"/>
    <w:rsid w:val="00B3299A"/>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D744E"/>
    <w:rsid w:val="00BE1405"/>
    <w:rsid w:val="00BE312D"/>
    <w:rsid w:val="00BF1C20"/>
    <w:rsid w:val="00C10578"/>
    <w:rsid w:val="00C135BC"/>
    <w:rsid w:val="00C15C95"/>
    <w:rsid w:val="00C2596A"/>
    <w:rsid w:val="00C27537"/>
    <w:rsid w:val="00C328FE"/>
    <w:rsid w:val="00C33507"/>
    <w:rsid w:val="00C415C0"/>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809"/>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E2163"/>
    <w:rsid w:val="00DF2E12"/>
    <w:rsid w:val="00DF514A"/>
    <w:rsid w:val="00DF6690"/>
    <w:rsid w:val="00DF6804"/>
    <w:rsid w:val="00E0358D"/>
    <w:rsid w:val="00E04323"/>
    <w:rsid w:val="00E070A2"/>
    <w:rsid w:val="00E11712"/>
    <w:rsid w:val="00E2656A"/>
    <w:rsid w:val="00E412D0"/>
    <w:rsid w:val="00E56322"/>
    <w:rsid w:val="00E60982"/>
    <w:rsid w:val="00E62C62"/>
    <w:rsid w:val="00E654C1"/>
    <w:rsid w:val="00E65D97"/>
    <w:rsid w:val="00E72A5A"/>
    <w:rsid w:val="00E73354"/>
    <w:rsid w:val="00E8386F"/>
    <w:rsid w:val="00E9242D"/>
    <w:rsid w:val="00EB5255"/>
    <w:rsid w:val="00EB5C47"/>
    <w:rsid w:val="00ED0639"/>
    <w:rsid w:val="00EF4755"/>
    <w:rsid w:val="00EF7135"/>
    <w:rsid w:val="00F027DB"/>
    <w:rsid w:val="00F14A7A"/>
    <w:rsid w:val="00F1646E"/>
    <w:rsid w:val="00F22985"/>
    <w:rsid w:val="00F3383E"/>
    <w:rsid w:val="00F465A7"/>
    <w:rsid w:val="00F50B7C"/>
    <w:rsid w:val="00F550E6"/>
    <w:rsid w:val="00F73AFC"/>
    <w:rsid w:val="00F74345"/>
    <w:rsid w:val="00F80A0A"/>
    <w:rsid w:val="00F82B19"/>
    <w:rsid w:val="00F9212D"/>
    <w:rsid w:val="00F965DA"/>
    <w:rsid w:val="00FA406A"/>
    <w:rsid w:val="00FB503A"/>
    <w:rsid w:val="00FB516C"/>
    <w:rsid w:val="00FD0236"/>
    <w:rsid w:val="00FD18F4"/>
    <w:rsid w:val="00FD54DB"/>
    <w:rsid w:val="00FD619F"/>
    <w:rsid w:val="010766DE"/>
    <w:rsid w:val="010955DA"/>
    <w:rsid w:val="012475A0"/>
    <w:rsid w:val="01254C15"/>
    <w:rsid w:val="01255E45"/>
    <w:rsid w:val="01260E98"/>
    <w:rsid w:val="01264FE9"/>
    <w:rsid w:val="01284C10"/>
    <w:rsid w:val="01290F7E"/>
    <w:rsid w:val="012B33CB"/>
    <w:rsid w:val="01303F22"/>
    <w:rsid w:val="01330529"/>
    <w:rsid w:val="01341807"/>
    <w:rsid w:val="013F67AE"/>
    <w:rsid w:val="014A37EF"/>
    <w:rsid w:val="014B7CAC"/>
    <w:rsid w:val="014D51E0"/>
    <w:rsid w:val="015123B9"/>
    <w:rsid w:val="015D1E09"/>
    <w:rsid w:val="016771C3"/>
    <w:rsid w:val="016C71F3"/>
    <w:rsid w:val="01731069"/>
    <w:rsid w:val="018B0E2B"/>
    <w:rsid w:val="018C5FD5"/>
    <w:rsid w:val="018F4C90"/>
    <w:rsid w:val="01A21D24"/>
    <w:rsid w:val="01B67B59"/>
    <w:rsid w:val="01C17E44"/>
    <w:rsid w:val="01EB73E4"/>
    <w:rsid w:val="01F217B3"/>
    <w:rsid w:val="01F40F97"/>
    <w:rsid w:val="01F92C31"/>
    <w:rsid w:val="01FB72E3"/>
    <w:rsid w:val="01FE637A"/>
    <w:rsid w:val="020358CE"/>
    <w:rsid w:val="020A2E1A"/>
    <w:rsid w:val="02131A7D"/>
    <w:rsid w:val="0214713B"/>
    <w:rsid w:val="021E614A"/>
    <w:rsid w:val="022567F1"/>
    <w:rsid w:val="02484D34"/>
    <w:rsid w:val="02512931"/>
    <w:rsid w:val="02557041"/>
    <w:rsid w:val="025E4ED3"/>
    <w:rsid w:val="025E5A02"/>
    <w:rsid w:val="02697903"/>
    <w:rsid w:val="026D24C3"/>
    <w:rsid w:val="02801E49"/>
    <w:rsid w:val="02802FDF"/>
    <w:rsid w:val="029702A0"/>
    <w:rsid w:val="02AF363D"/>
    <w:rsid w:val="02B50726"/>
    <w:rsid w:val="02C62933"/>
    <w:rsid w:val="02CA0D4D"/>
    <w:rsid w:val="02CE0E1E"/>
    <w:rsid w:val="02CF6539"/>
    <w:rsid w:val="02D07D9E"/>
    <w:rsid w:val="02D42FF4"/>
    <w:rsid w:val="02DB4589"/>
    <w:rsid w:val="02DD152C"/>
    <w:rsid w:val="02E16B8A"/>
    <w:rsid w:val="02E81E01"/>
    <w:rsid w:val="02ED6A37"/>
    <w:rsid w:val="02F54FC6"/>
    <w:rsid w:val="02F96569"/>
    <w:rsid w:val="02F971AC"/>
    <w:rsid w:val="03086A19"/>
    <w:rsid w:val="0314369E"/>
    <w:rsid w:val="03157416"/>
    <w:rsid w:val="03162A63"/>
    <w:rsid w:val="031F3DD7"/>
    <w:rsid w:val="03200CD1"/>
    <w:rsid w:val="032161D3"/>
    <w:rsid w:val="032F68E7"/>
    <w:rsid w:val="03323F8A"/>
    <w:rsid w:val="033C61C6"/>
    <w:rsid w:val="03464898"/>
    <w:rsid w:val="034F0B7A"/>
    <w:rsid w:val="0350044F"/>
    <w:rsid w:val="03522419"/>
    <w:rsid w:val="03551147"/>
    <w:rsid w:val="035C6DF3"/>
    <w:rsid w:val="03661A20"/>
    <w:rsid w:val="03675EC4"/>
    <w:rsid w:val="038266F1"/>
    <w:rsid w:val="038A7E04"/>
    <w:rsid w:val="03903C4E"/>
    <w:rsid w:val="039327D7"/>
    <w:rsid w:val="039447DF"/>
    <w:rsid w:val="0395776C"/>
    <w:rsid w:val="039F728F"/>
    <w:rsid w:val="03A913F6"/>
    <w:rsid w:val="03C4077D"/>
    <w:rsid w:val="03C411E3"/>
    <w:rsid w:val="03C96C74"/>
    <w:rsid w:val="03CA2582"/>
    <w:rsid w:val="03CA6453"/>
    <w:rsid w:val="03D16BE3"/>
    <w:rsid w:val="03DA1E00"/>
    <w:rsid w:val="03E45B10"/>
    <w:rsid w:val="03EA7B21"/>
    <w:rsid w:val="03F560D7"/>
    <w:rsid w:val="03F85829"/>
    <w:rsid w:val="03FF7707"/>
    <w:rsid w:val="04090D29"/>
    <w:rsid w:val="04114082"/>
    <w:rsid w:val="04144DC7"/>
    <w:rsid w:val="0424684C"/>
    <w:rsid w:val="042E4928"/>
    <w:rsid w:val="042F7C9A"/>
    <w:rsid w:val="04390EE3"/>
    <w:rsid w:val="0455263A"/>
    <w:rsid w:val="04637C47"/>
    <w:rsid w:val="04762137"/>
    <w:rsid w:val="047C658C"/>
    <w:rsid w:val="048E4EE6"/>
    <w:rsid w:val="049054A8"/>
    <w:rsid w:val="049378FA"/>
    <w:rsid w:val="049638AF"/>
    <w:rsid w:val="049F168E"/>
    <w:rsid w:val="04A22F2C"/>
    <w:rsid w:val="04B65E72"/>
    <w:rsid w:val="04B85FF7"/>
    <w:rsid w:val="04BB4FA5"/>
    <w:rsid w:val="04CB3DBE"/>
    <w:rsid w:val="04CC00BD"/>
    <w:rsid w:val="04CE60CD"/>
    <w:rsid w:val="04D15652"/>
    <w:rsid w:val="04D52917"/>
    <w:rsid w:val="04DA4474"/>
    <w:rsid w:val="04E1164C"/>
    <w:rsid w:val="04E91831"/>
    <w:rsid w:val="04F651F9"/>
    <w:rsid w:val="04FA7F79"/>
    <w:rsid w:val="04FB19A9"/>
    <w:rsid w:val="04FC4063"/>
    <w:rsid w:val="05010C9B"/>
    <w:rsid w:val="050A24BD"/>
    <w:rsid w:val="050A3276"/>
    <w:rsid w:val="050C3B6C"/>
    <w:rsid w:val="052D46C2"/>
    <w:rsid w:val="05376CEE"/>
    <w:rsid w:val="0547571C"/>
    <w:rsid w:val="054B5371"/>
    <w:rsid w:val="054B552D"/>
    <w:rsid w:val="054D10EA"/>
    <w:rsid w:val="054E5405"/>
    <w:rsid w:val="055E32F7"/>
    <w:rsid w:val="055E6E53"/>
    <w:rsid w:val="056949FF"/>
    <w:rsid w:val="056A6230"/>
    <w:rsid w:val="0571302A"/>
    <w:rsid w:val="05760640"/>
    <w:rsid w:val="058B39C0"/>
    <w:rsid w:val="059A32A6"/>
    <w:rsid w:val="059D326A"/>
    <w:rsid w:val="05A2329C"/>
    <w:rsid w:val="05A340D7"/>
    <w:rsid w:val="05B55670"/>
    <w:rsid w:val="05B60269"/>
    <w:rsid w:val="05CD6BF7"/>
    <w:rsid w:val="05E061B4"/>
    <w:rsid w:val="05F83EAE"/>
    <w:rsid w:val="05FA6997"/>
    <w:rsid w:val="060634A5"/>
    <w:rsid w:val="06144E26"/>
    <w:rsid w:val="061817DD"/>
    <w:rsid w:val="062009A6"/>
    <w:rsid w:val="062F6983"/>
    <w:rsid w:val="06355398"/>
    <w:rsid w:val="063E7D85"/>
    <w:rsid w:val="0643190C"/>
    <w:rsid w:val="06471FDD"/>
    <w:rsid w:val="064A2B35"/>
    <w:rsid w:val="064F1CCC"/>
    <w:rsid w:val="065368CF"/>
    <w:rsid w:val="065A1D10"/>
    <w:rsid w:val="066075D0"/>
    <w:rsid w:val="0665727F"/>
    <w:rsid w:val="06746FB5"/>
    <w:rsid w:val="0680104B"/>
    <w:rsid w:val="0689204D"/>
    <w:rsid w:val="06990249"/>
    <w:rsid w:val="069D2556"/>
    <w:rsid w:val="06DD1A51"/>
    <w:rsid w:val="06E72C1A"/>
    <w:rsid w:val="07024E5B"/>
    <w:rsid w:val="0706353A"/>
    <w:rsid w:val="0709261F"/>
    <w:rsid w:val="071978D0"/>
    <w:rsid w:val="071B7289"/>
    <w:rsid w:val="07281A58"/>
    <w:rsid w:val="07293586"/>
    <w:rsid w:val="07295285"/>
    <w:rsid w:val="072D7051"/>
    <w:rsid w:val="073805A7"/>
    <w:rsid w:val="073C31C4"/>
    <w:rsid w:val="073C5B3F"/>
    <w:rsid w:val="07417DA5"/>
    <w:rsid w:val="07487DBA"/>
    <w:rsid w:val="074F1149"/>
    <w:rsid w:val="074F33A1"/>
    <w:rsid w:val="07594BB1"/>
    <w:rsid w:val="07636392"/>
    <w:rsid w:val="07641846"/>
    <w:rsid w:val="076A3358"/>
    <w:rsid w:val="0775533E"/>
    <w:rsid w:val="07770C56"/>
    <w:rsid w:val="07805AEC"/>
    <w:rsid w:val="07841566"/>
    <w:rsid w:val="07857B54"/>
    <w:rsid w:val="07861CBD"/>
    <w:rsid w:val="078B22FB"/>
    <w:rsid w:val="078B408A"/>
    <w:rsid w:val="07930AF7"/>
    <w:rsid w:val="07A1354D"/>
    <w:rsid w:val="07C0108F"/>
    <w:rsid w:val="07D87480"/>
    <w:rsid w:val="07E364F2"/>
    <w:rsid w:val="07E8584F"/>
    <w:rsid w:val="07F4102E"/>
    <w:rsid w:val="07F4724E"/>
    <w:rsid w:val="07FD79C9"/>
    <w:rsid w:val="080478A9"/>
    <w:rsid w:val="081D3ADD"/>
    <w:rsid w:val="082E5DCE"/>
    <w:rsid w:val="083F3FE1"/>
    <w:rsid w:val="0845254C"/>
    <w:rsid w:val="084A03F5"/>
    <w:rsid w:val="0850027A"/>
    <w:rsid w:val="08552BF3"/>
    <w:rsid w:val="085A5FF7"/>
    <w:rsid w:val="0864199A"/>
    <w:rsid w:val="086504F8"/>
    <w:rsid w:val="08686B00"/>
    <w:rsid w:val="0869367E"/>
    <w:rsid w:val="087D580D"/>
    <w:rsid w:val="087F2737"/>
    <w:rsid w:val="08851EF6"/>
    <w:rsid w:val="08852948"/>
    <w:rsid w:val="08944F99"/>
    <w:rsid w:val="08950C4F"/>
    <w:rsid w:val="089A7D8D"/>
    <w:rsid w:val="089D7733"/>
    <w:rsid w:val="08A6353D"/>
    <w:rsid w:val="08A70B11"/>
    <w:rsid w:val="08C22B80"/>
    <w:rsid w:val="08C571E9"/>
    <w:rsid w:val="08C6368D"/>
    <w:rsid w:val="08C72EC9"/>
    <w:rsid w:val="08D15B8E"/>
    <w:rsid w:val="08DC4C5E"/>
    <w:rsid w:val="08DF6446"/>
    <w:rsid w:val="08E3266C"/>
    <w:rsid w:val="09023F99"/>
    <w:rsid w:val="090D2081"/>
    <w:rsid w:val="090E5984"/>
    <w:rsid w:val="09102BF3"/>
    <w:rsid w:val="091956AD"/>
    <w:rsid w:val="092217DD"/>
    <w:rsid w:val="092A3C3E"/>
    <w:rsid w:val="093410DD"/>
    <w:rsid w:val="093A7294"/>
    <w:rsid w:val="093D3223"/>
    <w:rsid w:val="09481692"/>
    <w:rsid w:val="094D6794"/>
    <w:rsid w:val="0964375F"/>
    <w:rsid w:val="09651E9D"/>
    <w:rsid w:val="09656B54"/>
    <w:rsid w:val="09795077"/>
    <w:rsid w:val="09871336"/>
    <w:rsid w:val="099C329A"/>
    <w:rsid w:val="099F4FF6"/>
    <w:rsid w:val="09C95AE5"/>
    <w:rsid w:val="09D14EAF"/>
    <w:rsid w:val="09D415D4"/>
    <w:rsid w:val="09E8187E"/>
    <w:rsid w:val="09FD01A9"/>
    <w:rsid w:val="0A086B37"/>
    <w:rsid w:val="0A1749EF"/>
    <w:rsid w:val="0A1A250B"/>
    <w:rsid w:val="0A1B2E77"/>
    <w:rsid w:val="0A1D6B0E"/>
    <w:rsid w:val="0A263993"/>
    <w:rsid w:val="0A2D3AC2"/>
    <w:rsid w:val="0A3A1A28"/>
    <w:rsid w:val="0A3D2CD6"/>
    <w:rsid w:val="0A463846"/>
    <w:rsid w:val="0A474359"/>
    <w:rsid w:val="0A4958A2"/>
    <w:rsid w:val="0A544B09"/>
    <w:rsid w:val="0A696353"/>
    <w:rsid w:val="0A6F052F"/>
    <w:rsid w:val="0A75208F"/>
    <w:rsid w:val="0A821835"/>
    <w:rsid w:val="0A8E5656"/>
    <w:rsid w:val="0A9A6B7F"/>
    <w:rsid w:val="0A9B1335"/>
    <w:rsid w:val="0AA755DF"/>
    <w:rsid w:val="0AA90468"/>
    <w:rsid w:val="0AA95014"/>
    <w:rsid w:val="0AAF6DF8"/>
    <w:rsid w:val="0AB6286D"/>
    <w:rsid w:val="0ABB6AF5"/>
    <w:rsid w:val="0AC5024D"/>
    <w:rsid w:val="0AC87F7C"/>
    <w:rsid w:val="0AC92FC0"/>
    <w:rsid w:val="0AC9473D"/>
    <w:rsid w:val="0ACC71FB"/>
    <w:rsid w:val="0AF33C4B"/>
    <w:rsid w:val="0B120D44"/>
    <w:rsid w:val="0B1A617D"/>
    <w:rsid w:val="0B1C45AB"/>
    <w:rsid w:val="0B24086A"/>
    <w:rsid w:val="0B2B2951"/>
    <w:rsid w:val="0B2D0018"/>
    <w:rsid w:val="0B2F78DC"/>
    <w:rsid w:val="0B32117A"/>
    <w:rsid w:val="0B372BD2"/>
    <w:rsid w:val="0B56515B"/>
    <w:rsid w:val="0B585ACA"/>
    <w:rsid w:val="0B5A7019"/>
    <w:rsid w:val="0B5B7968"/>
    <w:rsid w:val="0B6666D6"/>
    <w:rsid w:val="0B753877"/>
    <w:rsid w:val="0B886313"/>
    <w:rsid w:val="0B8D1C6F"/>
    <w:rsid w:val="0B9F3D21"/>
    <w:rsid w:val="0BB55338"/>
    <w:rsid w:val="0BC941FF"/>
    <w:rsid w:val="0BD27BF6"/>
    <w:rsid w:val="0BD836AC"/>
    <w:rsid w:val="0BE0520A"/>
    <w:rsid w:val="0BEA58E4"/>
    <w:rsid w:val="0BF31366"/>
    <w:rsid w:val="0BF56FAA"/>
    <w:rsid w:val="0C0933D9"/>
    <w:rsid w:val="0C0F534B"/>
    <w:rsid w:val="0C2D21E3"/>
    <w:rsid w:val="0C306DD0"/>
    <w:rsid w:val="0C321039"/>
    <w:rsid w:val="0C3A17AF"/>
    <w:rsid w:val="0C3B3C7D"/>
    <w:rsid w:val="0C3D0D61"/>
    <w:rsid w:val="0C3D6BC5"/>
    <w:rsid w:val="0C5257B6"/>
    <w:rsid w:val="0C5745FC"/>
    <w:rsid w:val="0C685139"/>
    <w:rsid w:val="0C6B2AAF"/>
    <w:rsid w:val="0C7E6F8B"/>
    <w:rsid w:val="0C7F00CD"/>
    <w:rsid w:val="0C801DA5"/>
    <w:rsid w:val="0C847E76"/>
    <w:rsid w:val="0C874AB1"/>
    <w:rsid w:val="0C934031"/>
    <w:rsid w:val="0CA009C0"/>
    <w:rsid w:val="0CA24C1D"/>
    <w:rsid w:val="0CAB2EAE"/>
    <w:rsid w:val="0CBE78FB"/>
    <w:rsid w:val="0CBF7C22"/>
    <w:rsid w:val="0CEA5176"/>
    <w:rsid w:val="0CEA66A2"/>
    <w:rsid w:val="0CFD33F5"/>
    <w:rsid w:val="0D014DBB"/>
    <w:rsid w:val="0D017F7C"/>
    <w:rsid w:val="0D047D3B"/>
    <w:rsid w:val="0D080152"/>
    <w:rsid w:val="0D0A4976"/>
    <w:rsid w:val="0D191AD7"/>
    <w:rsid w:val="0D224A27"/>
    <w:rsid w:val="0D3B51EC"/>
    <w:rsid w:val="0D4330C4"/>
    <w:rsid w:val="0D47204E"/>
    <w:rsid w:val="0D4940E8"/>
    <w:rsid w:val="0D621C7D"/>
    <w:rsid w:val="0D640ECC"/>
    <w:rsid w:val="0D72221A"/>
    <w:rsid w:val="0D7B2671"/>
    <w:rsid w:val="0D8A1CC4"/>
    <w:rsid w:val="0D997D4D"/>
    <w:rsid w:val="0D9C2C0E"/>
    <w:rsid w:val="0DBF4B67"/>
    <w:rsid w:val="0DC32127"/>
    <w:rsid w:val="0DC4435F"/>
    <w:rsid w:val="0DC77307"/>
    <w:rsid w:val="0DD07ABA"/>
    <w:rsid w:val="0DE80AB1"/>
    <w:rsid w:val="0DEA5A2D"/>
    <w:rsid w:val="0DED54E5"/>
    <w:rsid w:val="0DF2047E"/>
    <w:rsid w:val="0DF465A6"/>
    <w:rsid w:val="0DFE2D3A"/>
    <w:rsid w:val="0E046BAD"/>
    <w:rsid w:val="0E0A521A"/>
    <w:rsid w:val="0E0B5585"/>
    <w:rsid w:val="0E1E7286"/>
    <w:rsid w:val="0E2663DC"/>
    <w:rsid w:val="0E2A2645"/>
    <w:rsid w:val="0E2B5D40"/>
    <w:rsid w:val="0E2D5254"/>
    <w:rsid w:val="0E3B1447"/>
    <w:rsid w:val="0E540893"/>
    <w:rsid w:val="0E610AF7"/>
    <w:rsid w:val="0E653000"/>
    <w:rsid w:val="0E6766CB"/>
    <w:rsid w:val="0E73034D"/>
    <w:rsid w:val="0E7746DD"/>
    <w:rsid w:val="0E8327C4"/>
    <w:rsid w:val="0E83792A"/>
    <w:rsid w:val="0E8E6843"/>
    <w:rsid w:val="0E901F3B"/>
    <w:rsid w:val="0E9B1118"/>
    <w:rsid w:val="0EA0228A"/>
    <w:rsid w:val="0EAF40A0"/>
    <w:rsid w:val="0EB03C38"/>
    <w:rsid w:val="0EBE5557"/>
    <w:rsid w:val="0EC71F0D"/>
    <w:rsid w:val="0EC96857"/>
    <w:rsid w:val="0ECD42F7"/>
    <w:rsid w:val="0EDB7766"/>
    <w:rsid w:val="0EE24D4E"/>
    <w:rsid w:val="0EE72AFB"/>
    <w:rsid w:val="0EEB3E02"/>
    <w:rsid w:val="0F0E7E7B"/>
    <w:rsid w:val="0F13775A"/>
    <w:rsid w:val="0F2747AF"/>
    <w:rsid w:val="0F290F12"/>
    <w:rsid w:val="0F29646F"/>
    <w:rsid w:val="0F2D7DE5"/>
    <w:rsid w:val="0F2F78D1"/>
    <w:rsid w:val="0F501F02"/>
    <w:rsid w:val="0F5615DA"/>
    <w:rsid w:val="0F5B3C20"/>
    <w:rsid w:val="0F5F45FE"/>
    <w:rsid w:val="0F6464D5"/>
    <w:rsid w:val="0F732C69"/>
    <w:rsid w:val="0F88196A"/>
    <w:rsid w:val="0F9246C6"/>
    <w:rsid w:val="0F9A112B"/>
    <w:rsid w:val="0F9E26AD"/>
    <w:rsid w:val="0F9F54A5"/>
    <w:rsid w:val="0FA25AF2"/>
    <w:rsid w:val="0FA3161C"/>
    <w:rsid w:val="0FA61B22"/>
    <w:rsid w:val="0FA92D74"/>
    <w:rsid w:val="0FAF6586"/>
    <w:rsid w:val="0FB65A8C"/>
    <w:rsid w:val="0FC31F10"/>
    <w:rsid w:val="0FC47BE1"/>
    <w:rsid w:val="0FC93A62"/>
    <w:rsid w:val="0FC95811"/>
    <w:rsid w:val="0FCD69B6"/>
    <w:rsid w:val="0FCE4303"/>
    <w:rsid w:val="0FD44828"/>
    <w:rsid w:val="0FD93815"/>
    <w:rsid w:val="0FDD4748"/>
    <w:rsid w:val="0FE82534"/>
    <w:rsid w:val="0FEF477B"/>
    <w:rsid w:val="0FF66359"/>
    <w:rsid w:val="0FF84DA4"/>
    <w:rsid w:val="0FFB190B"/>
    <w:rsid w:val="1008458B"/>
    <w:rsid w:val="10104F2E"/>
    <w:rsid w:val="10264A11"/>
    <w:rsid w:val="102E38C6"/>
    <w:rsid w:val="104A41E6"/>
    <w:rsid w:val="104A5A96"/>
    <w:rsid w:val="104F1DC5"/>
    <w:rsid w:val="10612472"/>
    <w:rsid w:val="10661AAC"/>
    <w:rsid w:val="106D2F64"/>
    <w:rsid w:val="106D5740"/>
    <w:rsid w:val="107D21DA"/>
    <w:rsid w:val="108300B5"/>
    <w:rsid w:val="108B7F7B"/>
    <w:rsid w:val="10975C3B"/>
    <w:rsid w:val="10A36062"/>
    <w:rsid w:val="10AA08EC"/>
    <w:rsid w:val="10B63710"/>
    <w:rsid w:val="10C27426"/>
    <w:rsid w:val="10C55FD8"/>
    <w:rsid w:val="10D751A1"/>
    <w:rsid w:val="10F10820"/>
    <w:rsid w:val="10F25464"/>
    <w:rsid w:val="10FA29C3"/>
    <w:rsid w:val="11026A99"/>
    <w:rsid w:val="1110049B"/>
    <w:rsid w:val="111C2F7A"/>
    <w:rsid w:val="112255CD"/>
    <w:rsid w:val="113C2A43"/>
    <w:rsid w:val="115D5282"/>
    <w:rsid w:val="115E62CB"/>
    <w:rsid w:val="11665CA1"/>
    <w:rsid w:val="1174425D"/>
    <w:rsid w:val="11896949"/>
    <w:rsid w:val="11943BFC"/>
    <w:rsid w:val="11AB2103"/>
    <w:rsid w:val="11AF2593"/>
    <w:rsid w:val="11B71D0C"/>
    <w:rsid w:val="11C303C7"/>
    <w:rsid w:val="11CE3D25"/>
    <w:rsid w:val="11DD55A3"/>
    <w:rsid w:val="11F36431"/>
    <w:rsid w:val="11FB054B"/>
    <w:rsid w:val="11FC560D"/>
    <w:rsid w:val="12040D82"/>
    <w:rsid w:val="120C7C36"/>
    <w:rsid w:val="12205A66"/>
    <w:rsid w:val="12553A0D"/>
    <w:rsid w:val="125B1B56"/>
    <w:rsid w:val="125E2BAF"/>
    <w:rsid w:val="12703B6D"/>
    <w:rsid w:val="127C21D0"/>
    <w:rsid w:val="12805DB8"/>
    <w:rsid w:val="12937E5A"/>
    <w:rsid w:val="129640D0"/>
    <w:rsid w:val="12A31391"/>
    <w:rsid w:val="12AE1D49"/>
    <w:rsid w:val="12B6464D"/>
    <w:rsid w:val="12B75DF4"/>
    <w:rsid w:val="12C754AE"/>
    <w:rsid w:val="12CE45F2"/>
    <w:rsid w:val="12DF4A2E"/>
    <w:rsid w:val="12E51E04"/>
    <w:rsid w:val="12F31522"/>
    <w:rsid w:val="12F32972"/>
    <w:rsid w:val="12F84A4A"/>
    <w:rsid w:val="1302041D"/>
    <w:rsid w:val="13056D9D"/>
    <w:rsid w:val="130F4B38"/>
    <w:rsid w:val="13407B49"/>
    <w:rsid w:val="13533D6F"/>
    <w:rsid w:val="13635BFC"/>
    <w:rsid w:val="13660E42"/>
    <w:rsid w:val="137D0DEC"/>
    <w:rsid w:val="138375E3"/>
    <w:rsid w:val="13932955"/>
    <w:rsid w:val="13951726"/>
    <w:rsid w:val="139573E0"/>
    <w:rsid w:val="139D1AD5"/>
    <w:rsid w:val="139F3CDC"/>
    <w:rsid w:val="13A93851"/>
    <w:rsid w:val="13AC347F"/>
    <w:rsid w:val="13AE184D"/>
    <w:rsid w:val="13BD533D"/>
    <w:rsid w:val="13C568C4"/>
    <w:rsid w:val="13CB5D21"/>
    <w:rsid w:val="13D20885"/>
    <w:rsid w:val="13FA03A8"/>
    <w:rsid w:val="14260D10"/>
    <w:rsid w:val="142D4720"/>
    <w:rsid w:val="14301E27"/>
    <w:rsid w:val="14396509"/>
    <w:rsid w:val="14497881"/>
    <w:rsid w:val="1450354A"/>
    <w:rsid w:val="145C4EA5"/>
    <w:rsid w:val="14633BF6"/>
    <w:rsid w:val="1466407E"/>
    <w:rsid w:val="146A5814"/>
    <w:rsid w:val="14726637"/>
    <w:rsid w:val="1474156A"/>
    <w:rsid w:val="1476228A"/>
    <w:rsid w:val="1486438A"/>
    <w:rsid w:val="14866350"/>
    <w:rsid w:val="149B7A47"/>
    <w:rsid w:val="14A423A8"/>
    <w:rsid w:val="14B95E54"/>
    <w:rsid w:val="14BB6070"/>
    <w:rsid w:val="14BC6D79"/>
    <w:rsid w:val="14C500E6"/>
    <w:rsid w:val="14C91E0F"/>
    <w:rsid w:val="14D37DB8"/>
    <w:rsid w:val="14DD2C3C"/>
    <w:rsid w:val="14DF4D27"/>
    <w:rsid w:val="14F33EAD"/>
    <w:rsid w:val="14F43330"/>
    <w:rsid w:val="14F50E56"/>
    <w:rsid w:val="14FD7BF5"/>
    <w:rsid w:val="15100C25"/>
    <w:rsid w:val="152A6D51"/>
    <w:rsid w:val="15357EA3"/>
    <w:rsid w:val="1540224C"/>
    <w:rsid w:val="155D1F3C"/>
    <w:rsid w:val="156E6E68"/>
    <w:rsid w:val="158056A0"/>
    <w:rsid w:val="15820D55"/>
    <w:rsid w:val="158C23F4"/>
    <w:rsid w:val="159D493B"/>
    <w:rsid w:val="159E0C5D"/>
    <w:rsid w:val="15B71C57"/>
    <w:rsid w:val="15C9043E"/>
    <w:rsid w:val="15D232F3"/>
    <w:rsid w:val="15D3210A"/>
    <w:rsid w:val="15D86EAB"/>
    <w:rsid w:val="15E106CD"/>
    <w:rsid w:val="15ED7461"/>
    <w:rsid w:val="15F07056"/>
    <w:rsid w:val="15F35395"/>
    <w:rsid w:val="15FC10F8"/>
    <w:rsid w:val="15FE0F9F"/>
    <w:rsid w:val="16087E1D"/>
    <w:rsid w:val="161231C8"/>
    <w:rsid w:val="162E1DE0"/>
    <w:rsid w:val="16461969"/>
    <w:rsid w:val="16481FAA"/>
    <w:rsid w:val="164B3423"/>
    <w:rsid w:val="165A7400"/>
    <w:rsid w:val="165E2F2D"/>
    <w:rsid w:val="165E375F"/>
    <w:rsid w:val="16663DB9"/>
    <w:rsid w:val="16737E1A"/>
    <w:rsid w:val="167504A0"/>
    <w:rsid w:val="16871695"/>
    <w:rsid w:val="168758CA"/>
    <w:rsid w:val="1694379F"/>
    <w:rsid w:val="169528F0"/>
    <w:rsid w:val="169B4D36"/>
    <w:rsid w:val="16C6489A"/>
    <w:rsid w:val="16C860CF"/>
    <w:rsid w:val="16C953B9"/>
    <w:rsid w:val="16CB4D65"/>
    <w:rsid w:val="16DC134B"/>
    <w:rsid w:val="16DC407B"/>
    <w:rsid w:val="16EA78D7"/>
    <w:rsid w:val="16EE303D"/>
    <w:rsid w:val="16EE57FA"/>
    <w:rsid w:val="16F2389F"/>
    <w:rsid w:val="17011D34"/>
    <w:rsid w:val="17057DAB"/>
    <w:rsid w:val="1708580E"/>
    <w:rsid w:val="17221F62"/>
    <w:rsid w:val="1722359B"/>
    <w:rsid w:val="172F6458"/>
    <w:rsid w:val="1753343A"/>
    <w:rsid w:val="175956CC"/>
    <w:rsid w:val="1759695E"/>
    <w:rsid w:val="17603F4D"/>
    <w:rsid w:val="17615170"/>
    <w:rsid w:val="17701D14"/>
    <w:rsid w:val="17732863"/>
    <w:rsid w:val="17735226"/>
    <w:rsid w:val="17832749"/>
    <w:rsid w:val="17884203"/>
    <w:rsid w:val="178E0D13"/>
    <w:rsid w:val="17A23E9D"/>
    <w:rsid w:val="17BA3A28"/>
    <w:rsid w:val="17C57C22"/>
    <w:rsid w:val="17D13E00"/>
    <w:rsid w:val="17D324C9"/>
    <w:rsid w:val="17D37100"/>
    <w:rsid w:val="17EF687B"/>
    <w:rsid w:val="17F50FBF"/>
    <w:rsid w:val="17FB639E"/>
    <w:rsid w:val="180A2E6A"/>
    <w:rsid w:val="18165521"/>
    <w:rsid w:val="181809A7"/>
    <w:rsid w:val="18193E12"/>
    <w:rsid w:val="18275912"/>
    <w:rsid w:val="18297155"/>
    <w:rsid w:val="182B350C"/>
    <w:rsid w:val="182E1308"/>
    <w:rsid w:val="183546EF"/>
    <w:rsid w:val="1838734C"/>
    <w:rsid w:val="18416457"/>
    <w:rsid w:val="184E0FA9"/>
    <w:rsid w:val="18622C45"/>
    <w:rsid w:val="1873149E"/>
    <w:rsid w:val="18846779"/>
    <w:rsid w:val="18952734"/>
    <w:rsid w:val="189D12B1"/>
    <w:rsid w:val="189F624C"/>
    <w:rsid w:val="18AA3B75"/>
    <w:rsid w:val="18AE0225"/>
    <w:rsid w:val="18B76B4E"/>
    <w:rsid w:val="18B926E1"/>
    <w:rsid w:val="18BD66DB"/>
    <w:rsid w:val="18D137D6"/>
    <w:rsid w:val="18D14AC4"/>
    <w:rsid w:val="18D97C2E"/>
    <w:rsid w:val="18DE232D"/>
    <w:rsid w:val="18DF4B19"/>
    <w:rsid w:val="18EB67F8"/>
    <w:rsid w:val="18F002B2"/>
    <w:rsid w:val="1907092B"/>
    <w:rsid w:val="190A4292"/>
    <w:rsid w:val="19172BA4"/>
    <w:rsid w:val="19241D0A"/>
    <w:rsid w:val="19264976"/>
    <w:rsid w:val="192B12EA"/>
    <w:rsid w:val="19351A4B"/>
    <w:rsid w:val="193E726F"/>
    <w:rsid w:val="194F7DC5"/>
    <w:rsid w:val="196052F9"/>
    <w:rsid w:val="19762EBB"/>
    <w:rsid w:val="197E65D9"/>
    <w:rsid w:val="197F043B"/>
    <w:rsid w:val="19810F0A"/>
    <w:rsid w:val="198D3D53"/>
    <w:rsid w:val="19B7465C"/>
    <w:rsid w:val="19C2408D"/>
    <w:rsid w:val="19C47BB6"/>
    <w:rsid w:val="19C96634"/>
    <w:rsid w:val="19CD564A"/>
    <w:rsid w:val="19E5593D"/>
    <w:rsid w:val="19E93029"/>
    <w:rsid w:val="19F5305E"/>
    <w:rsid w:val="19FD1EF8"/>
    <w:rsid w:val="19FF65C8"/>
    <w:rsid w:val="19FF72A8"/>
    <w:rsid w:val="1A002E50"/>
    <w:rsid w:val="1A1C66C0"/>
    <w:rsid w:val="1A1E2702"/>
    <w:rsid w:val="1A42393B"/>
    <w:rsid w:val="1A4433CE"/>
    <w:rsid w:val="1A557EA2"/>
    <w:rsid w:val="1A584239"/>
    <w:rsid w:val="1A5D327A"/>
    <w:rsid w:val="1A5E7B9C"/>
    <w:rsid w:val="1A660316"/>
    <w:rsid w:val="1A705206"/>
    <w:rsid w:val="1A731CF8"/>
    <w:rsid w:val="1A8F4810"/>
    <w:rsid w:val="1A922CFB"/>
    <w:rsid w:val="1A9B793E"/>
    <w:rsid w:val="1AA26E42"/>
    <w:rsid w:val="1AA51F57"/>
    <w:rsid w:val="1AAD39E5"/>
    <w:rsid w:val="1AAD45DE"/>
    <w:rsid w:val="1AAE21D3"/>
    <w:rsid w:val="1AB027AB"/>
    <w:rsid w:val="1AB0359C"/>
    <w:rsid w:val="1ABF6061"/>
    <w:rsid w:val="1AC716D4"/>
    <w:rsid w:val="1AD007D2"/>
    <w:rsid w:val="1AD429A9"/>
    <w:rsid w:val="1ADC289C"/>
    <w:rsid w:val="1ADF581F"/>
    <w:rsid w:val="1AE501C2"/>
    <w:rsid w:val="1AEE5CD0"/>
    <w:rsid w:val="1AFA188C"/>
    <w:rsid w:val="1AFC671A"/>
    <w:rsid w:val="1B046F80"/>
    <w:rsid w:val="1B157B5C"/>
    <w:rsid w:val="1B21651F"/>
    <w:rsid w:val="1B281F85"/>
    <w:rsid w:val="1B3267B5"/>
    <w:rsid w:val="1B3F107D"/>
    <w:rsid w:val="1B3F21A3"/>
    <w:rsid w:val="1B40161D"/>
    <w:rsid w:val="1B441859"/>
    <w:rsid w:val="1B4A1C46"/>
    <w:rsid w:val="1B517DAD"/>
    <w:rsid w:val="1B537060"/>
    <w:rsid w:val="1B5938A7"/>
    <w:rsid w:val="1B5F12B0"/>
    <w:rsid w:val="1B6606B1"/>
    <w:rsid w:val="1B772F21"/>
    <w:rsid w:val="1B796C4A"/>
    <w:rsid w:val="1B904672"/>
    <w:rsid w:val="1B91111F"/>
    <w:rsid w:val="1B921470"/>
    <w:rsid w:val="1B941CF4"/>
    <w:rsid w:val="1BA64C58"/>
    <w:rsid w:val="1BC21886"/>
    <w:rsid w:val="1BC63260"/>
    <w:rsid w:val="1BCB7E61"/>
    <w:rsid w:val="1BCC539A"/>
    <w:rsid w:val="1BE54C7F"/>
    <w:rsid w:val="1C062622"/>
    <w:rsid w:val="1C093D1A"/>
    <w:rsid w:val="1C130C12"/>
    <w:rsid w:val="1C202AE2"/>
    <w:rsid w:val="1C2A254F"/>
    <w:rsid w:val="1C2C797B"/>
    <w:rsid w:val="1C2F4C4D"/>
    <w:rsid w:val="1C3332A6"/>
    <w:rsid w:val="1C3A64D3"/>
    <w:rsid w:val="1C3E30E2"/>
    <w:rsid w:val="1C595A54"/>
    <w:rsid w:val="1C5E7925"/>
    <w:rsid w:val="1C6425B1"/>
    <w:rsid w:val="1C6958FE"/>
    <w:rsid w:val="1C887AFA"/>
    <w:rsid w:val="1C9378D2"/>
    <w:rsid w:val="1C996C15"/>
    <w:rsid w:val="1C9D3358"/>
    <w:rsid w:val="1CA556AB"/>
    <w:rsid w:val="1CA82DC7"/>
    <w:rsid w:val="1CAA1BE8"/>
    <w:rsid w:val="1CB6536F"/>
    <w:rsid w:val="1CCD24EC"/>
    <w:rsid w:val="1CCE4466"/>
    <w:rsid w:val="1CDF3902"/>
    <w:rsid w:val="1CE41EE1"/>
    <w:rsid w:val="1CE43FA3"/>
    <w:rsid w:val="1CEC396C"/>
    <w:rsid w:val="1CF71AF6"/>
    <w:rsid w:val="1CFC39ED"/>
    <w:rsid w:val="1CFD070F"/>
    <w:rsid w:val="1D013FC0"/>
    <w:rsid w:val="1D0165EA"/>
    <w:rsid w:val="1D10748F"/>
    <w:rsid w:val="1D1A540B"/>
    <w:rsid w:val="1D2565D9"/>
    <w:rsid w:val="1D2A5847"/>
    <w:rsid w:val="1D2B3951"/>
    <w:rsid w:val="1D2E13A9"/>
    <w:rsid w:val="1D342F22"/>
    <w:rsid w:val="1D4B3756"/>
    <w:rsid w:val="1D4D182F"/>
    <w:rsid w:val="1D5C4168"/>
    <w:rsid w:val="1D5F6196"/>
    <w:rsid w:val="1D6132A5"/>
    <w:rsid w:val="1D7464AC"/>
    <w:rsid w:val="1D76522A"/>
    <w:rsid w:val="1D7A639C"/>
    <w:rsid w:val="1D8A4E46"/>
    <w:rsid w:val="1D8E56D5"/>
    <w:rsid w:val="1DA23FA5"/>
    <w:rsid w:val="1DAF4298"/>
    <w:rsid w:val="1DBB1654"/>
    <w:rsid w:val="1DCF2C28"/>
    <w:rsid w:val="1DF01821"/>
    <w:rsid w:val="1DF34BD6"/>
    <w:rsid w:val="1DF3687A"/>
    <w:rsid w:val="1E04764E"/>
    <w:rsid w:val="1E0A7720"/>
    <w:rsid w:val="1E0C16EA"/>
    <w:rsid w:val="1E1B09A8"/>
    <w:rsid w:val="1E1E6701"/>
    <w:rsid w:val="1E205195"/>
    <w:rsid w:val="1E250DE6"/>
    <w:rsid w:val="1E257D5C"/>
    <w:rsid w:val="1E273F3D"/>
    <w:rsid w:val="1E2857DF"/>
    <w:rsid w:val="1E3A6E02"/>
    <w:rsid w:val="1E457309"/>
    <w:rsid w:val="1E4946EC"/>
    <w:rsid w:val="1E4B7669"/>
    <w:rsid w:val="1E5A375D"/>
    <w:rsid w:val="1E78406D"/>
    <w:rsid w:val="1E7A43DA"/>
    <w:rsid w:val="1E85149C"/>
    <w:rsid w:val="1E88096C"/>
    <w:rsid w:val="1E890F8D"/>
    <w:rsid w:val="1E9574D3"/>
    <w:rsid w:val="1E9850E7"/>
    <w:rsid w:val="1EA4712D"/>
    <w:rsid w:val="1EBA64FA"/>
    <w:rsid w:val="1EBD29E4"/>
    <w:rsid w:val="1EC450BA"/>
    <w:rsid w:val="1EC75611"/>
    <w:rsid w:val="1EC93675"/>
    <w:rsid w:val="1EF04B68"/>
    <w:rsid w:val="1EF138EF"/>
    <w:rsid w:val="1F014874"/>
    <w:rsid w:val="1F1275B3"/>
    <w:rsid w:val="1F161A25"/>
    <w:rsid w:val="1F1C0F96"/>
    <w:rsid w:val="1F1D3DF2"/>
    <w:rsid w:val="1F201CD6"/>
    <w:rsid w:val="1F287A49"/>
    <w:rsid w:val="1F3802BD"/>
    <w:rsid w:val="1F43738D"/>
    <w:rsid w:val="1F444E82"/>
    <w:rsid w:val="1F460C2C"/>
    <w:rsid w:val="1F470500"/>
    <w:rsid w:val="1F4909C1"/>
    <w:rsid w:val="1F4E3C5A"/>
    <w:rsid w:val="1F4F45DE"/>
    <w:rsid w:val="1F531F3B"/>
    <w:rsid w:val="1F5C0AB2"/>
    <w:rsid w:val="1F5E7203"/>
    <w:rsid w:val="1F7A2683"/>
    <w:rsid w:val="1F7A2879"/>
    <w:rsid w:val="1F7A6409"/>
    <w:rsid w:val="1F7D1AD8"/>
    <w:rsid w:val="1F7E48A7"/>
    <w:rsid w:val="1F7F5EEC"/>
    <w:rsid w:val="1F882DBF"/>
    <w:rsid w:val="1F8916AA"/>
    <w:rsid w:val="1F8C291B"/>
    <w:rsid w:val="1F9A1CD1"/>
    <w:rsid w:val="1F9C62B6"/>
    <w:rsid w:val="1FAD411E"/>
    <w:rsid w:val="1FBE6A14"/>
    <w:rsid w:val="1FD034F4"/>
    <w:rsid w:val="1FD61FB0"/>
    <w:rsid w:val="1FDF7397"/>
    <w:rsid w:val="1FE46EDF"/>
    <w:rsid w:val="1FE540C1"/>
    <w:rsid w:val="1FE7539E"/>
    <w:rsid w:val="1FF82CAC"/>
    <w:rsid w:val="2009466C"/>
    <w:rsid w:val="200E42D5"/>
    <w:rsid w:val="200F716C"/>
    <w:rsid w:val="20372EA8"/>
    <w:rsid w:val="205A4891"/>
    <w:rsid w:val="20671BE0"/>
    <w:rsid w:val="207629DB"/>
    <w:rsid w:val="20901E45"/>
    <w:rsid w:val="20963CB8"/>
    <w:rsid w:val="209D05A3"/>
    <w:rsid w:val="209F70E4"/>
    <w:rsid w:val="20A2726D"/>
    <w:rsid w:val="20A81A1B"/>
    <w:rsid w:val="20A82BF6"/>
    <w:rsid w:val="20B07FB6"/>
    <w:rsid w:val="20B240CD"/>
    <w:rsid w:val="20B646FB"/>
    <w:rsid w:val="20DB25D3"/>
    <w:rsid w:val="20DF7F12"/>
    <w:rsid w:val="20E35BA8"/>
    <w:rsid w:val="20E5422A"/>
    <w:rsid w:val="20EE72F3"/>
    <w:rsid w:val="20EF2E64"/>
    <w:rsid w:val="20F12AFF"/>
    <w:rsid w:val="210B2BCC"/>
    <w:rsid w:val="212343F7"/>
    <w:rsid w:val="21247270"/>
    <w:rsid w:val="21342904"/>
    <w:rsid w:val="213B74B1"/>
    <w:rsid w:val="213D2ACA"/>
    <w:rsid w:val="213E6289"/>
    <w:rsid w:val="213F6249"/>
    <w:rsid w:val="214116AB"/>
    <w:rsid w:val="214334DB"/>
    <w:rsid w:val="214F0823"/>
    <w:rsid w:val="215A2310"/>
    <w:rsid w:val="215C1F60"/>
    <w:rsid w:val="215D400B"/>
    <w:rsid w:val="216915CB"/>
    <w:rsid w:val="216F2EA5"/>
    <w:rsid w:val="217B7656"/>
    <w:rsid w:val="21844E8E"/>
    <w:rsid w:val="218D1C02"/>
    <w:rsid w:val="219D14A9"/>
    <w:rsid w:val="21B47C6D"/>
    <w:rsid w:val="21BB101C"/>
    <w:rsid w:val="21CF1E4C"/>
    <w:rsid w:val="21D012EE"/>
    <w:rsid w:val="21D40771"/>
    <w:rsid w:val="21DE318A"/>
    <w:rsid w:val="21E309B4"/>
    <w:rsid w:val="21EF5B80"/>
    <w:rsid w:val="223041A2"/>
    <w:rsid w:val="22326B0B"/>
    <w:rsid w:val="2234049C"/>
    <w:rsid w:val="22491A5A"/>
    <w:rsid w:val="22576990"/>
    <w:rsid w:val="225E070A"/>
    <w:rsid w:val="225E3FFF"/>
    <w:rsid w:val="225E4115"/>
    <w:rsid w:val="226E1396"/>
    <w:rsid w:val="22755226"/>
    <w:rsid w:val="2279239E"/>
    <w:rsid w:val="228B6E8B"/>
    <w:rsid w:val="229B637C"/>
    <w:rsid w:val="22A609C3"/>
    <w:rsid w:val="22A6428F"/>
    <w:rsid w:val="22A80539"/>
    <w:rsid w:val="22BC2531"/>
    <w:rsid w:val="22BE591E"/>
    <w:rsid w:val="22C27D49"/>
    <w:rsid w:val="22C64D50"/>
    <w:rsid w:val="22E03305"/>
    <w:rsid w:val="22EA5D72"/>
    <w:rsid w:val="22EE22A7"/>
    <w:rsid w:val="22F37AF3"/>
    <w:rsid w:val="22F47480"/>
    <w:rsid w:val="22F95DA7"/>
    <w:rsid w:val="23047F32"/>
    <w:rsid w:val="23051A6C"/>
    <w:rsid w:val="230D0B21"/>
    <w:rsid w:val="232816EB"/>
    <w:rsid w:val="232954D1"/>
    <w:rsid w:val="233E652A"/>
    <w:rsid w:val="233F1C1A"/>
    <w:rsid w:val="23405E8B"/>
    <w:rsid w:val="23500101"/>
    <w:rsid w:val="23542470"/>
    <w:rsid w:val="23594AAF"/>
    <w:rsid w:val="235B1EB5"/>
    <w:rsid w:val="236B1409"/>
    <w:rsid w:val="2378143E"/>
    <w:rsid w:val="238816A6"/>
    <w:rsid w:val="23900C57"/>
    <w:rsid w:val="239F090A"/>
    <w:rsid w:val="23AE0B15"/>
    <w:rsid w:val="23B17065"/>
    <w:rsid w:val="23B46872"/>
    <w:rsid w:val="23B95D62"/>
    <w:rsid w:val="23C039EB"/>
    <w:rsid w:val="23C40B39"/>
    <w:rsid w:val="23CA0846"/>
    <w:rsid w:val="23D15F0E"/>
    <w:rsid w:val="23D23256"/>
    <w:rsid w:val="23DE1C48"/>
    <w:rsid w:val="23DE5AED"/>
    <w:rsid w:val="23DE7685"/>
    <w:rsid w:val="23E13D3F"/>
    <w:rsid w:val="23E5477A"/>
    <w:rsid w:val="23ED0FEE"/>
    <w:rsid w:val="240210CD"/>
    <w:rsid w:val="2402735A"/>
    <w:rsid w:val="241366DD"/>
    <w:rsid w:val="24271A4C"/>
    <w:rsid w:val="242D5F16"/>
    <w:rsid w:val="24307844"/>
    <w:rsid w:val="243657CD"/>
    <w:rsid w:val="24425BEB"/>
    <w:rsid w:val="2452597D"/>
    <w:rsid w:val="245A2A83"/>
    <w:rsid w:val="245A6203"/>
    <w:rsid w:val="24652125"/>
    <w:rsid w:val="2466767A"/>
    <w:rsid w:val="2473727F"/>
    <w:rsid w:val="247E6B60"/>
    <w:rsid w:val="248D640D"/>
    <w:rsid w:val="24937BAB"/>
    <w:rsid w:val="2496358F"/>
    <w:rsid w:val="24995571"/>
    <w:rsid w:val="249D12EE"/>
    <w:rsid w:val="249F6FF9"/>
    <w:rsid w:val="24AB7F91"/>
    <w:rsid w:val="24BF09F7"/>
    <w:rsid w:val="24CF23B3"/>
    <w:rsid w:val="24D1360C"/>
    <w:rsid w:val="24DC244B"/>
    <w:rsid w:val="24ED6427"/>
    <w:rsid w:val="24FB4266"/>
    <w:rsid w:val="25081C09"/>
    <w:rsid w:val="251A5421"/>
    <w:rsid w:val="252D53FE"/>
    <w:rsid w:val="25370978"/>
    <w:rsid w:val="25383ABC"/>
    <w:rsid w:val="253C45FC"/>
    <w:rsid w:val="253E24DE"/>
    <w:rsid w:val="253F1F6B"/>
    <w:rsid w:val="253F23A5"/>
    <w:rsid w:val="254E211A"/>
    <w:rsid w:val="25503E47"/>
    <w:rsid w:val="25585A6C"/>
    <w:rsid w:val="255F2CF9"/>
    <w:rsid w:val="256B6EC8"/>
    <w:rsid w:val="258405FD"/>
    <w:rsid w:val="25890D05"/>
    <w:rsid w:val="258D53F2"/>
    <w:rsid w:val="25A50E8B"/>
    <w:rsid w:val="25AD6221"/>
    <w:rsid w:val="25AF3A82"/>
    <w:rsid w:val="25CF7A95"/>
    <w:rsid w:val="25D37938"/>
    <w:rsid w:val="25D50FD2"/>
    <w:rsid w:val="25DA50B8"/>
    <w:rsid w:val="25EB42DB"/>
    <w:rsid w:val="25EC2D81"/>
    <w:rsid w:val="25EE28CE"/>
    <w:rsid w:val="25FD7243"/>
    <w:rsid w:val="2607591B"/>
    <w:rsid w:val="2628013F"/>
    <w:rsid w:val="262A6217"/>
    <w:rsid w:val="26497999"/>
    <w:rsid w:val="26625831"/>
    <w:rsid w:val="26686A49"/>
    <w:rsid w:val="266D329C"/>
    <w:rsid w:val="267D294B"/>
    <w:rsid w:val="2692029B"/>
    <w:rsid w:val="26946E08"/>
    <w:rsid w:val="26A36F32"/>
    <w:rsid w:val="26B1717E"/>
    <w:rsid w:val="26B172D2"/>
    <w:rsid w:val="26B84AC6"/>
    <w:rsid w:val="26CC152D"/>
    <w:rsid w:val="26D60D75"/>
    <w:rsid w:val="26DA2703"/>
    <w:rsid w:val="26E1105F"/>
    <w:rsid w:val="26E31221"/>
    <w:rsid w:val="26E45641"/>
    <w:rsid w:val="26E711B6"/>
    <w:rsid w:val="26E86A6C"/>
    <w:rsid w:val="26FB0D22"/>
    <w:rsid w:val="26FD6307"/>
    <w:rsid w:val="270A25D3"/>
    <w:rsid w:val="270E26BE"/>
    <w:rsid w:val="270F19C0"/>
    <w:rsid w:val="27120687"/>
    <w:rsid w:val="272F2675"/>
    <w:rsid w:val="273625B5"/>
    <w:rsid w:val="273E668C"/>
    <w:rsid w:val="274014BD"/>
    <w:rsid w:val="27650591"/>
    <w:rsid w:val="277057A2"/>
    <w:rsid w:val="277138B6"/>
    <w:rsid w:val="27725403"/>
    <w:rsid w:val="27955742"/>
    <w:rsid w:val="27AA0283"/>
    <w:rsid w:val="27AC41BF"/>
    <w:rsid w:val="27AE586F"/>
    <w:rsid w:val="27B9695C"/>
    <w:rsid w:val="27D00289"/>
    <w:rsid w:val="27DE1529"/>
    <w:rsid w:val="27EF069B"/>
    <w:rsid w:val="27F34DF1"/>
    <w:rsid w:val="27F65265"/>
    <w:rsid w:val="28041684"/>
    <w:rsid w:val="281126A6"/>
    <w:rsid w:val="28180C8B"/>
    <w:rsid w:val="281B7F5C"/>
    <w:rsid w:val="2821352A"/>
    <w:rsid w:val="282E04AF"/>
    <w:rsid w:val="282F4953"/>
    <w:rsid w:val="283453B9"/>
    <w:rsid w:val="28376F1A"/>
    <w:rsid w:val="283C30BA"/>
    <w:rsid w:val="28411321"/>
    <w:rsid w:val="285717B4"/>
    <w:rsid w:val="285A2C3A"/>
    <w:rsid w:val="285E3543"/>
    <w:rsid w:val="28744219"/>
    <w:rsid w:val="28810F26"/>
    <w:rsid w:val="28861624"/>
    <w:rsid w:val="288B0818"/>
    <w:rsid w:val="2890116A"/>
    <w:rsid w:val="28946C0E"/>
    <w:rsid w:val="289A57AE"/>
    <w:rsid w:val="289A78BF"/>
    <w:rsid w:val="28B03571"/>
    <w:rsid w:val="28D2394E"/>
    <w:rsid w:val="28DE713D"/>
    <w:rsid w:val="28E93320"/>
    <w:rsid w:val="28EC2844"/>
    <w:rsid w:val="28FF0697"/>
    <w:rsid w:val="29037E92"/>
    <w:rsid w:val="290C07F0"/>
    <w:rsid w:val="290F379B"/>
    <w:rsid w:val="29162A75"/>
    <w:rsid w:val="291C1DB1"/>
    <w:rsid w:val="291E606C"/>
    <w:rsid w:val="2920604A"/>
    <w:rsid w:val="29206EB8"/>
    <w:rsid w:val="292B50C5"/>
    <w:rsid w:val="293F464C"/>
    <w:rsid w:val="29487DE9"/>
    <w:rsid w:val="295553E2"/>
    <w:rsid w:val="29595666"/>
    <w:rsid w:val="295D178C"/>
    <w:rsid w:val="29622B06"/>
    <w:rsid w:val="29694110"/>
    <w:rsid w:val="296A276B"/>
    <w:rsid w:val="29791871"/>
    <w:rsid w:val="297F5466"/>
    <w:rsid w:val="29874881"/>
    <w:rsid w:val="2987793B"/>
    <w:rsid w:val="299232A6"/>
    <w:rsid w:val="29946A38"/>
    <w:rsid w:val="29AE31F0"/>
    <w:rsid w:val="29B669AE"/>
    <w:rsid w:val="29B71579"/>
    <w:rsid w:val="29BF1D06"/>
    <w:rsid w:val="29D15596"/>
    <w:rsid w:val="29E166BF"/>
    <w:rsid w:val="29E325E0"/>
    <w:rsid w:val="29F241AB"/>
    <w:rsid w:val="2A0657BD"/>
    <w:rsid w:val="2A10689A"/>
    <w:rsid w:val="2A1664D9"/>
    <w:rsid w:val="2A17569E"/>
    <w:rsid w:val="2A1A63D4"/>
    <w:rsid w:val="2A2203B4"/>
    <w:rsid w:val="2A3407E7"/>
    <w:rsid w:val="2A452503"/>
    <w:rsid w:val="2A4915D0"/>
    <w:rsid w:val="2A495967"/>
    <w:rsid w:val="2A586F08"/>
    <w:rsid w:val="2A595F18"/>
    <w:rsid w:val="2A6F620B"/>
    <w:rsid w:val="2A730053"/>
    <w:rsid w:val="2A7725E2"/>
    <w:rsid w:val="2A781D44"/>
    <w:rsid w:val="2A791D32"/>
    <w:rsid w:val="2A877B1C"/>
    <w:rsid w:val="2AB43A04"/>
    <w:rsid w:val="2ABC33A0"/>
    <w:rsid w:val="2AC113A8"/>
    <w:rsid w:val="2AC62626"/>
    <w:rsid w:val="2ACC2084"/>
    <w:rsid w:val="2ADB2B70"/>
    <w:rsid w:val="2ADF097C"/>
    <w:rsid w:val="2AEE3EDB"/>
    <w:rsid w:val="2AF958C0"/>
    <w:rsid w:val="2AFF4EF0"/>
    <w:rsid w:val="2B1129CD"/>
    <w:rsid w:val="2B1C0A93"/>
    <w:rsid w:val="2B377242"/>
    <w:rsid w:val="2B401485"/>
    <w:rsid w:val="2B443C45"/>
    <w:rsid w:val="2B471050"/>
    <w:rsid w:val="2B512E32"/>
    <w:rsid w:val="2B590B65"/>
    <w:rsid w:val="2B820861"/>
    <w:rsid w:val="2B881177"/>
    <w:rsid w:val="2B8917CA"/>
    <w:rsid w:val="2B8F74B6"/>
    <w:rsid w:val="2B90601E"/>
    <w:rsid w:val="2B996587"/>
    <w:rsid w:val="2BA936A8"/>
    <w:rsid w:val="2BBD01E6"/>
    <w:rsid w:val="2BC53E62"/>
    <w:rsid w:val="2BC64BFD"/>
    <w:rsid w:val="2BCD1266"/>
    <w:rsid w:val="2BD20DC4"/>
    <w:rsid w:val="2BD54C3B"/>
    <w:rsid w:val="2BEA293F"/>
    <w:rsid w:val="2BF62163"/>
    <w:rsid w:val="2BFB2D9E"/>
    <w:rsid w:val="2C00159F"/>
    <w:rsid w:val="2C002162"/>
    <w:rsid w:val="2C06577C"/>
    <w:rsid w:val="2C0F5C65"/>
    <w:rsid w:val="2C180249"/>
    <w:rsid w:val="2C1837DA"/>
    <w:rsid w:val="2C1C2E82"/>
    <w:rsid w:val="2C2F3F8A"/>
    <w:rsid w:val="2C315A5A"/>
    <w:rsid w:val="2C3F3A3F"/>
    <w:rsid w:val="2C427500"/>
    <w:rsid w:val="2C4B1C25"/>
    <w:rsid w:val="2C5153C8"/>
    <w:rsid w:val="2C551ED6"/>
    <w:rsid w:val="2C607DB5"/>
    <w:rsid w:val="2C645A26"/>
    <w:rsid w:val="2C944B1F"/>
    <w:rsid w:val="2CA91F1B"/>
    <w:rsid w:val="2CAC0E9E"/>
    <w:rsid w:val="2CAD68B3"/>
    <w:rsid w:val="2CB02C71"/>
    <w:rsid w:val="2CB27BAA"/>
    <w:rsid w:val="2CB76CC5"/>
    <w:rsid w:val="2CB8734A"/>
    <w:rsid w:val="2CBA64E5"/>
    <w:rsid w:val="2CBB7FB4"/>
    <w:rsid w:val="2CBF3DCB"/>
    <w:rsid w:val="2CC75E05"/>
    <w:rsid w:val="2CD23AFF"/>
    <w:rsid w:val="2CDE503A"/>
    <w:rsid w:val="2CEB2E12"/>
    <w:rsid w:val="2CF16525"/>
    <w:rsid w:val="2CF36675"/>
    <w:rsid w:val="2CF94456"/>
    <w:rsid w:val="2CFC21B6"/>
    <w:rsid w:val="2CFF648F"/>
    <w:rsid w:val="2D02113F"/>
    <w:rsid w:val="2D0E1BE3"/>
    <w:rsid w:val="2D3E1194"/>
    <w:rsid w:val="2D490D28"/>
    <w:rsid w:val="2D494E8B"/>
    <w:rsid w:val="2D5C68D0"/>
    <w:rsid w:val="2D6B4BCF"/>
    <w:rsid w:val="2D77627C"/>
    <w:rsid w:val="2D79676C"/>
    <w:rsid w:val="2D814E8D"/>
    <w:rsid w:val="2D881F35"/>
    <w:rsid w:val="2D922E47"/>
    <w:rsid w:val="2D9640F8"/>
    <w:rsid w:val="2D9E56F5"/>
    <w:rsid w:val="2DA200BD"/>
    <w:rsid w:val="2DA61B3F"/>
    <w:rsid w:val="2DA76D39"/>
    <w:rsid w:val="2DAD7637"/>
    <w:rsid w:val="2DC317E1"/>
    <w:rsid w:val="2DC77864"/>
    <w:rsid w:val="2DD43DE3"/>
    <w:rsid w:val="2DE97352"/>
    <w:rsid w:val="2DED721D"/>
    <w:rsid w:val="2DF226E3"/>
    <w:rsid w:val="2DFC2A49"/>
    <w:rsid w:val="2E0B627D"/>
    <w:rsid w:val="2E144AF5"/>
    <w:rsid w:val="2E203C3B"/>
    <w:rsid w:val="2E2272E9"/>
    <w:rsid w:val="2E2A540D"/>
    <w:rsid w:val="2E3245EA"/>
    <w:rsid w:val="2E400CB9"/>
    <w:rsid w:val="2E41718E"/>
    <w:rsid w:val="2E641D37"/>
    <w:rsid w:val="2E667F96"/>
    <w:rsid w:val="2E755089"/>
    <w:rsid w:val="2E813DEA"/>
    <w:rsid w:val="2E8226AB"/>
    <w:rsid w:val="2EAD7389"/>
    <w:rsid w:val="2EB46549"/>
    <w:rsid w:val="2EC41B6D"/>
    <w:rsid w:val="2ED525B2"/>
    <w:rsid w:val="2ED962FD"/>
    <w:rsid w:val="2EDA7506"/>
    <w:rsid w:val="2EEF2DCE"/>
    <w:rsid w:val="2EF75CD3"/>
    <w:rsid w:val="2EFF35B6"/>
    <w:rsid w:val="2F00064C"/>
    <w:rsid w:val="2F115138"/>
    <w:rsid w:val="2F1D2D3B"/>
    <w:rsid w:val="2F226060"/>
    <w:rsid w:val="2F3B40B6"/>
    <w:rsid w:val="2F4848D5"/>
    <w:rsid w:val="2F4D1B62"/>
    <w:rsid w:val="2F5A564E"/>
    <w:rsid w:val="2F7502C5"/>
    <w:rsid w:val="2F7F6BE0"/>
    <w:rsid w:val="2F8B4A44"/>
    <w:rsid w:val="2F962940"/>
    <w:rsid w:val="2FA37B9C"/>
    <w:rsid w:val="2FB42DB3"/>
    <w:rsid w:val="2FBE65BC"/>
    <w:rsid w:val="2FC1778B"/>
    <w:rsid w:val="2FCB5289"/>
    <w:rsid w:val="2FD065E6"/>
    <w:rsid w:val="2FD72311"/>
    <w:rsid w:val="2FD958E5"/>
    <w:rsid w:val="2FD96870"/>
    <w:rsid w:val="2FE37E07"/>
    <w:rsid w:val="2FE76657"/>
    <w:rsid w:val="2FEB5CCB"/>
    <w:rsid w:val="2FF7560F"/>
    <w:rsid w:val="300C114D"/>
    <w:rsid w:val="301B4F92"/>
    <w:rsid w:val="3028779C"/>
    <w:rsid w:val="302968D7"/>
    <w:rsid w:val="302C03F7"/>
    <w:rsid w:val="302E54F0"/>
    <w:rsid w:val="303113B8"/>
    <w:rsid w:val="3050270A"/>
    <w:rsid w:val="30580BC9"/>
    <w:rsid w:val="30580D83"/>
    <w:rsid w:val="305B04DC"/>
    <w:rsid w:val="305D5FB4"/>
    <w:rsid w:val="306144C2"/>
    <w:rsid w:val="306249F7"/>
    <w:rsid w:val="30747008"/>
    <w:rsid w:val="30782E12"/>
    <w:rsid w:val="307849BD"/>
    <w:rsid w:val="307901F6"/>
    <w:rsid w:val="3079479F"/>
    <w:rsid w:val="307A6987"/>
    <w:rsid w:val="308024E0"/>
    <w:rsid w:val="30813F34"/>
    <w:rsid w:val="30890A4E"/>
    <w:rsid w:val="309E44B3"/>
    <w:rsid w:val="30A15A78"/>
    <w:rsid w:val="30AF5B5F"/>
    <w:rsid w:val="30BF32D5"/>
    <w:rsid w:val="30C26EA2"/>
    <w:rsid w:val="30C714A1"/>
    <w:rsid w:val="30CF5860"/>
    <w:rsid w:val="30D637A0"/>
    <w:rsid w:val="30E02716"/>
    <w:rsid w:val="30EC1B24"/>
    <w:rsid w:val="31027F2E"/>
    <w:rsid w:val="310C6F29"/>
    <w:rsid w:val="31157096"/>
    <w:rsid w:val="311E2ED7"/>
    <w:rsid w:val="312904BD"/>
    <w:rsid w:val="313373C2"/>
    <w:rsid w:val="313B1D24"/>
    <w:rsid w:val="31414939"/>
    <w:rsid w:val="314676D2"/>
    <w:rsid w:val="31485FD5"/>
    <w:rsid w:val="314F3242"/>
    <w:rsid w:val="315619EE"/>
    <w:rsid w:val="315C449C"/>
    <w:rsid w:val="315E0057"/>
    <w:rsid w:val="3172719C"/>
    <w:rsid w:val="317D1FE9"/>
    <w:rsid w:val="318200EF"/>
    <w:rsid w:val="318A02A8"/>
    <w:rsid w:val="319A692C"/>
    <w:rsid w:val="319B2738"/>
    <w:rsid w:val="31A01276"/>
    <w:rsid w:val="31A64B89"/>
    <w:rsid w:val="31B430B6"/>
    <w:rsid w:val="31B82709"/>
    <w:rsid w:val="31BE27A2"/>
    <w:rsid w:val="31C75A3E"/>
    <w:rsid w:val="31D05482"/>
    <w:rsid w:val="31E634FA"/>
    <w:rsid w:val="31E65DCA"/>
    <w:rsid w:val="31EF078B"/>
    <w:rsid w:val="31FB2BAF"/>
    <w:rsid w:val="32057A4B"/>
    <w:rsid w:val="322C1F03"/>
    <w:rsid w:val="322C2F50"/>
    <w:rsid w:val="322D3335"/>
    <w:rsid w:val="323120B0"/>
    <w:rsid w:val="32333292"/>
    <w:rsid w:val="323E0C08"/>
    <w:rsid w:val="323F1D77"/>
    <w:rsid w:val="32400B34"/>
    <w:rsid w:val="32483DBE"/>
    <w:rsid w:val="32562457"/>
    <w:rsid w:val="326A58CB"/>
    <w:rsid w:val="327A0EC0"/>
    <w:rsid w:val="32807B59"/>
    <w:rsid w:val="329A6E6D"/>
    <w:rsid w:val="329E6876"/>
    <w:rsid w:val="32A83546"/>
    <w:rsid w:val="32AA034D"/>
    <w:rsid w:val="32B63E62"/>
    <w:rsid w:val="32B67A1F"/>
    <w:rsid w:val="32B819E9"/>
    <w:rsid w:val="32C50ADC"/>
    <w:rsid w:val="32D06D32"/>
    <w:rsid w:val="32DB572A"/>
    <w:rsid w:val="32F60B0A"/>
    <w:rsid w:val="32F96D68"/>
    <w:rsid w:val="32FF13C6"/>
    <w:rsid w:val="330257C9"/>
    <w:rsid w:val="330C4825"/>
    <w:rsid w:val="33136C1F"/>
    <w:rsid w:val="33154745"/>
    <w:rsid w:val="331B3F95"/>
    <w:rsid w:val="331D093C"/>
    <w:rsid w:val="332D397C"/>
    <w:rsid w:val="333015F2"/>
    <w:rsid w:val="333410B8"/>
    <w:rsid w:val="33353039"/>
    <w:rsid w:val="33371D0F"/>
    <w:rsid w:val="33384413"/>
    <w:rsid w:val="333F17C2"/>
    <w:rsid w:val="334B6320"/>
    <w:rsid w:val="33753436"/>
    <w:rsid w:val="337B7D4E"/>
    <w:rsid w:val="338568C1"/>
    <w:rsid w:val="338F1BE3"/>
    <w:rsid w:val="339549E3"/>
    <w:rsid w:val="339C16BF"/>
    <w:rsid w:val="33A60567"/>
    <w:rsid w:val="33A65CE5"/>
    <w:rsid w:val="33AC59DD"/>
    <w:rsid w:val="33C61EE3"/>
    <w:rsid w:val="33C84132"/>
    <w:rsid w:val="33CD5020"/>
    <w:rsid w:val="33D22636"/>
    <w:rsid w:val="33D934D4"/>
    <w:rsid w:val="33DC5628"/>
    <w:rsid w:val="33E505BB"/>
    <w:rsid w:val="33E93EA4"/>
    <w:rsid w:val="33EA2EAA"/>
    <w:rsid w:val="33F13DEB"/>
    <w:rsid w:val="33FE2F6A"/>
    <w:rsid w:val="33FE6A65"/>
    <w:rsid w:val="340058F6"/>
    <w:rsid w:val="34006B53"/>
    <w:rsid w:val="340C5B48"/>
    <w:rsid w:val="340E07E5"/>
    <w:rsid w:val="340E655D"/>
    <w:rsid w:val="34130627"/>
    <w:rsid w:val="3416662C"/>
    <w:rsid w:val="34194E06"/>
    <w:rsid w:val="341A5DA1"/>
    <w:rsid w:val="34235BF7"/>
    <w:rsid w:val="34314BE8"/>
    <w:rsid w:val="343E1A7A"/>
    <w:rsid w:val="3441276F"/>
    <w:rsid w:val="34492967"/>
    <w:rsid w:val="344C7CA7"/>
    <w:rsid w:val="345179FF"/>
    <w:rsid w:val="34640138"/>
    <w:rsid w:val="34692F9B"/>
    <w:rsid w:val="34713BFD"/>
    <w:rsid w:val="348251B4"/>
    <w:rsid w:val="348959AF"/>
    <w:rsid w:val="3490464D"/>
    <w:rsid w:val="34905811"/>
    <w:rsid w:val="34953FB3"/>
    <w:rsid w:val="34A16C41"/>
    <w:rsid w:val="34A32FD9"/>
    <w:rsid w:val="34A83397"/>
    <w:rsid w:val="34A909EF"/>
    <w:rsid w:val="34B1075F"/>
    <w:rsid w:val="34C435B9"/>
    <w:rsid w:val="34C74D5B"/>
    <w:rsid w:val="34DD6A4D"/>
    <w:rsid w:val="34EA2B95"/>
    <w:rsid w:val="34F14935"/>
    <w:rsid w:val="34F556D6"/>
    <w:rsid w:val="34FD7B87"/>
    <w:rsid w:val="35074561"/>
    <w:rsid w:val="35097EED"/>
    <w:rsid w:val="35281917"/>
    <w:rsid w:val="35440528"/>
    <w:rsid w:val="354B08F2"/>
    <w:rsid w:val="354D1062"/>
    <w:rsid w:val="3552098C"/>
    <w:rsid w:val="355354A3"/>
    <w:rsid w:val="35541329"/>
    <w:rsid w:val="35802BA4"/>
    <w:rsid w:val="35812566"/>
    <w:rsid w:val="358C5FA8"/>
    <w:rsid w:val="35991FA2"/>
    <w:rsid w:val="35A579D6"/>
    <w:rsid w:val="35A8739A"/>
    <w:rsid w:val="35B23CF5"/>
    <w:rsid w:val="35C15DF1"/>
    <w:rsid w:val="35C772F1"/>
    <w:rsid w:val="35CB5662"/>
    <w:rsid w:val="35EE06C2"/>
    <w:rsid w:val="35FB2318"/>
    <w:rsid w:val="36054F45"/>
    <w:rsid w:val="36074A7F"/>
    <w:rsid w:val="360B4810"/>
    <w:rsid w:val="361433DA"/>
    <w:rsid w:val="36154BBE"/>
    <w:rsid w:val="361A280A"/>
    <w:rsid w:val="362A7BEC"/>
    <w:rsid w:val="3634608C"/>
    <w:rsid w:val="36374164"/>
    <w:rsid w:val="363933A9"/>
    <w:rsid w:val="363A5E9E"/>
    <w:rsid w:val="363C35F5"/>
    <w:rsid w:val="36435A6D"/>
    <w:rsid w:val="36527A5E"/>
    <w:rsid w:val="365529C5"/>
    <w:rsid w:val="365F1993"/>
    <w:rsid w:val="366C54A9"/>
    <w:rsid w:val="367A02D1"/>
    <w:rsid w:val="368E77D3"/>
    <w:rsid w:val="36923549"/>
    <w:rsid w:val="36A77925"/>
    <w:rsid w:val="36AF531D"/>
    <w:rsid w:val="36B75FBF"/>
    <w:rsid w:val="36BD0C45"/>
    <w:rsid w:val="36C66279"/>
    <w:rsid w:val="36D9758D"/>
    <w:rsid w:val="36DD37CC"/>
    <w:rsid w:val="36DE1179"/>
    <w:rsid w:val="36DF0953"/>
    <w:rsid w:val="36EB609A"/>
    <w:rsid w:val="36ED33D8"/>
    <w:rsid w:val="36F2707A"/>
    <w:rsid w:val="36FB1EA4"/>
    <w:rsid w:val="37227431"/>
    <w:rsid w:val="373E053D"/>
    <w:rsid w:val="3741542E"/>
    <w:rsid w:val="374F2A72"/>
    <w:rsid w:val="377838EB"/>
    <w:rsid w:val="378D593A"/>
    <w:rsid w:val="37A24506"/>
    <w:rsid w:val="37B728D6"/>
    <w:rsid w:val="37D35D76"/>
    <w:rsid w:val="37E00298"/>
    <w:rsid w:val="380466D4"/>
    <w:rsid w:val="3824488A"/>
    <w:rsid w:val="38345DAA"/>
    <w:rsid w:val="385E3270"/>
    <w:rsid w:val="387B17BA"/>
    <w:rsid w:val="38806B05"/>
    <w:rsid w:val="388F4FD2"/>
    <w:rsid w:val="3890759E"/>
    <w:rsid w:val="38915133"/>
    <w:rsid w:val="389A2DB1"/>
    <w:rsid w:val="389C3E7B"/>
    <w:rsid w:val="38A81BB8"/>
    <w:rsid w:val="38B14F10"/>
    <w:rsid w:val="38B22A36"/>
    <w:rsid w:val="38B302F9"/>
    <w:rsid w:val="38BF44FC"/>
    <w:rsid w:val="38CB2726"/>
    <w:rsid w:val="38CC28AC"/>
    <w:rsid w:val="38D1110E"/>
    <w:rsid w:val="38DB4659"/>
    <w:rsid w:val="38EB162A"/>
    <w:rsid w:val="38EF3C8A"/>
    <w:rsid w:val="38F12CD3"/>
    <w:rsid w:val="38F94775"/>
    <w:rsid w:val="38FF6067"/>
    <w:rsid w:val="39000DA1"/>
    <w:rsid w:val="390813F7"/>
    <w:rsid w:val="39176D4F"/>
    <w:rsid w:val="391C5DFD"/>
    <w:rsid w:val="39264E28"/>
    <w:rsid w:val="392971ED"/>
    <w:rsid w:val="39325651"/>
    <w:rsid w:val="3936156B"/>
    <w:rsid w:val="39453E83"/>
    <w:rsid w:val="394D08EF"/>
    <w:rsid w:val="395A55A8"/>
    <w:rsid w:val="396762B0"/>
    <w:rsid w:val="396C0E37"/>
    <w:rsid w:val="397E6AA8"/>
    <w:rsid w:val="39835C21"/>
    <w:rsid w:val="3988324A"/>
    <w:rsid w:val="3989583B"/>
    <w:rsid w:val="398F0871"/>
    <w:rsid w:val="3996367A"/>
    <w:rsid w:val="39982D9B"/>
    <w:rsid w:val="399E6C2A"/>
    <w:rsid w:val="39A24209"/>
    <w:rsid w:val="39AA6DB1"/>
    <w:rsid w:val="39AB195F"/>
    <w:rsid w:val="39AE3D58"/>
    <w:rsid w:val="39B32F0A"/>
    <w:rsid w:val="39C25518"/>
    <w:rsid w:val="39C76A78"/>
    <w:rsid w:val="39E01283"/>
    <w:rsid w:val="39E15DFE"/>
    <w:rsid w:val="39F00E7C"/>
    <w:rsid w:val="39F84B92"/>
    <w:rsid w:val="3A0014F8"/>
    <w:rsid w:val="3A0472C2"/>
    <w:rsid w:val="3A070962"/>
    <w:rsid w:val="3A0C41F8"/>
    <w:rsid w:val="3A145911"/>
    <w:rsid w:val="3A1871C0"/>
    <w:rsid w:val="3A1E3DFC"/>
    <w:rsid w:val="3A1F49ED"/>
    <w:rsid w:val="3A1F6F22"/>
    <w:rsid w:val="3A1F723D"/>
    <w:rsid w:val="3A223A67"/>
    <w:rsid w:val="3A2E0608"/>
    <w:rsid w:val="3A362FF2"/>
    <w:rsid w:val="3A39340F"/>
    <w:rsid w:val="3A4B731C"/>
    <w:rsid w:val="3A517BD4"/>
    <w:rsid w:val="3A57657B"/>
    <w:rsid w:val="3A595CF7"/>
    <w:rsid w:val="3A5F3E45"/>
    <w:rsid w:val="3A6768C1"/>
    <w:rsid w:val="3A744F1A"/>
    <w:rsid w:val="3A7744C9"/>
    <w:rsid w:val="3A7A1187"/>
    <w:rsid w:val="3A872856"/>
    <w:rsid w:val="3A8F74D3"/>
    <w:rsid w:val="3A900B55"/>
    <w:rsid w:val="3A904086"/>
    <w:rsid w:val="3A947373"/>
    <w:rsid w:val="3A976388"/>
    <w:rsid w:val="3A9A4F6E"/>
    <w:rsid w:val="3AA627A2"/>
    <w:rsid w:val="3AAA10C4"/>
    <w:rsid w:val="3ABE36C4"/>
    <w:rsid w:val="3ABF4965"/>
    <w:rsid w:val="3AD924FC"/>
    <w:rsid w:val="3AE27A6A"/>
    <w:rsid w:val="3AF7073E"/>
    <w:rsid w:val="3B0034B8"/>
    <w:rsid w:val="3B09145C"/>
    <w:rsid w:val="3B0D5E16"/>
    <w:rsid w:val="3B162443"/>
    <w:rsid w:val="3B1B4500"/>
    <w:rsid w:val="3B3763D1"/>
    <w:rsid w:val="3B385475"/>
    <w:rsid w:val="3B3E6803"/>
    <w:rsid w:val="3B4433EB"/>
    <w:rsid w:val="3B5023D2"/>
    <w:rsid w:val="3B62588A"/>
    <w:rsid w:val="3B6567D9"/>
    <w:rsid w:val="3B6E53B8"/>
    <w:rsid w:val="3B6E5D18"/>
    <w:rsid w:val="3B883AF7"/>
    <w:rsid w:val="3B952F7B"/>
    <w:rsid w:val="3B9B1905"/>
    <w:rsid w:val="3B9C6A9A"/>
    <w:rsid w:val="3B9D6280"/>
    <w:rsid w:val="3BB15227"/>
    <w:rsid w:val="3BB224BC"/>
    <w:rsid w:val="3BD524E5"/>
    <w:rsid w:val="3BD840B2"/>
    <w:rsid w:val="3BDC59AB"/>
    <w:rsid w:val="3BE17DA3"/>
    <w:rsid w:val="3BE70966"/>
    <w:rsid w:val="3BE83A2C"/>
    <w:rsid w:val="3BEF445D"/>
    <w:rsid w:val="3C041100"/>
    <w:rsid w:val="3C111FF4"/>
    <w:rsid w:val="3C127CC8"/>
    <w:rsid w:val="3C2038FC"/>
    <w:rsid w:val="3C2F6E1E"/>
    <w:rsid w:val="3C394820"/>
    <w:rsid w:val="3C3A521C"/>
    <w:rsid w:val="3C3E3836"/>
    <w:rsid w:val="3C40428D"/>
    <w:rsid w:val="3C4F64BA"/>
    <w:rsid w:val="3C7D7077"/>
    <w:rsid w:val="3C8B6CBF"/>
    <w:rsid w:val="3C9431F9"/>
    <w:rsid w:val="3CA36EF1"/>
    <w:rsid w:val="3CAB7EC8"/>
    <w:rsid w:val="3CAD3C40"/>
    <w:rsid w:val="3CC237E7"/>
    <w:rsid w:val="3CCC277F"/>
    <w:rsid w:val="3CD70CBD"/>
    <w:rsid w:val="3CDA245A"/>
    <w:rsid w:val="3CDA6D8D"/>
    <w:rsid w:val="3CE90AF8"/>
    <w:rsid w:val="3CF937ED"/>
    <w:rsid w:val="3D0258E5"/>
    <w:rsid w:val="3D0E6FAD"/>
    <w:rsid w:val="3D1102BC"/>
    <w:rsid w:val="3D1E06B7"/>
    <w:rsid w:val="3D485717"/>
    <w:rsid w:val="3D4F4085"/>
    <w:rsid w:val="3D595B76"/>
    <w:rsid w:val="3D5D7B58"/>
    <w:rsid w:val="3D69400B"/>
    <w:rsid w:val="3D6F6CC7"/>
    <w:rsid w:val="3D705625"/>
    <w:rsid w:val="3D712A35"/>
    <w:rsid w:val="3D712DA8"/>
    <w:rsid w:val="3D735E5D"/>
    <w:rsid w:val="3D804559"/>
    <w:rsid w:val="3D8375A8"/>
    <w:rsid w:val="3D8B5F3C"/>
    <w:rsid w:val="3D911D0F"/>
    <w:rsid w:val="3D911DB6"/>
    <w:rsid w:val="3D93195B"/>
    <w:rsid w:val="3D98044D"/>
    <w:rsid w:val="3D9A475C"/>
    <w:rsid w:val="3DAC3EF8"/>
    <w:rsid w:val="3DAD746C"/>
    <w:rsid w:val="3DC32253"/>
    <w:rsid w:val="3DC47494"/>
    <w:rsid w:val="3DCC3B59"/>
    <w:rsid w:val="3DE80703"/>
    <w:rsid w:val="3DEC124D"/>
    <w:rsid w:val="3E0549A7"/>
    <w:rsid w:val="3E0C5CCA"/>
    <w:rsid w:val="3E123F4D"/>
    <w:rsid w:val="3E1567D6"/>
    <w:rsid w:val="3E16434E"/>
    <w:rsid w:val="3E173A67"/>
    <w:rsid w:val="3E200354"/>
    <w:rsid w:val="3E245B3A"/>
    <w:rsid w:val="3E2E18E1"/>
    <w:rsid w:val="3E4603DF"/>
    <w:rsid w:val="3E4A6F89"/>
    <w:rsid w:val="3E4B1B85"/>
    <w:rsid w:val="3E4C3E35"/>
    <w:rsid w:val="3E52056E"/>
    <w:rsid w:val="3E55633E"/>
    <w:rsid w:val="3E5604CF"/>
    <w:rsid w:val="3E677E1A"/>
    <w:rsid w:val="3E6E0840"/>
    <w:rsid w:val="3E794D72"/>
    <w:rsid w:val="3E7F7480"/>
    <w:rsid w:val="3E9D39D1"/>
    <w:rsid w:val="3E9E1DC8"/>
    <w:rsid w:val="3EA10D76"/>
    <w:rsid w:val="3EA42950"/>
    <w:rsid w:val="3EAC77A8"/>
    <w:rsid w:val="3EAD0A3C"/>
    <w:rsid w:val="3EB07F21"/>
    <w:rsid w:val="3EB158B4"/>
    <w:rsid w:val="3EC719BD"/>
    <w:rsid w:val="3EC94F36"/>
    <w:rsid w:val="3EDA0523"/>
    <w:rsid w:val="3EDA6843"/>
    <w:rsid w:val="3EDB7C70"/>
    <w:rsid w:val="3EDC080D"/>
    <w:rsid w:val="3EE7715E"/>
    <w:rsid w:val="3EEC30CD"/>
    <w:rsid w:val="3EF66EA0"/>
    <w:rsid w:val="3F0528A9"/>
    <w:rsid w:val="3F07032A"/>
    <w:rsid w:val="3F0D39C5"/>
    <w:rsid w:val="3F1251DD"/>
    <w:rsid w:val="3F16135B"/>
    <w:rsid w:val="3F2A03B8"/>
    <w:rsid w:val="3F2F79B1"/>
    <w:rsid w:val="3F35130F"/>
    <w:rsid w:val="3F3D5750"/>
    <w:rsid w:val="3F432046"/>
    <w:rsid w:val="3F450755"/>
    <w:rsid w:val="3F4F0EB9"/>
    <w:rsid w:val="3F52038B"/>
    <w:rsid w:val="3F5C43D8"/>
    <w:rsid w:val="3F5D194E"/>
    <w:rsid w:val="3F681B3C"/>
    <w:rsid w:val="3F8844F1"/>
    <w:rsid w:val="3F9061E8"/>
    <w:rsid w:val="3F9409E8"/>
    <w:rsid w:val="3F973473"/>
    <w:rsid w:val="3F9C111B"/>
    <w:rsid w:val="3FB441E8"/>
    <w:rsid w:val="3FBB53FE"/>
    <w:rsid w:val="3FBC5831"/>
    <w:rsid w:val="3FE67B95"/>
    <w:rsid w:val="3FFA719D"/>
    <w:rsid w:val="40013DED"/>
    <w:rsid w:val="400B5EE1"/>
    <w:rsid w:val="400C5122"/>
    <w:rsid w:val="401A6817"/>
    <w:rsid w:val="401C35B7"/>
    <w:rsid w:val="401D592F"/>
    <w:rsid w:val="40213B08"/>
    <w:rsid w:val="40385BC7"/>
    <w:rsid w:val="403F4284"/>
    <w:rsid w:val="40444319"/>
    <w:rsid w:val="4046205E"/>
    <w:rsid w:val="404B1BBF"/>
    <w:rsid w:val="404B5C4A"/>
    <w:rsid w:val="40605D49"/>
    <w:rsid w:val="406F753E"/>
    <w:rsid w:val="407A6407"/>
    <w:rsid w:val="4081341A"/>
    <w:rsid w:val="40866647"/>
    <w:rsid w:val="40955CE8"/>
    <w:rsid w:val="409E4407"/>
    <w:rsid w:val="409F7D44"/>
    <w:rsid w:val="40A03222"/>
    <w:rsid w:val="40A54574"/>
    <w:rsid w:val="40B63F9D"/>
    <w:rsid w:val="40C81C57"/>
    <w:rsid w:val="40D32EA1"/>
    <w:rsid w:val="40F10E8D"/>
    <w:rsid w:val="40F56C13"/>
    <w:rsid w:val="4101361B"/>
    <w:rsid w:val="410B4AEC"/>
    <w:rsid w:val="41126768"/>
    <w:rsid w:val="414068AB"/>
    <w:rsid w:val="414267BB"/>
    <w:rsid w:val="41481261"/>
    <w:rsid w:val="414C5FB7"/>
    <w:rsid w:val="415F7893"/>
    <w:rsid w:val="416219AA"/>
    <w:rsid w:val="417005D0"/>
    <w:rsid w:val="41700E60"/>
    <w:rsid w:val="417501F3"/>
    <w:rsid w:val="418036D2"/>
    <w:rsid w:val="41851F72"/>
    <w:rsid w:val="418A51C3"/>
    <w:rsid w:val="418B0A0C"/>
    <w:rsid w:val="418D25D4"/>
    <w:rsid w:val="41931657"/>
    <w:rsid w:val="41A549A6"/>
    <w:rsid w:val="41C2018E"/>
    <w:rsid w:val="41C46118"/>
    <w:rsid w:val="41C571F1"/>
    <w:rsid w:val="41C72947"/>
    <w:rsid w:val="41CF7C84"/>
    <w:rsid w:val="41D35DB3"/>
    <w:rsid w:val="41F112A8"/>
    <w:rsid w:val="41F90BCB"/>
    <w:rsid w:val="41FB712D"/>
    <w:rsid w:val="4200449D"/>
    <w:rsid w:val="42075E9B"/>
    <w:rsid w:val="420A65BA"/>
    <w:rsid w:val="42165DE4"/>
    <w:rsid w:val="42176C30"/>
    <w:rsid w:val="422B5D33"/>
    <w:rsid w:val="423233D1"/>
    <w:rsid w:val="423519F1"/>
    <w:rsid w:val="423A3BCC"/>
    <w:rsid w:val="424012A0"/>
    <w:rsid w:val="42411C0E"/>
    <w:rsid w:val="42437F21"/>
    <w:rsid w:val="424628AB"/>
    <w:rsid w:val="424D693C"/>
    <w:rsid w:val="424E57D2"/>
    <w:rsid w:val="42537038"/>
    <w:rsid w:val="426223B3"/>
    <w:rsid w:val="42624267"/>
    <w:rsid w:val="42641F50"/>
    <w:rsid w:val="427E73AA"/>
    <w:rsid w:val="4286618F"/>
    <w:rsid w:val="42936265"/>
    <w:rsid w:val="42A96C58"/>
    <w:rsid w:val="42AC04F6"/>
    <w:rsid w:val="42B065B6"/>
    <w:rsid w:val="42B258B2"/>
    <w:rsid w:val="42B26C49"/>
    <w:rsid w:val="42B461C0"/>
    <w:rsid w:val="42B74A1D"/>
    <w:rsid w:val="42BA6AD8"/>
    <w:rsid w:val="42C929D3"/>
    <w:rsid w:val="42DD0E2A"/>
    <w:rsid w:val="42E257DE"/>
    <w:rsid w:val="42E7262C"/>
    <w:rsid w:val="42E735CA"/>
    <w:rsid w:val="42E83977"/>
    <w:rsid w:val="42ED2FE9"/>
    <w:rsid w:val="42EF5DC0"/>
    <w:rsid w:val="42F02F70"/>
    <w:rsid w:val="42FA74B4"/>
    <w:rsid w:val="43194A98"/>
    <w:rsid w:val="431B5D3D"/>
    <w:rsid w:val="433A6FE6"/>
    <w:rsid w:val="433C429A"/>
    <w:rsid w:val="43480868"/>
    <w:rsid w:val="4350713C"/>
    <w:rsid w:val="43560B8E"/>
    <w:rsid w:val="43617EF5"/>
    <w:rsid w:val="43640964"/>
    <w:rsid w:val="436653E0"/>
    <w:rsid w:val="43717FFF"/>
    <w:rsid w:val="43772B55"/>
    <w:rsid w:val="437D220C"/>
    <w:rsid w:val="437E6337"/>
    <w:rsid w:val="438737CF"/>
    <w:rsid w:val="438C4088"/>
    <w:rsid w:val="43994E6F"/>
    <w:rsid w:val="439A0446"/>
    <w:rsid w:val="439F1631"/>
    <w:rsid w:val="43AA0EDA"/>
    <w:rsid w:val="43B12268"/>
    <w:rsid w:val="43B66A63"/>
    <w:rsid w:val="43B9111D"/>
    <w:rsid w:val="43B96017"/>
    <w:rsid w:val="43BB5113"/>
    <w:rsid w:val="43C4431A"/>
    <w:rsid w:val="43DD0147"/>
    <w:rsid w:val="43E94FDE"/>
    <w:rsid w:val="43EE5DC0"/>
    <w:rsid w:val="43F87E97"/>
    <w:rsid w:val="441A45BF"/>
    <w:rsid w:val="441C00B7"/>
    <w:rsid w:val="4431114E"/>
    <w:rsid w:val="444C0988"/>
    <w:rsid w:val="444E1587"/>
    <w:rsid w:val="444E5D09"/>
    <w:rsid w:val="44507A83"/>
    <w:rsid w:val="44510CE9"/>
    <w:rsid w:val="445C47A6"/>
    <w:rsid w:val="44654E97"/>
    <w:rsid w:val="446B2DAC"/>
    <w:rsid w:val="446C37BD"/>
    <w:rsid w:val="44702D52"/>
    <w:rsid w:val="4471056C"/>
    <w:rsid w:val="44725A88"/>
    <w:rsid w:val="44776764"/>
    <w:rsid w:val="44AB666E"/>
    <w:rsid w:val="44B66667"/>
    <w:rsid w:val="44B951CC"/>
    <w:rsid w:val="44BF6C07"/>
    <w:rsid w:val="44C67F95"/>
    <w:rsid w:val="44CD14E0"/>
    <w:rsid w:val="44CD4164"/>
    <w:rsid w:val="44E40555"/>
    <w:rsid w:val="44E837FF"/>
    <w:rsid w:val="44EB04C6"/>
    <w:rsid w:val="44F20B0B"/>
    <w:rsid w:val="44FB7914"/>
    <w:rsid w:val="4508235C"/>
    <w:rsid w:val="45276812"/>
    <w:rsid w:val="452A22D2"/>
    <w:rsid w:val="452E5F4C"/>
    <w:rsid w:val="4532610D"/>
    <w:rsid w:val="453356E5"/>
    <w:rsid w:val="453A1118"/>
    <w:rsid w:val="45400D6D"/>
    <w:rsid w:val="455235D7"/>
    <w:rsid w:val="45612018"/>
    <w:rsid w:val="45622520"/>
    <w:rsid w:val="4565330A"/>
    <w:rsid w:val="45677882"/>
    <w:rsid w:val="457D5226"/>
    <w:rsid w:val="458946E9"/>
    <w:rsid w:val="45A47C0E"/>
    <w:rsid w:val="45A5078E"/>
    <w:rsid w:val="45C52F25"/>
    <w:rsid w:val="45C94C84"/>
    <w:rsid w:val="45D64208"/>
    <w:rsid w:val="45D82B59"/>
    <w:rsid w:val="45E259E9"/>
    <w:rsid w:val="45E34E46"/>
    <w:rsid w:val="45E84C42"/>
    <w:rsid w:val="45EC7D85"/>
    <w:rsid w:val="45FC02F0"/>
    <w:rsid w:val="461A1711"/>
    <w:rsid w:val="462A2DAA"/>
    <w:rsid w:val="462B4818"/>
    <w:rsid w:val="46312135"/>
    <w:rsid w:val="46340257"/>
    <w:rsid w:val="463E737E"/>
    <w:rsid w:val="46482159"/>
    <w:rsid w:val="464F5272"/>
    <w:rsid w:val="46511A49"/>
    <w:rsid w:val="46577FD6"/>
    <w:rsid w:val="46701EF8"/>
    <w:rsid w:val="467B65B1"/>
    <w:rsid w:val="468A2F57"/>
    <w:rsid w:val="46972886"/>
    <w:rsid w:val="469B5742"/>
    <w:rsid w:val="469C7026"/>
    <w:rsid w:val="46B634FE"/>
    <w:rsid w:val="46BF41D6"/>
    <w:rsid w:val="46C16C66"/>
    <w:rsid w:val="46C60778"/>
    <w:rsid w:val="46D955A7"/>
    <w:rsid w:val="46E21A1E"/>
    <w:rsid w:val="46E438CF"/>
    <w:rsid w:val="46F04E55"/>
    <w:rsid w:val="46F0611A"/>
    <w:rsid w:val="46F10BCE"/>
    <w:rsid w:val="46FA5CD4"/>
    <w:rsid w:val="470D58A2"/>
    <w:rsid w:val="470E7F94"/>
    <w:rsid w:val="47133957"/>
    <w:rsid w:val="471E3E7B"/>
    <w:rsid w:val="471F40B7"/>
    <w:rsid w:val="472077AF"/>
    <w:rsid w:val="47215D14"/>
    <w:rsid w:val="472D7E58"/>
    <w:rsid w:val="474A0503"/>
    <w:rsid w:val="474D28CA"/>
    <w:rsid w:val="4752621C"/>
    <w:rsid w:val="47681AFC"/>
    <w:rsid w:val="4780708B"/>
    <w:rsid w:val="478A5486"/>
    <w:rsid w:val="478D3B45"/>
    <w:rsid w:val="479472C9"/>
    <w:rsid w:val="47983680"/>
    <w:rsid w:val="479C3463"/>
    <w:rsid w:val="47A07E0C"/>
    <w:rsid w:val="47A83982"/>
    <w:rsid w:val="47AF227A"/>
    <w:rsid w:val="47B000B6"/>
    <w:rsid w:val="47B97D29"/>
    <w:rsid w:val="47CD33E9"/>
    <w:rsid w:val="47D66712"/>
    <w:rsid w:val="47E064A4"/>
    <w:rsid w:val="47F72393"/>
    <w:rsid w:val="47FB07A2"/>
    <w:rsid w:val="48017B0B"/>
    <w:rsid w:val="480768FB"/>
    <w:rsid w:val="48105503"/>
    <w:rsid w:val="481B23A6"/>
    <w:rsid w:val="481D430D"/>
    <w:rsid w:val="4826183B"/>
    <w:rsid w:val="482D0B8E"/>
    <w:rsid w:val="483912F0"/>
    <w:rsid w:val="484B579E"/>
    <w:rsid w:val="48555922"/>
    <w:rsid w:val="485729A0"/>
    <w:rsid w:val="4870272E"/>
    <w:rsid w:val="487C70C0"/>
    <w:rsid w:val="48843F69"/>
    <w:rsid w:val="488457C4"/>
    <w:rsid w:val="489148B5"/>
    <w:rsid w:val="48971F6C"/>
    <w:rsid w:val="489830AA"/>
    <w:rsid w:val="48A451A8"/>
    <w:rsid w:val="48AD29D8"/>
    <w:rsid w:val="48B41809"/>
    <w:rsid w:val="48C2373F"/>
    <w:rsid w:val="48C4229A"/>
    <w:rsid w:val="48C92F3A"/>
    <w:rsid w:val="48D57638"/>
    <w:rsid w:val="48E64872"/>
    <w:rsid w:val="48E904C8"/>
    <w:rsid w:val="48EB621C"/>
    <w:rsid w:val="48F06523"/>
    <w:rsid w:val="49036B0D"/>
    <w:rsid w:val="49076A92"/>
    <w:rsid w:val="49076DB4"/>
    <w:rsid w:val="490B0458"/>
    <w:rsid w:val="490C2965"/>
    <w:rsid w:val="4916198F"/>
    <w:rsid w:val="4924528A"/>
    <w:rsid w:val="4929484B"/>
    <w:rsid w:val="493A4011"/>
    <w:rsid w:val="493A5741"/>
    <w:rsid w:val="493C2A98"/>
    <w:rsid w:val="49474F40"/>
    <w:rsid w:val="494B6399"/>
    <w:rsid w:val="494F70BE"/>
    <w:rsid w:val="4963374B"/>
    <w:rsid w:val="496379DF"/>
    <w:rsid w:val="49787046"/>
    <w:rsid w:val="4979558B"/>
    <w:rsid w:val="498A2208"/>
    <w:rsid w:val="4995307A"/>
    <w:rsid w:val="4996313F"/>
    <w:rsid w:val="49A308A5"/>
    <w:rsid w:val="49AA34F9"/>
    <w:rsid w:val="49AF5C87"/>
    <w:rsid w:val="49B159E2"/>
    <w:rsid w:val="49DC7715"/>
    <w:rsid w:val="49E113CD"/>
    <w:rsid w:val="49E81929"/>
    <w:rsid w:val="49ED58D7"/>
    <w:rsid w:val="49F7474D"/>
    <w:rsid w:val="49FD3DCC"/>
    <w:rsid w:val="4A023139"/>
    <w:rsid w:val="4A096AC9"/>
    <w:rsid w:val="4A0C644A"/>
    <w:rsid w:val="4A20085C"/>
    <w:rsid w:val="4A205A52"/>
    <w:rsid w:val="4A4B1177"/>
    <w:rsid w:val="4A4D61DA"/>
    <w:rsid w:val="4A4F5884"/>
    <w:rsid w:val="4A547C36"/>
    <w:rsid w:val="4A560B18"/>
    <w:rsid w:val="4A6103B5"/>
    <w:rsid w:val="4A64025F"/>
    <w:rsid w:val="4A65296F"/>
    <w:rsid w:val="4A674B7B"/>
    <w:rsid w:val="4A752FD4"/>
    <w:rsid w:val="4A7B576F"/>
    <w:rsid w:val="4A7C1E29"/>
    <w:rsid w:val="4A9F5C76"/>
    <w:rsid w:val="4AA85D85"/>
    <w:rsid w:val="4ABF46A0"/>
    <w:rsid w:val="4AC51C82"/>
    <w:rsid w:val="4ACC1442"/>
    <w:rsid w:val="4AE771F9"/>
    <w:rsid w:val="4AE9678B"/>
    <w:rsid w:val="4AEB2084"/>
    <w:rsid w:val="4AEE3DA2"/>
    <w:rsid w:val="4AF561A9"/>
    <w:rsid w:val="4B0B5F44"/>
    <w:rsid w:val="4B107954"/>
    <w:rsid w:val="4B11098D"/>
    <w:rsid w:val="4B1A484E"/>
    <w:rsid w:val="4B1C5C50"/>
    <w:rsid w:val="4B1E6C88"/>
    <w:rsid w:val="4B1F7605"/>
    <w:rsid w:val="4B2042A4"/>
    <w:rsid w:val="4B225073"/>
    <w:rsid w:val="4B257D5D"/>
    <w:rsid w:val="4B29167F"/>
    <w:rsid w:val="4B374743"/>
    <w:rsid w:val="4B3B6134"/>
    <w:rsid w:val="4B3D2633"/>
    <w:rsid w:val="4B451CBD"/>
    <w:rsid w:val="4B49722A"/>
    <w:rsid w:val="4B5A7E35"/>
    <w:rsid w:val="4B5D4A84"/>
    <w:rsid w:val="4B694F23"/>
    <w:rsid w:val="4B7A5635"/>
    <w:rsid w:val="4B972873"/>
    <w:rsid w:val="4B9743E4"/>
    <w:rsid w:val="4B9C1A50"/>
    <w:rsid w:val="4B9C55AC"/>
    <w:rsid w:val="4BA33FD7"/>
    <w:rsid w:val="4BA50211"/>
    <w:rsid w:val="4BB004C3"/>
    <w:rsid w:val="4BB1663F"/>
    <w:rsid w:val="4BB26449"/>
    <w:rsid w:val="4BBA580D"/>
    <w:rsid w:val="4BBD6D6C"/>
    <w:rsid w:val="4BBE0507"/>
    <w:rsid w:val="4BCF049E"/>
    <w:rsid w:val="4BD01277"/>
    <w:rsid w:val="4BD40717"/>
    <w:rsid w:val="4BEE23A0"/>
    <w:rsid w:val="4BFA5C26"/>
    <w:rsid w:val="4C027573"/>
    <w:rsid w:val="4C1A487D"/>
    <w:rsid w:val="4C32539B"/>
    <w:rsid w:val="4C3B66BE"/>
    <w:rsid w:val="4C3E43DA"/>
    <w:rsid w:val="4C47606C"/>
    <w:rsid w:val="4C4874E2"/>
    <w:rsid w:val="4C4A0649"/>
    <w:rsid w:val="4C51554F"/>
    <w:rsid w:val="4C5F1157"/>
    <w:rsid w:val="4C6158FC"/>
    <w:rsid w:val="4C661492"/>
    <w:rsid w:val="4C6F4A6E"/>
    <w:rsid w:val="4C7458C8"/>
    <w:rsid w:val="4C7E5ECA"/>
    <w:rsid w:val="4C876AA5"/>
    <w:rsid w:val="4C882356"/>
    <w:rsid w:val="4C905A21"/>
    <w:rsid w:val="4CAB6314"/>
    <w:rsid w:val="4CB66B41"/>
    <w:rsid w:val="4CBF6FF8"/>
    <w:rsid w:val="4CD64AED"/>
    <w:rsid w:val="4CDC24D3"/>
    <w:rsid w:val="4CE1134D"/>
    <w:rsid w:val="4CE208A8"/>
    <w:rsid w:val="4CED78D5"/>
    <w:rsid w:val="4CF5766A"/>
    <w:rsid w:val="4D094792"/>
    <w:rsid w:val="4D0E00FB"/>
    <w:rsid w:val="4D1318C4"/>
    <w:rsid w:val="4D1571D7"/>
    <w:rsid w:val="4D176606"/>
    <w:rsid w:val="4D1A25C0"/>
    <w:rsid w:val="4D1B7723"/>
    <w:rsid w:val="4D290EC3"/>
    <w:rsid w:val="4D3A75FB"/>
    <w:rsid w:val="4D421A79"/>
    <w:rsid w:val="4D4F3064"/>
    <w:rsid w:val="4D514F49"/>
    <w:rsid w:val="4D530885"/>
    <w:rsid w:val="4D537EEC"/>
    <w:rsid w:val="4D550D4C"/>
    <w:rsid w:val="4D593E79"/>
    <w:rsid w:val="4D5C3245"/>
    <w:rsid w:val="4D7C5695"/>
    <w:rsid w:val="4D8B38BF"/>
    <w:rsid w:val="4D8D78A2"/>
    <w:rsid w:val="4D9549A9"/>
    <w:rsid w:val="4DAD5EAE"/>
    <w:rsid w:val="4DBE72D0"/>
    <w:rsid w:val="4DC42295"/>
    <w:rsid w:val="4DC52733"/>
    <w:rsid w:val="4DD27F03"/>
    <w:rsid w:val="4DD82959"/>
    <w:rsid w:val="4DD957F8"/>
    <w:rsid w:val="4DEC4FB0"/>
    <w:rsid w:val="4DFB5F0C"/>
    <w:rsid w:val="4DFF235F"/>
    <w:rsid w:val="4E000785"/>
    <w:rsid w:val="4E075D8A"/>
    <w:rsid w:val="4E086F29"/>
    <w:rsid w:val="4E17716C"/>
    <w:rsid w:val="4E1B5197"/>
    <w:rsid w:val="4E255D2C"/>
    <w:rsid w:val="4E2C4135"/>
    <w:rsid w:val="4E2C5C7F"/>
    <w:rsid w:val="4E355132"/>
    <w:rsid w:val="4E380699"/>
    <w:rsid w:val="4E48385B"/>
    <w:rsid w:val="4E4D2761"/>
    <w:rsid w:val="4E570F86"/>
    <w:rsid w:val="4E725AF0"/>
    <w:rsid w:val="4E7778F1"/>
    <w:rsid w:val="4E7C3473"/>
    <w:rsid w:val="4E8A5E57"/>
    <w:rsid w:val="4E9433A0"/>
    <w:rsid w:val="4E992DD9"/>
    <w:rsid w:val="4E9A3CD4"/>
    <w:rsid w:val="4EA11F9B"/>
    <w:rsid w:val="4EAD5D22"/>
    <w:rsid w:val="4EBC709C"/>
    <w:rsid w:val="4EBD7611"/>
    <w:rsid w:val="4EC00FAD"/>
    <w:rsid w:val="4ECA6411"/>
    <w:rsid w:val="4ED25E20"/>
    <w:rsid w:val="4EDD009B"/>
    <w:rsid w:val="4EDE2869"/>
    <w:rsid w:val="4EFB6F95"/>
    <w:rsid w:val="4F03120B"/>
    <w:rsid w:val="4F0475A8"/>
    <w:rsid w:val="4F2C7426"/>
    <w:rsid w:val="4F3E6312"/>
    <w:rsid w:val="4F4028E5"/>
    <w:rsid w:val="4F50573E"/>
    <w:rsid w:val="4F587A3C"/>
    <w:rsid w:val="4F5B6483"/>
    <w:rsid w:val="4F825AB4"/>
    <w:rsid w:val="4F8E345D"/>
    <w:rsid w:val="4F8E40FF"/>
    <w:rsid w:val="4F8F4B9E"/>
    <w:rsid w:val="4F97491C"/>
    <w:rsid w:val="4F9843DC"/>
    <w:rsid w:val="4FB0400A"/>
    <w:rsid w:val="4FB81217"/>
    <w:rsid w:val="4FBF3F5F"/>
    <w:rsid w:val="4FC62A8C"/>
    <w:rsid w:val="4FCE0B98"/>
    <w:rsid w:val="4FD3719E"/>
    <w:rsid w:val="4FD572DE"/>
    <w:rsid w:val="4FE20F0D"/>
    <w:rsid w:val="4FE51552"/>
    <w:rsid w:val="4FE73021"/>
    <w:rsid w:val="4FE92D8A"/>
    <w:rsid w:val="4FF72208"/>
    <w:rsid w:val="4FFC5915"/>
    <w:rsid w:val="500278C3"/>
    <w:rsid w:val="50037B8F"/>
    <w:rsid w:val="50043A89"/>
    <w:rsid w:val="502838B2"/>
    <w:rsid w:val="504E1BDD"/>
    <w:rsid w:val="50504C4B"/>
    <w:rsid w:val="505A1673"/>
    <w:rsid w:val="50612A2C"/>
    <w:rsid w:val="50642572"/>
    <w:rsid w:val="50650656"/>
    <w:rsid w:val="50845D27"/>
    <w:rsid w:val="50870E72"/>
    <w:rsid w:val="508C59BE"/>
    <w:rsid w:val="509C6E7C"/>
    <w:rsid w:val="50A33EB5"/>
    <w:rsid w:val="50AD2922"/>
    <w:rsid w:val="50AD5228"/>
    <w:rsid w:val="50C0311C"/>
    <w:rsid w:val="50CD4459"/>
    <w:rsid w:val="50DF1314"/>
    <w:rsid w:val="50E13A61"/>
    <w:rsid w:val="50E30B52"/>
    <w:rsid w:val="50E32140"/>
    <w:rsid w:val="50F04BFD"/>
    <w:rsid w:val="50F329EE"/>
    <w:rsid w:val="50F47C38"/>
    <w:rsid w:val="511E4AD0"/>
    <w:rsid w:val="5124051D"/>
    <w:rsid w:val="5130338F"/>
    <w:rsid w:val="513A31F4"/>
    <w:rsid w:val="513F560B"/>
    <w:rsid w:val="514F0943"/>
    <w:rsid w:val="515941C5"/>
    <w:rsid w:val="516202B5"/>
    <w:rsid w:val="5162104E"/>
    <w:rsid w:val="516431BC"/>
    <w:rsid w:val="51675829"/>
    <w:rsid w:val="51742766"/>
    <w:rsid w:val="51764AF1"/>
    <w:rsid w:val="51844B18"/>
    <w:rsid w:val="519C6E94"/>
    <w:rsid w:val="519F7BA4"/>
    <w:rsid w:val="51A27694"/>
    <w:rsid w:val="51A631A7"/>
    <w:rsid w:val="51A67550"/>
    <w:rsid w:val="51AA02F7"/>
    <w:rsid w:val="51B4502E"/>
    <w:rsid w:val="51D07D5D"/>
    <w:rsid w:val="51DE083A"/>
    <w:rsid w:val="51DF5D16"/>
    <w:rsid w:val="52031442"/>
    <w:rsid w:val="52081ACF"/>
    <w:rsid w:val="520A233E"/>
    <w:rsid w:val="5215264B"/>
    <w:rsid w:val="521E6538"/>
    <w:rsid w:val="521F219F"/>
    <w:rsid w:val="522D258F"/>
    <w:rsid w:val="52305B06"/>
    <w:rsid w:val="5235587D"/>
    <w:rsid w:val="524E7059"/>
    <w:rsid w:val="525316BD"/>
    <w:rsid w:val="5257335D"/>
    <w:rsid w:val="52613CF1"/>
    <w:rsid w:val="52620129"/>
    <w:rsid w:val="52686BAD"/>
    <w:rsid w:val="526B0436"/>
    <w:rsid w:val="527728CF"/>
    <w:rsid w:val="528355FA"/>
    <w:rsid w:val="529417B2"/>
    <w:rsid w:val="52952D55"/>
    <w:rsid w:val="52B225F4"/>
    <w:rsid w:val="52C31606"/>
    <w:rsid w:val="52C42B9B"/>
    <w:rsid w:val="52C44DDF"/>
    <w:rsid w:val="52D656E1"/>
    <w:rsid w:val="52D81435"/>
    <w:rsid w:val="52DA7EE5"/>
    <w:rsid w:val="52DD4E28"/>
    <w:rsid w:val="52F97788"/>
    <w:rsid w:val="53120E06"/>
    <w:rsid w:val="53134C6C"/>
    <w:rsid w:val="531719BC"/>
    <w:rsid w:val="532E3045"/>
    <w:rsid w:val="53387871"/>
    <w:rsid w:val="533962A8"/>
    <w:rsid w:val="533B1F86"/>
    <w:rsid w:val="533C747D"/>
    <w:rsid w:val="533F76CE"/>
    <w:rsid w:val="536051C0"/>
    <w:rsid w:val="53633F1A"/>
    <w:rsid w:val="53647EC7"/>
    <w:rsid w:val="5367016E"/>
    <w:rsid w:val="53670B95"/>
    <w:rsid w:val="536A2433"/>
    <w:rsid w:val="536D4DC8"/>
    <w:rsid w:val="538E4C84"/>
    <w:rsid w:val="538F5EEC"/>
    <w:rsid w:val="5398201B"/>
    <w:rsid w:val="539A15FA"/>
    <w:rsid w:val="539C5617"/>
    <w:rsid w:val="53A039CC"/>
    <w:rsid w:val="53A1505A"/>
    <w:rsid w:val="53A56FC8"/>
    <w:rsid w:val="53B10EBB"/>
    <w:rsid w:val="53B9234D"/>
    <w:rsid w:val="53BC5F93"/>
    <w:rsid w:val="53CC6ECF"/>
    <w:rsid w:val="53D15FF5"/>
    <w:rsid w:val="53E50266"/>
    <w:rsid w:val="53EE5E71"/>
    <w:rsid w:val="53F81DDE"/>
    <w:rsid w:val="53FA523E"/>
    <w:rsid w:val="54063E08"/>
    <w:rsid w:val="54107DA5"/>
    <w:rsid w:val="54244390"/>
    <w:rsid w:val="54244A97"/>
    <w:rsid w:val="543006A9"/>
    <w:rsid w:val="54337EF8"/>
    <w:rsid w:val="543437E8"/>
    <w:rsid w:val="543C36AE"/>
    <w:rsid w:val="543D65C8"/>
    <w:rsid w:val="54512677"/>
    <w:rsid w:val="545F44E5"/>
    <w:rsid w:val="545F4B06"/>
    <w:rsid w:val="547235F1"/>
    <w:rsid w:val="54733290"/>
    <w:rsid w:val="547B4D4E"/>
    <w:rsid w:val="54A90B31"/>
    <w:rsid w:val="54AB517A"/>
    <w:rsid w:val="54D648AA"/>
    <w:rsid w:val="54E31B59"/>
    <w:rsid w:val="54EA67F0"/>
    <w:rsid w:val="54F73313"/>
    <w:rsid w:val="54F80955"/>
    <w:rsid w:val="54FF7ED7"/>
    <w:rsid w:val="55164E33"/>
    <w:rsid w:val="552169D6"/>
    <w:rsid w:val="5529281B"/>
    <w:rsid w:val="55470CC3"/>
    <w:rsid w:val="55483DF4"/>
    <w:rsid w:val="554D6D51"/>
    <w:rsid w:val="555170A7"/>
    <w:rsid w:val="55572544"/>
    <w:rsid w:val="555869E7"/>
    <w:rsid w:val="556E16A2"/>
    <w:rsid w:val="55710946"/>
    <w:rsid w:val="5587536D"/>
    <w:rsid w:val="55880864"/>
    <w:rsid w:val="558A2919"/>
    <w:rsid w:val="558C6A98"/>
    <w:rsid w:val="55926EB7"/>
    <w:rsid w:val="559612BE"/>
    <w:rsid w:val="559B174B"/>
    <w:rsid w:val="55A559A5"/>
    <w:rsid w:val="55A669D3"/>
    <w:rsid w:val="55A97813"/>
    <w:rsid w:val="55B61960"/>
    <w:rsid w:val="55B77A6E"/>
    <w:rsid w:val="55BA1450"/>
    <w:rsid w:val="55C4561B"/>
    <w:rsid w:val="55C642C9"/>
    <w:rsid w:val="55CE0CF4"/>
    <w:rsid w:val="55D45164"/>
    <w:rsid w:val="55DA2F67"/>
    <w:rsid w:val="55DC14EC"/>
    <w:rsid w:val="55DF3390"/>
    <w:rsid w:val="55E24F1D"/>
    <w:rsid w:val="55E464CD"/>
    <w:rsid w:val="55E579DE"/>
    <w:rsid w:val="55EA3E6B"/>
    <w:rsid w:val="55F55B85"/>
    <w:rsid w:val="55FE5F0D"/>
    <w:rsid w:val="560E67FA"/>
    <w:rsid w:val="561255FF"/>
    <w:rsid w:val="562276C7"/>
    <w:rsid w:val="56325110"/>
    <w:rsid w:val="56333338"/>
    <w:rsid w:val="564D6384"/>
    <w:rsid w:val="56554D73"/>
    <w:rsid w:val="56683ADC"/>
    <w:rsid w:val="56694C24"/>
    <w:rsid w:val="5674580C"/>
    <w:rsid w:val="567A5235"/>
    <w:rsid w:val="567E4AED"/>
    <w:rsid w:val="568B06F7"/>
    <w:rsid w:val="568F74CB"/>
    <w:rsid w:val="56A12D4D"/>
    <w:rsid w:val="56B22A9C"/>
    <w:rsid w:val="56D24578"/>
    <w:rsid w:val="56D52299"/>
    <w:rsid w:val="56DE011E"/>
    <w:rsid w:val="56EA563C"/>
    <w:rsid w:val="56EF4FC6"/>
    <w:rsid w:val="56F36D9D"/>
    <w:rsid w:val="56FC15F5"/>
    <w:rsid w:val="57106E4E"/>
    <w:rsid w:val="571A77CA"/>
    <w:rsid w:val="571D18F0"/>
    <w:rsid w:val="573F7E85"/>
    <w:rsid w:val="574770C2"/>
    <w:rsid w:val="57521214"/>
    <w:rsid w:val="576477AD"/>
    <w:rsid w:val="5767254D"/>
    <w:rsid w:val="576F1D9E"/>
    <w:rsid w:val="577EE133"/>
    <w:rsid w:val="578964F2"/>
    <w:rsid w:val="578F4217"/>
    <w:rsid w:val="57921A6C"/>
    <w:rsid w:val="57965F85"/>
    <w:rsid w:val="579878FA"/>
    <w:rsid w:val="579E02B6"/>
    <w:rsid w:val="57AF1D71"/>
    <w:rsid w:val="57B017B7"/>
    <w:rsid w:val="57B65FC2"/>
    <w:rsid w:val="57B72A76"/>
    <w:rsid w:val="57B746ED"/>
    <w:rsid w:val="57C2283E"/>
    <w:rsid w:val="57C3426C"/>
    <w:rsid w:val="57C93C91"/>
    <w:rsid w:val="57CE1F93"/>
    <w:rsid w:val="57CE34B8"/>
    <w:rsid w:val="57DE24E2"/>
    <w:rsid w:val="57E7045F"/>
    <w:rsid w:val="57EA63E9"/>
    <w:rsid w:val="57EC3417"/>
    <w:rsid w:val="57F56B63"/>
    <w:rsid w:val="57FC0192"/>
    <w:rsid w:val="57FC0BAD"/>
    <w:rsid w:val="57FF1F14"/>
    <w:rsid w:val="58067DCD"/>
    <w:rsid w:val="580D1B0F"/>
    <w:rsid w:val="58276B45"/>
    <w:rsid w:val="582C3670"/>
    <w:rsid w:val="582E5FA1"/>
    <w:rsid w:val="583C439E"/>
    <w:rsid w:val="583D194F"/>
    <w:rsid w:val="584054D7"/>
    <w:rsid w:val="58445001"/>
    <w:rsid w:val="58500619"/>
    <w:rsid w:val="58540378"/>
    <w:rsid w:val="586D2BED"/>
    <w:rsid w:val="587A0A23"/>
    <w:rsid w:val="588743D1"/>
    <w:rsid w:val="5887701A"/>
    <w:rsid w:val="589563F3"/>
    <w:rsid w:val="5898534D"/>
    <w:rsid w:val="58A6143D"/>
    <w:rsid w:val="58B47394"/>
    <w:rsid w:val="58E612B1"/>
    <w:rsid w:val="58E76125"/>
    <w:rsid w:val="58F66D22"/>
    <w:rsid w:val="58F92B53"/>
    <w:rsid w:val="58FC6F58"/>
    <w:rsid w:val="5915074C"/>
    <w:rsid w:val="59205A6E"/>
    <w:rsid w:val="59262E43"/>
    <w:rsid w:val="59317A95"/>
    <w:rsid w:val="59425466"/>
    <w:rsid w:val="59427266"/>
    <w:rsid w:val="59464F69"/>
    <w:rsid w:val="597F6654"/>
    <w:rsid w:val="598C4EB2"/>
    <w:rsid w:val="598F04FE"/>
    <w:rsid w:val="5992053E"/>
    <w:rsid w:val="599A6B2A"/>
    <w:rsid w:val="59A021E8"/>
    <w:rsid w:val="59AA358A"/>
    <w:rsid w:val="59AE174D"/>
    <w:rsid w:val="59BA66D6"/>
    <w:rsid w:val="59BB6666"/>
    <w:rsid w:val="59C0439F"/>
    <w:rsid w:val="59C40C9B"/>
    <w:rsid w:val="59CD28D3"/>
    <w:rsid w:val="59D851BC"/>
    <w:rsid w:val="59EA607C"/>
    <w:rsid w:val="59FA0DF4"/>
    <w:rsid w:val="59FA7BB4"/>
    <w:rsid w:val="5A010E1A"/>
    <w:rsid w:val="5A05744C"/>
    <w:rsid w:val="5A082090"/>
    <w:rsid w:val="5A1227B1"/>
    <w:rsid w:val="5A1A4BC9"/>
    <w:rsid w:val="5A252C10"/>
    <w:rsid w:val="5A2C7B7D"/>
    <w:rsid w:val="5A3357C9"/>
    <w:rsid w:val="5A3462EC"/>
    <w:rsid w:val="5A5A57AD"/>
    <w:rsid w:val="5A7A3299"/>
    <w:rsid w:val="5A8323BD"/>
    <w:rsid w:val="5A84681C"/>
    <w:rsid w:val="5A896040"/>
    <w:rsid w:val="5A8C5F02"/>
    <w:rsid w:val="5A8D6765"/>
    <w:rsid w:val="5A973663"/>
    <w:rsid w:val="5A9B090D"/>
    <w:rsid w:val="5A9C1A0C"/>
    <w:rsid w:val="5AA12BDF"/>
    <w:rsid w:val="5AA2266F"/>
    <w:rsid w:val="5AA73754"/>
    <w:rsid w:val="5AAE3AD0"/>
    <w:rsid w:val="5ABE2233"/>
    <w:rsid w:val="5AC72B57"/>
    <w:rsid w:val="5AC97A40"/>
    <w:rsid w:val="5AEB08A3"/>
    <w:rsid w:val="5B1736E9"/>
    <w:rsid w:val="5B1820D2"/>
    <w:rsid w:val="5B1B3D8B"/>
    <w:rsid w:val="5B2A2BD4"/>
    <w:rsid w:val="5B5B69F1"/>
    <w:rsid w:val="5B714AE5"/>
    <w:rsid w:val="5B8650D9"/>
    <w:rsid w:val="5B970030"/>
    <w:rsid w:val="5BA81D4B"/>
    <w:rsid w:val="5BB064B9"/>
    <w:rsid w:val="5BB57FC4"/>
    <w:rsid w:val="5BC35FFA"/>
    <w:rsid w:val="5BCC1F57"/>
    <w:rsid w:val="5BCD6DAB"/>
    <w:rsid w:val="5BD5462A"/>
    <w:rsid w:val="5BDF5D95"/>
    <w:rsid w:val="5BF52B67"/>
    <w:rsid w:val="5BFE7528"/>
    <w:rsid w:val="5C042201"/>
    <w:rsid w:val="5C08232A"/>
    <w:rsid w:val="5C0B73BE"/>
    <w:rsid w:val="5C0E52A6"/>
    <w:rsid w:val="5C1162BC"/>
    <w:rsid w:val="5C2638C3"/>
    <w:rsid w:val="5C2A2760"/>
    <w:rsid w:val="5C3345BC"/>
    <w:rsid w:val="5C366DE5"/>
    <w:rsid w:val="5C433822"/>
    <w:rsid w:val="5C4B483C"/>
    <w:rsid w:val="5C5718A5"/>
    <w:rsid w:val="5C5B62FB"/>
    <w:rsid w:val="5C600E02"/>
    <w:rsid w:val="5C846314"/>
    <w:rsid w:val="5C8C0C29"/>
    <w:rsid w:val="5C946B31"/>
    <w:rsid w:val="5C9C024C"/>
    <w:rsid w:val="5CCF011E"/>
    <w:rsid w:val="5CDC7D25"/>
    <w:rsid w:val="5CE22DE4"/>
    <w:rsid w:val="5CED3EB9"/>
    <w:rsid w:val="5CFC593C"/>
    <w:rsid w:val="5D045333"/>
    <w:rsid w:val="5D107337"/>
    <w:rsid w:val="5D1941DC"/>
    <w:rsid w:val="5D1A6C78"/>
    <w:rsid w:val="5D1B26B7"/>
    <w:rsid w:val="5D1E7157"/>
    <w:rsid w:val="5D242FA7"/>
    <w:rsid w:val="5D280130"/>
    <w:rsid w:val="5D2F73B0"/>
    <w:rsid w:val="5D327B1E"/>
    <w:rsid w:val="5D352F79"/>
    <w:rsid w:val="5D3779A1"/>
    <w:rsid w:val="5D4222ED"/>
    <w:rsid w:val="5D423AA3"/>
    <w:rsid w:val="5D4F0ACD"/>
    <w:rsid w:val="5D517384"/>
    <w:rsid w:val="5D57138F"/>
    <w:rsid w:val="5D681285"/>
    <w:rsid w:val="5D691DF0"/>
    <w:rsid w:val="5D69520C"/>
    <w:rsid w:val="5D6A2609"/>
    <w:rsid w:val="5D6A461F"/>
    <w:rsid w:val="5D753EAF"/>
    <w:rsid w:val="5D8660BC"/>
    <w:rsid w:val="5D8A05CD"/>
    <w:rsid w:val="5D8B42E6"/>
    <w:rsid w:val="5D8C2987"/>
    <w:rsid w:val="5D9B1B67"/>
    <w:rsid w:val="5DA2734A"/>
    <w:rsid w:val="5DAA7FFC"/>
    <w:rsid w:val="5DB14E3C"/>
    <w:rsid w:val="5DB201DC"/>
    <w:rsid w:val="5DB252EA"/>
    <w:rsid w:val="5DB547F0"/>
    <w:rsid w:val="5DB829AF"/>
    <w:rsid w:val="5DBF0E76"/>
    <w:rsid w:val="5DC80482"/>
    <w:rsid w:val="5DCD7847"/>
    <w:rsid w:val="5DDA57CE"/>
    <w:rsid w:val="5DF4375A"/>
    <w:rsid w:val="5E015742"/>
    <w:rsid w:val="5E033269"/>
    <w:rsid w:val="5E036D81"/>
    <w:rsid w:val="5E0B14EF"/>
    <w:rsid w:val="5E107F38"/>
    <w:rsid w:val="5E115985"/>
    <w:rsid w:val="5E206862"/>
    <w:rsid w:val="5E2467F1"/>
    <w:rsid w:val="5E3802CC"/>
    <w:rsid w:val="5E5C1C22"/>
    <w:rsid w:val="5E5D506F"/>
    <w:rsid w:val="5E624C6E"/>
    <w:rsid w:val="5E7037AE"/>
    <w:rsid w:val="5E763155"/>
    <w:rsid w:val="5E781A28"/>
    <w:rsid w:val="5E79076E"/>
    <w:rsid w:val="5E7A5AB8"/>
    <w:rsid w:val="5E7A7704"/>
    <w:rsid w:val="5E800D5D"/>
    <w:rsid w:val="5E936889"/>
    <w:rsid w:val="5E940043"/>
    <w:rsid w:val="5E9B6D45"/>
    <w:rsid w:val="5EA151BD"/>
    <w:rsid w:val="5EA2793F"/>
    <w:rsid w:val="5EA4433F"/>
    <w:rsid w:val="5EA47302"/>
    <w:rsid w:val="5EBA477D"/>
    <w:rsid w:val="5EC03132"/>
    <w:rsid w:val="5EC65F83"/>
    <w:rsid w:val="5EC94306"/>
    <w:rsid w:val="5ECB0D0F"/>
    <w:rsid w:val="5ED70283"/>
    <w:rsid w:val="5ED917BE"/>
    <w:rsid w:val="5EDA0CA0"/>
    <w:rsid w:val="5EE62C09"/>
    <w:rsid w:val="5EF23007"/>
    <w:rsid w:val="5EFD45D7"/>
    <w:rsid w:val="5F054A65"/>
    <w:rsid w:val="5F091AAC"/>
    <w:rsid w:val="5F0E45BB"/>
    <w:rsid w:val="5F155210"/>
    <w:rsid w:val="5F1A2B43"/>
    <w:rsid w:val="5F1A6616"/>
    <w:rsid w:val="5F2519A3"/>
    <w:rsid w:val="5F44263C"/>
    <w:rsid w:val="5F4A49BE"/>
    <w:rsid w:val="5F5D0437"/>
    <w:rsid w:val="5F5E0F4F"/>
    <w:rsid w:val="5F60715F"/>
    <w:rsid w:val="5F6B3551"/>
    <w:rsid w:val="5F6B422C"/>
    <w:rsid w:val="5F6C6718"/>
    <w:rsid w:val="5F725214"/>
    <w:rsid w:val="5F813FD2"/>
    <w:rsid w:val="5F832A75"/>
    <w:rsid w:val="5F8A769B"/>
    <w:rsid w:val="5F905C33"/>
    <w:rsid w:val="5F9B38E0"/>
    <w:rsid w:val="5F9E149B"/>
    <w:rsid w:val="5FA52307"/>
    <w:rsid w:val="5FA840C8"/>
    <w:rsid w:val="5FAF4EFE"/>
    <w:rsid w:val="5FB837BB"/>
    <w:rsid w:val="5FB92779"/>
    <w:rsid w:val="5FC12C95"/>
    <w:rsid w:val="5FCA04E2"/>
    <w:rsid w:val="5FD621A4"/>
    <w:rsid w:val="5FE022F9"/>
    <w:rsid w:val="5FEE3D1E"/>
    <w:rsid w:val="5FFB4B3F"/>
    <w:rsid w:val="600734E4"/>
    <w:rsid w:val="6031230F"/>
    <w:rsid w:val="60373060"/>
    <w:rsid w:val="60411BBE"/>
    <w:rsid w:val="60431330"/>
    <w:rsid w:val="60511C70"/>
    <w:rsid w:val="6054069C"/>
    <w:rsid w:val="606F0323"/>
    <w:rsid w:val="6072684C"/>
    <w:rsid w:val="60797A83"/>
    <w:rsid w:val="608F34D9"/>
    <w:rsid w:val="60A01243"/>
    <w:rsid w:val="60AC2059"/>
    <w:rsid w:val="60AE14F9"/>
    <w:rsid w:val="60AF1963"/>
    <w:rsid w:val="60AF3E92"/>
    <w:rsid w:val="60B52380"/>
    <w:rsid w:val="60B62AF0"/>
    <w:rsid w:val="60BB4C43"/>
    <w:rsid w:val="60CC405A"/>
    <w:rsid w:val="60D050F4"/>
    <w:rsid w:val="60E71660"/>
    <w:rsid w:val="60FB7307"/>
    <w:rsid w:val="60FD08C3"/>
    <w:rsid w:val="61066B12"/>
    <w:rsid w:val="61137D77"/>
    <w:rsid w:val="6115578D"/>
    <w:rsid w:val="6118198B"/>
    <w:rsid w:val="6121446F"/>
    <w:rsid w:val="61294891"/>
    <w:rsid w:val="61371BA7"/>
    <w:rsid w:val="61381AA0"/>
    <w:rsid w:val="613A347F"/>
    <w:rsid w:val="613C1177"/>
    <w:rsid w:val="614141F6"/>
    <w:rsid w:val="615736B4"/>
    <w:rsid w:val="61584ADF"/>
    <w:rsid w:val="615D5386"/>
    <w:rsid w:val="61663D83"/>
    <w:rsid w:val="616D7906"/>
    <w:rsid w:val="617B2008"/>
    <w:rsid w:val="617D6045"/>
    <w:rsid w:val="617F70AA"/>
    <w:rsid w:val="61A968C8"/>
    <w:rsid w:val="61B74A96"/>
    <w:rsid w:val="61B939BC"/>
    <w:rsid w:val="61C96577"/>
    <w:rsid w:val="61CF6CAD"/>
    <w:rsid w:val="61E215D8"/>
    <w:rsid w:val="61F75CEC"/>
    <w:rsid w:val="620275B8"/>
    <w:rsid w:val="6204238B"/>
    <w:rsid w:val="6208709F"/>
    <w:rsid w:val="62123E20"/>
    <w:rsid w:val="621B3775"/>
    <w:rsid w:val="6236316D"/>
    <w:rsid w:val="62364782"/>
    <w:rsid w:val="623B40BF"/>
    <w:rsid w:val="62494CE5"/>
    <w:rsid w:val="625C7E5E"/>
    <w:rsid w:val="62623CA0"/>
    <w:rsid w:val="626369CC"/>
    <w:rsid w:val="62694EC0"/>
    <w:rsid w:val="626B7569"/>
    <w:rsid w:val="627548CD"/>
    <w:rsid w:val="627E4AFC"/>
    <w:rsid w:val="628657DA"/>
    <w:rsid w:val="629434ED"/>
    <w:rsid w:val="62A86EC4"/>
    <w:rsid w:val="62B41453"/>
    <w:rsid w:val="62B96780"/>
    <w:rsid w:val="62D629CA"/>
    <w:rsid w:val="62D7743E"/>
    <w:rsid w:val="62E058E7"/>
    <w:rsid w:val="62E5574F"/>
    <w:rsid w:val="62E73233"/>
    <w:rsid w:val="62F917B9"/>
    <w:rsid w:val="63147BB2"/>
    <w:rsid w:val="631A1780"/>
    <w:rsid w:val="631A352E"/>
    <w:rsid w:val="631B2B91"/>
    <w:rsid w:val="631D6311"/>
    <w:rsid w:val="6325125E"/>
    <w:rsid w:val="632956E8"/>
    <w:rsid w:val="632C5010"/>
    <w:rsid w:val="632E398F"/>
    <w:rsid w:val="6332455D"/>
    <w:rsid w:val="63334968"/>
    <w:rsid w:val="63400119"/>
    <w:rsid w:val="63473BF7"/>
    <w:rsid w:val="634C56D6"/>
    <w:rsid w:val="635F615A"/>
    <w:rsid w:val="63631FA4"/>
    <w:rsid w:val="6371005D"/>
    <w:rsid w:val="63730ED2"/>
    <w:rsid w:val="6394356A"/>
    <w:rsid w:val="63965BDF"/>
    <w:rsid w:val="63B35A25"/>
    <w:rsid w:val="63B8115E"/>
    <w:rsid w:val="63C61B2C"/>
    <w:rsid w:val="63D40BE9"/>
    <w:rsid w:val="63D84D8B"/>
    <w:rsid w:val="63DE1371"/>
    <w:rsid w:val="63E679FF"/>
    <w:rsid w:val="63EF11DE"/>
    <w:rsid w:val="64032214"/>
    <w:rsid w:val="6404589F"/>
    <w:rsid w:val="64055387"/>
    <w:rsid w:val="64102431"/>
    <w:rsid w:val="64107AB7"/>
    <w:rsid w:val="641614BA"/>
    <w:rsid w:val="641C4562"/>
    <w:rsid w:val="641E6872"/>
    <w:rsid w:val="64266CFB"/>
    <w:rsid w:val="642B3519"/>
    <w:rsid w:val="643363FB"/>
    <w:rsid w:val="643A29A8"/>
    <w:rsid w:val="643B1AD7"/>
    <w:rsid w:val="64403D1C"/>
    <w:rsid w:val="6452495C"/>
    <w:rsid w:val="645667E8"/>
    <w:rsid w:val="6464628E"/>
    <w:rsid w:val="64664DDB"/>
    <w:rsid w:val="646F22AA"/>
    <w:rsid w:val="64790728"/>
    <w:rsid w:val="648061B5"/>
    <w:rsid w:val="648E1696"/>
    <w:rsid w:val="649916B6"/>
    <w:rsid w:val="64A5243A"/>
    <w:rsid w:val="64B80948"/>
    <w:rsid w:val="64BF139B"/>
    <w:rsid w:val="64CA4726"/>
    <w:rsid w:val="64DD2A65"/>
    <w:rsid w:val="64E2158D"/>
    <w:rsid w:val="64EE7093"/>
    <w:rsid w:val="64F531DE"/>
    <w:rsid w:val="65124DC3"/>
    <w:rsid w:val="65191CF4"/>
    <w:rsid w:val="651D33E9"/>
    <w:rsid w:val="652135B9"/>
    <w:rsid w:val="652341F0"/>
    <w:rsid w:val="65373578"/>
    <w:rsid w:val="65373592"/>
    <w:rsid w:val="6537643E"/>
    <w:rsid w:val="65401325"/>
    <w:rsid w:val="655405DA"/>
    <w:rsid w:val="65556E06"/>
    <w:rsid w:val="65586590"/>
    <w:rsid w:val="655B6E20"/>
    <w:rsid w:val="65644375"/>
    <w:rsid w:val="656B73A4"/>
    <w:rsid w:val="657469A2"/>
    <w:rsid w:val="657A6A22"/>
    <w:rsid w:val="657E0A50"/>
    <w:rsid w:val="659542C7"/>
    <w:rsid w:val="659E521E"/>
    <w:rsid w:val="65A27157"/>
    <w:rsid w:val="65B03CD6"/>
    <w:rsid w:val="65B43BB5"/>
    <w:rsid w:val="65CD1F49"/>
    <w:rsid w:val="65CE15C0"/>
    <w:rsid w:val="65D25E6C"/>
    <w:rsid w:val="65DD33FC"/>
    <w:rsid w:val="65E16DC4"/>
    <w:rsid w:val="65E17BC3"/>
    <w:rsid w:val="65F01CCB"/>
    <w:rsid w:val="65F03CD9"/>
    <w:rsid w:val="65F239DF"/>
    <w:rsid w:val="65F77B57"/>
    <w:rsid w:val="660404C6"/>
    <w:rsid w:val="6621011D"/>
    <w:rsid w:val="66371AE2"/>
    <w:rsid w:val="66436DF2"/>
    <w:rsid w:val="664F2A61"/>
    <w:rsid w:val="66611474"/>
    <w:rsid w:val="66611986"/>
    <w:rsid w:val="66652B09"/>
    <w:rsid w:val="666A0302"/>
    <w:rsid w:val="66890339"/>
    <w:rsid w:val="669F43ED"/>
    <w:rsid w:val="66A92C73"/>
    <w:rsid w:val="66AB1FD2"/>
    <w:rsid w:val="66B25EEC"/>
    <w:rsid w:val="66C86590"/>
    <w:rsid w:val="66CD1764"/>
    <w:rsid w:val="66D21D9A"/>
    <w:rsid w:val="66D76C6B"/>
    <w:rsid w:val="66E13637"/>
    <w:rsid w:val="66E9412F"/>
    <w:rsid w:val="6702222B"/>
    <w:rsid w:val="670F503C"/>
    <w:rsid w:val="67191D4F"/>
    <w:rsid w:val="671D35ED"/>
    <w:rsid w:val="671F124A"/>
    <w:rsid w:val="672C3830"/>
    <w:rsid w:val="67307467"/>
    <w:rsid w:val="673426E5"/>
    <w:rsid w:val="673D322F"/>
    <w:rsid w:val="67490E78"/>
    <w:rsid w:val="674D4CF9"/>
    <w:rsid w:val="67727495"/>
    <w:rsid w:val="677555D6"/>
    <w:rsid w:val="67766A07"/>
    <w:rsid w:val="677A33C6"/>
    <w:rsid w:val="67816E16"/>
    <w:rsid w:val="67893203"/>
    <w:rsid w:val="678E5D71"/>
    <w:rsid w:val="679E3E90"/>
    <w:rsid w:val="679F69A4"/>
    <w:rsid w:val="67A31ABB"/>
    <w:rsid w:val="67C1305C"/>
    <w:rsid w:val="67E26298"/>
    <w:rsid w:val="67EB2960"/>
    <w:rsid w:val="67EF3FE3"/>
    <w:rsid w:val="681A3FD0"/>
    <w:rsid w:val="681F6961"/>
    <w:rsid w:val="68240B00"/>
    <w:rsid w:val="682561C4"/>
    <w:rsid w:val="682D0E13"/>
    <w:rsid w:val="68355837"/>
    <w:rsid w:val="68360DE2"/>
    <w:rsid w:val="68505B88"/>
    <w:rsid w:val="68525518"/>
    <w:rsid w:val="68610A2F"/>
    <w:rsid w:val="6862319B"/>
    <w:rsid w:val="6864524C"/>
    <w:rsid w:val="686B65DA"/>
    <w:rsid w:val="686D39F6"/>
    <w:rsid w:val="68706575"/>
    <w:rsid w:val="68733494"/>
    <w:rsid w:val="687D2C1C"/>
    <w:rsid w:val="68805514"/>
    <w:rsid w:val="68847F04"/>
    <w:rsid w:val="689E3758"/>
    <w:rsid w:val="68A167AD"/>
    <w:rsid w:val="68A45648"/>
    <w:rsid w:val="68A610C0"/>
    <w:rsid w:val="68AC2938"/>
    <w:rsid w:val="68B72821"/>
    <w:rsid w:val="68C1269E"/>
    <w:rsid w:val="68C219F8"/>
    <w:rsid w:val="68C76075"/>
    <w:rsid w:val="68D13694"/>
    <w:rsid w:val="68E32614"/>
    <w:rsid w:val="68E32729"/>
    <w:rsid w:val="68E972A1"/>
    <w:rsid w:val="68F35599"/>
    <w:rsid w:val="68F8157A"/>
    <w:rsid w:val="690331A6"/>
    <w:rsid w:val="69044087"/>
    <w:rsid w:val="69121E49"/>
    <w:rsid w:val="691A16D3"/>
    <w:rsid w:val="69314C52"/>
    <w:rsid w:val="69316E2F"/>
    <w:rsid w:val="69332C58"/>
    <w:rsid w:val="693806E4"/>
    <w:rsid w:val="693A466A"/>
    <w:rsid w:val="693F1E35"/>
    <w:rsid w:val="694432ED"/>
    <w:rsid w:val="694E2071"/>
    <w:rsid w:val="695D754A"/>
    <w:rsid w:val="695E13F9"/>
    <w:rsid w:val="695E7EED"/>
    <w:rsid w:val="696929D7"/>
    <w:rsid w:val="69700DFD"/>
    <w:rsid w:val="69766163"/>
    <w:rsid w:val="697A3B33"/>
    <w:rsid w:val="697E18B9"/>
    <w:rsid w:val="697F5422"/>
    <w:rsid w:val="69877444"/>
    <w:rsid w:val="699B1E2F"/>
    <w:rsid w:val="699D6C67"/>
    <w:rsid w:val="69A9560C"/>
    <w:rsid w:val="69AF5041"/>
    <w:rsid w:val="69C522B0"/>
    <w:rsid w:val="69CF4947"/>
    <w:rsid w:val="69D12417"/>
    <w:rsid w:val="69D44760"/>
    <w:rsid w:val="69E46644"/>
    <w:rsid w:val="69EA78F3"/>
    <w:rsid w:val="69F61F9A"/>
    <w:rsid w:val="6A0A1970"/>
    <w:rsid w:val="6A0B1426"/>
    <w:rsid w:val="6A0E1913"/>
    <w:rsid w:val="6A184540"/>
    <w:rsid w:val="6A2443A3"/>
    <w:rsid w:val="6A260942"/>
    <w:rsid w:val="6A2D1734"/>
    <w:rsid w:val="6A372C18"/>
    <w:rsid w:val="6A4175F2"/>
    <w:rsid w:val="6A495D4E"/>
    <w:rsid w:val="6A520EC7"/>
    <w:rsid w:val="6A5512F0"/>
    <w:rsid w:val="6A57150E"/>
    <w:rsid w:val="6A5B5B8B"/>
    <w:rsid w:val="6A61091B"/>
    <w:rsid w:val="6A6A3DF6"/>
    <w:rsid w:val="6A782C51"/>
    <w:rsid w:val="6A794C11"/>
    <w:rsid w:val="6A7F7368"/>
    <w:rsid w:val="6A860CEC"/>
    <w:rsid w:val="6A8925CE"/>
    <w:rsid w:val="6A8A61D9"/>
    <w:rsid w:val="6A8D0A8A"/>
    <w:rsid w:val="6A8D6CDC"/>
    <w:rsid w:val="6AB82C7C"/>
    <w:rsid w:val="6AC27AD2"/>
    <w:rsid w:val="6AE33665"/>
    <w:rsid w:val="6AED4C77"/>
    <w:rsid w:val="6AF82153"/>
    <w:rsid w:val="6AF87E20"/>
    <w:rsid w:val="6AFA59F3"/>
    <w:rsid w:val="6B090119"/>
    <w:rsid w:val="6B240FB3"/>
    <w:rsid w:val="6B2474CA"/>
    <w:rsid w:val="6B264191"/>
    <w:rsid w:val="6B322639"/>
    <w:rsid w:val="6B52582F"/>
    <w:rsid w:val="6B5651F9"/>
    <w:rsid w:val="6B573DE4"/>
    <w:rsid w:val="6B743E8B"/>
    <w:rsid w:val="6B766313"/>
    <w:rsid w:val="6B78553B"/>
    <w:rsid w:val="6B8A27C2"/>
    <w:rsid w:val="6B930688"/>
    <w:rsid w:val="6BAA3965"/>
    <w:rsid w:val="6BAB6664"/>
    <w:rsid w:val="6BCB66C0"/>
    <w:rsid w:val="6BE276CB"/>
    <w:rsid w:val="6BEF3CA1"/>
    <w:rsid w:val="6BFF0BC1"/>
    <w:rsid w:val="6C076DCC"/>
    <w:rsid w:val="6C1845AE"/>
    <w:rsid w:val="6C1D7A35"/>
    <w:rsid w:val="6C225A9B"/>
    <w:rsid w:val="6C38336D"/>
    <w:rsid w:val="6C3A254B"/>
    <w:rsid w:val="6C423AF6"/>
    <w:rsid w:val="6C4D1843"/>
    <w:rsid w:val="6C501D6F"/>
    <w:rsid w:val="6C636C38"/>
    <w:rsid w:val="6C6611A3"/>
    <w:rsid w:val="6C7C2B64"/>
    <w:rsid w:val="6C8F31C5"/>
    <w:rsid w:val="6CA364BC"/>
    <w:rsid w:val="6CA717C2"/>
    <w:rsid w:val="6CAC4243"/>
    <w:rsid w:val="6CB62D20"/>
    <w:rsid w:val="6CB8345F"/>
    <w:rsid w:val="6CC0684A"/>
    <w:rsid w:val="6CD72AC5"/>
    <w:rsid w:val="6CD75FEC"/>
    <w:rsid w:val="6CDF30F3"/>
    <w:rsid w:val="6CED09BB"/>
    <w:rsid w:val="6CF01931"/>
    <w:rsid w:val="6CF074CB"/>
    <w:rsid w:val="6D013BAC"/>
    <w:rsid w:val="6D06668F"/>
    <w:rsid w:val="6D1E3C1B"/>
    <w:rsid w:val="6D2F5E28"/>
    <w:rsid w:val="6D340194"/>
    <w:rsid w:val="6D344D17"/>
    <w:rsid w:val="6D372F2F"/>
    <w:rsid w:val="6D417FD0"/>
    <w:rsid w:val="6D44419D"/>
    <w:rsid w:val="6D463172"/>
    <w:rsid w:val="6D5E1D6B"/>
    <w:rsid w:val="6D604233"/>
    <w:rsid w:val="6D68758C"/>
    <w:rsid w:val="6D6979FC"/>
    <w:rsid w:val="6D765805"/>
    <w:rsid w:val="6D84574D"/>
    <w:rsid w:val="6D911E54"/>
    <w:rsid w:val="6D94334F"/>
    <w:rsid w:val="6D9E17C5"/>
    <w:rsid w:val="6DA210B8"/>
    <w:rsid w:val="6DA670B8"/>
    <w:rsid w:val="6DAC24B4"/>
    <w:rsid w:val="6DAF34F8"/>
    <w:rsid w:val="6DB1683D"/>
    <w:rsid w:val="6DB34098"/>
    <w:rsid w:val="6DB545B6"/>
    <w:rsid w:val="6DB77893"/>
    <w:rsid w:val="6DBF3F6B"/>
    <w:rsid w:val="6DC2382E"/>
    <w:rsid w:val="6DCF4D81"/>
    <w:rsid w:val="6DE02FB4"/>
    <w:rsid w:val="6DE6006E"/>
    <w:rsid w:val="6DE808D0"/>
    <w:rsid w:val="6DE9321C"/>
    <w:rsid w:val="6DE96282"/>
    <w:rsid w:val="6DEA0FC4"/>
    <w:rsid w:val="6DEB647E"/>
    <w:rsid w:val="6DEE6C91"/>
    <w:rsid w:val="6E0213FB"/>
    <w:rsid w:val="6E0C3821"/>
    <w:rsid w:val="6E1243CD"/>
    <w:rsid w:val="6E1D0376"/>
    <w:rsid w:val="6E2F50E9"/>
    <w:rsid w:val="6E30791C"/>
    <w:rsid w:val="6E3826A2"/>
    <w:rsid w:val="6E4520DA"/>
    <w:rsid w:val="6E4A10BA"/>
    <w:rsid w:val="6E4E0530"/>
    <w:rsid w:val="6E514CED"/>
    <w:rsid w:val="6E533840"/>
    <w:rsid w:val="6E540E0E"/>
    <w:rsid w:val="6E55006A"/>
    <w:rsid w:val="6E7F14A1"/>
    <w:rsid w:val="6E855956"/>
    <w:rsid w:val="6E85634A"/>
    <w:rsid w:val="6E885396"/>
    <w:rsid w:val="6E8E6BDC"/>
    <w:rsid w:val="6EA01025"/>
    <w:rsid w:val="6EA14D87"/>
    <w:rsid w:val="6EA55530"/>
    <w:rsid w:val="6EA6036C"/>
    <w:rsid w:val="6EA63EC8"/>
    <w:rsid w:val="6EAB6A93"/>
    <w:rsid w:val="6EAD34A8"/>
    <w:rsid w:val="6EB31F0B"/>
    <w:rsid w:val="6EB563D5"/>
    <w:rsid w:val="6EB74327"/>
    <w:rsid w:val="6ED04C97"/>
    <w:rsid w:val="6ED92677"/>
    <w:rsid w:val="6EDC687A"/>
    <w:rsid w:val="6EF410D7"/>
    <w:rsid w:val="6EF41A60"/>
    <w:rsid w:val="6EF52F72"/>
    <w:rsid w:val="6F086C1A"/>
    <w:rsid w:val="6F1A6664"/>
    <w:rsid w:val="6F225983"/>
    <w:rsid w:val="6F234438"/>
    <w:rsid w:val="6F2A6AED"/>
    <w:rsid w:val="6F4656AB"/>
    <w:rsid w:val="6F7636AF"/>
    <w:rsid w:val="6F7C2E7B"/>
    <w:rsid w:val="6F867BDD"/>
    <w:rsid w:val="6F8D719B"/>
    <w:rsid w:val="6FA944AA"/>
    <w:rsid w:val="6FC2174F"/>
    <w:rsid w:val="6FC77FB7"/>
    <w:rsid w:val="6FCD67F6"/>
    <w:rsid w:val="6FD571B3"/>
    <w:rsid w:val="6FD66A2F"/>
    <w:rsid w:val="6FD74483"/>
    <w:rsid w:val="6FD74ED3"/>
    <w:rsid w:val="6FDC7F29"/>
    <w:rsid w:val="6FE012AB"/>
    <w:rsid w:val="6FEB4A8E"/>
    <w:rsid w:val="6FED36D1"/>
    <w:rsid w:val="6FF07A46"/>
    <w:rsid w:val="6FFA2478"/>
    <w:rsid w:val="6FFC5590"/>
    <w:rsid w:val="70027824"/>
    <w:rsid w:val="700622B5"/>
    <w:rsid w:val="702575BF"/>
    <w:rsid w:val="70343755"/>
    <w:rsid w:val="70354C0A"/>
    <w:rsid w:val="70450FFD"/>
    <w:rsid w:val="70591F0A"/>
    <w:rsid w:val="705F4C76"/>
    <w:rsid w:val="70676F30"/>
    <w:rsid w:val="706D1DD0"/>
    <w:rsid w:val="706D7478"/>
    <w:rsid w:val="70856B87"/>
    <w:rsid w:val="70891CF3"/>
    <w:rsid w:val="708B06B7"/>
    <w:rsid w:val="70967F6C"/>
    <w:rsid w:val="709E2E6D"/>
    <w:rsid w:val="70A4601B"/>
    <w:rsid w:val="70A72179"/>
    <w:rsid w:val="70AB669B"/>
    <w:rsid w:val="70AF076E"/>
    <w:rsid w:val="70B63CF1"/>
    <w:rsid w:val="70BA245B"/>
    <w:rsid w:val="70C43722"/>
    <w:rsid w:val="70CC398E"/>
    <w:rsid w:val="70CE2239"/>
    <w:rsid w:val="70D05EDA"/>
    <w:rsid w:val="70D4434A"/>
    <w:rsid w:val="70D527EE"/>
    <w:rsid w:val="70DD7056"/>
    <w:rsid w:val="70EA194E"/>
    <w:rsid w:val="70EC7817"/>
    <w:rsid w:val="70F938D9"/>
    <w:rsid w:val="70FF1FB5"/>
    <w:rsid w:val="710838A1"/>
    <w:rsid w:val="710A5BDB"/>
    <w:rsid w:val="711E36A9"/>
    <w:rsid w:val="71213CDA"/>
    <w:rsid w:val="71265F66"/>
    <w:rsid w:val="712B16AC"/>
    <w:rsid w:val="713709E6"/>
    <w:rsid w:val="71370B97"/>
    <w:rsid w:val="713E2059"/>
    <w:rsid w:val="71494866"/>
    <w:rsid w:val="714F4CEB"/>
    <w:rsid w:val="7153353F"/>
    <w:rsid w:val="715B5300"/>
    <w:rsid w:val="71684CF5"/>
    <w:rsid w:val="718E5E0C"/>
    <w:rsid w:val="719637A5"/>
    <w:rsid w:val="71AD37BF"/>
    <w:rsid w:val="71B06C3C"/>
    <w:rsid w:val="71D27F8A"/>
    <w:rsid w:val="71D642AB"/>
    <w:rsid w:val="71D715FA"/>
    <w:rsid w:val="71E92509"/>
    <w:rsid w:val="71EF7397"/>
    <w:rsid w:val="71F94C57"/>
    <w:rsid w:val="72155B84"/>
    <w:rsid w:val="721854D0"/>
    <w:rsid w:val="722D66AE"/>
    <w:rsid w:val="72330169"/>
    <w:rsid w:val="723B526F"/>
    <w:rsid w:val="72401224"/>
    <w:rsid w:val="724063E2"/>
    <w:rsid w:val="724A7181"/>
    <w:rsid w:val="72553024"/>
    <w:rsid w:val="7259202C"/>
    <w:rsid w:val="726100AD"/>
    <w:rsid w:val="72637223"/>
    <w:rsid w:val="7265409A"/>
    <w:rsid w:val="726772A8"/>
    <w:rsid w:val="727B5C76"/>
    <w:rsid w:val="72814C5A"/>
    <w:rsid w:val="728B6329"/>
    <w:rsid w:val="729E0A00"/>
    <w:rsid w:val="72A46970"/>
    <w:rsid w:val="72B01712"/>
    <w:rsid w:val="72B3035A"/>
    <w:rsid w:val="72B83DA3"/>
    <w:rsid w:val="72C20969"/>
    <w:rsid w:val="72D211D8"/>
    <w:rsid w:val="72E523DB"/>
    <w:rsid w:val="72E7459D"/>
    <w:rsid w:val="72F63B8C"/>
    <w:rsid w:val="7301673F"/>
    <w:rsid w:val="73035E55"/>
    <w:rsid w:val="730E3F17"/>
    <w:rsid w:val="730F1C61"/>
    <w:rsid w:val="73122968"/>
    <w:rsid w:val="731A2AC2"/>
    <w:rsid w:val="731A4B5B"/>
    <w:rsid w:val="731F5D5E"/>
    <w:rsid w:val="73253A30"/>
    <w:rsid w:val="734D525A"/>
    <w:rsid w:val="735439BB"/>
    <w:rsid w:val="73595549"/>
    <w:rsid w:val="735D2D96"/>
    <w:rsid w:val="73614861"/>
    <w:rsid w:val="73644D80"/>
    <w:rsid w:val="738A200A"/>
    <w:rsid w:val="73AD77F7"/>
    <w:rsid w:val="73B228E0"/>
    <w:rsid w:val="73B86A33"/>
    <w:rsid w:val="73C13552"/>
    <w:rsid w:val="73C272AC"/>
    <w:rsid w:val="73C51AD5"/>
    <w:rsid w:val="73E42727"/>
    <w:rsid w:val="73ED7AC2"/>
    <w:rsid w:val="73F30DD4"/>
    <w:rsid w:val="73F85D10"/>
    <w:rsid w:val="740B404C"/>
    <w:rsid w:val="740F0E11"/>
    <w:rsid w:val="741E793C"/>
    <w:rsid w:val="7420296E"/>
    <w:rsid w:val="74236143"/>
    <w:rsid w:val="74291A8A"/>
    <w:rsid w:val="743D0402"/>
    <w:rsid w:val="74512790"/>
    <w:rsid w:val="7458686C"/>
    <w:rsid w:val="745D2768"/>
    <w:rsid w:val="745E3944"/>
    <w:rsid w:val="746460D9"/>
    <w:rsid w:val="746A4BCB"/>
    <w:rsid w:val="746B7504"/>
    <w:rsid w:val="746C1710"/>
    <w:rsid w:val="7472484C"/>
    <w:rsid w:val="74750F31"/>
    <w:rsid w:val="74780F42"/>
    <w:rsid w:val="747868FE"/>
    <w:rsid w:val="74794000"/>
    <w:rsid w:val="748A428C"/>
    <w:rsid w:val="748D5459"/>
    <w:rsid w:val="7490551B"/>
    <w:rsid w:val="74951456"/>
    <w:rsid w:val="74991580"/>
    <w:rsid w:val="749B4E82"/>
    <w:rsid w:val="74A80EB7"/>
    <w:rsid w:val="74BF2118"/>
    <w:rsid w:val="74C257D4"/>
    <w:rsid w:val="74C94FE9"/>
    <w:rsid w:val="74D02899"/>
    <w:rsid w:val="74D30172"/>
    <w:rsid w:val="74D4739F"/>
    <w:rsid w:val="74DA3C16"/>
    <w:rsid w:val="74DD2905"/>
    <w:rsid w:val="74EB618A"/>
    <w:rsid w:val="74EB7B8A"/>
    <w:rsid w:val="74EE0377"/>
    <w:rsid w:val="74EE6AC2"/>
    <w:rsid w:val="74F2745F"/>
    <w:rsid w:val="74F35CB2"/>
    <w:rsid w:val="74FC7163"/>
    <w:rsid w:val="751853F4"/>
    <w:rsid w:val="752B39E5"/>
    <w:rsid w:val="7537580E"/>
    <w:rsid w:val="753C2DFC"/>
    <w:rsid w:val="754062CF"/>
    <w:rsid w:val="75410DEE"/>
    <w:rsid w:val="7544415F"/>
    <w:rsid w:val="75475CD9"/>
    <w:rsid w:val="754E350B"/>
    <w:rsid w:val="7551361B"/>
    <w:rsid w:val="755372A1"/>
    <w:rsid w:val="75555808"/>
    <w:rsid w:val="755D1737"/>
    <w:rsid w:val="756B15C9"/>
    <w:rsid w:val="756F65F9"/>
    <w:rsid w:val="75704BCB"/>
    <w:rsid w:val="759E3B4B"/>
    <w:rsid w:val="75A53E6A"/>
    <w:rsid w:val="75A81344"/>
    <w:rsid w:val="75BC0475"/>
    <w:rsid w:val="75CA1374"/>
    <w:rsid w:val="75CB4B5C"/>
    <w:rsid w:val="75D54836"/>
    <w:rsid w:val="75D64218"/>
    <w:rsid w:val="75DF5F11"/>
    <w:rsid w:val="75E54E6E"/>
    <w:rsid w:val="75E969A3"/>
    <w:rsid w:val="75EA4F92"/>
    <w:rsid w:val="75ED062E"/>
    <w:rsid w:val="75F0011F"/>
    <w:rsid w:val="760616F0"/>
    <w:rsid w:val="761262E7"/>
    <w:rsid w:val="7618515D"/>
    <w:rsid w:val="761C7166"/>
    <w:rsid w:val="76277FE4"/>
    <w:rsid w:val="762E4237"/>
    <w:rsid w:val="763249CF"/>
    <w:rsid w:val="7635099D"/>
    <w:rsid w:val="76405CE5"/>
    <w:rsid w:val="76591867"/>
    <w:rsid w:val="76746FA2"/>
    <w:rsid w:val="767974E8"/>
    <w:rsid w:val="76797BA7"/>
    <w:rsid w:val="76876CD5"/>
    <w:rsid w:val="76B91813"/>
    <w:rsid w:val="76BD5C87"/>
    <w:rsid w:val="76C35103"/>
    <w:rsid w:val="76C80C57"/>
    <w:rsid w:val="76CC0734"/>
    <w:rsid w:val="76D12632"/>
    <w:rsid w:val="76DD4057"/>
    <w:rsid w:val="76E52488"/>
    <w:rsid w:val="76E934EC"/>
    <w:rsid w:val="76F11890"/>
    <w:rsid w:val="77072D00"/>
    <w:rsid w:val="770929BA"/>
    <w:rsid w:val="77093414"/>
    <w:rsid w:val="77125B5A"/>
    <w:rsid w:val="7722255A"/>
    <w:rsid w:val="77291B3A"/>
    <w:rsid w:val="772E24B5"/>
    <w:rsid w:val="77361297"/>
    <w:rsid w:val="77445544"/>
    <w:rsid w:val="77453175"/>
    <w:rsid w:val="7748233A"/>
    <w:rsid w:val="774E49E1"/>
    <w:rsid w:val="77604C10"/>
    <w:rsid w:val="77645E1E"/>
    <w:rsid w:val="7766070D"/>
    <w:rsid w:val="77762421"/>
    <w:rsid w:val="778359BB"/>
    <w:rsid w:val="778B00FF"/>
    <w:rsid w:val="77A45197"/>
    <w:rsid w:val="77A8466F"/>
    <w:rsid w:val="77A970EB"/>
    <w:rsid w:val="77B2649F"/>
    <w:rsid w:val="77B5331E"/>
    <w:rsid w:val="77B56B1F"/>
    <w:rsid w:val="77C005BD"/>
    <w:rsid w:val="77C14103"/>
    <w:rsid w:val="77C35AEB"/>
    <w:rsid w:val="77CA0EA9"/>
    <w:rsid w:val="77CB0309"/>
    <w:rsid w:val="77D15DB7"/>
    <w:rsid w:val="77D23F80"/>
    <w:rsid w:val="77D538FC"/>
    <w:rsid w:val="77DE062E"/>
    <w:rsid w:val="77E048EF"/>
    <w:rsid w:val="77E67A2B"/>
    <w:rsid w:val="78021511"/>
    <w:rsid w:val="780A5B8F"/>
    <w:rsid w:val="780F09F4"/>
    <w:rsid w:val="78183480"/>
    <w:rsid w:val="78197E01"/>
    <w:rsid w:val="78235671"/>
    <w:rsid w:val="782A0C52"/>
    <w:rsid w:val="78371BEE"/>
    <w:rsid w:val="783A6C56"/>
    <w:rsid w:val="783B1B25"/>
    <w:rsid w:val="784372AC"/>
    <w:rsid w:val="7859635A"/>
    <w:rsid w:val="785E6DCE"/>
    <w:rsid w:val="7866291A"/>
    <w:rsid w:val="787153FD"/>
    <w:rsid w:val="78770683"/>
    <w:rsid w:val="787F40D5"/>
    <w:rsid w:val="788501E9"/>
    <w:rsid w:val="78902F65"/>
    <w:rsid w:val="78906250"/>
    <w:rsid w:val="78931961"/>
    <w:rsid w:val="78966B9C"/>
    <w:rsid w:val="78A90480"/>
    <w:rsid w:val="78B84974"/>
    <w:rsid w:val="78CA4663"/>
    <w:rsid w:val="78CF3981"/>
    <w:rsid w:val="78D613E4"/>
    <w:rsid w:val="78E33F6B"/>
    <w:rsid w:val="78ED0A1D"/>
    <w:rsid w:val="78F40005"/>
    <w:rsid w:val="78F63C9E"/>
    <w:rsid w:val="78FE181A"/>
    <w:rsid w:val="792B6E07"/>
    <w:rsid w:val="79440EAD"/>
    <w:rsid w:val="794F04F8"/>
    <w:rsid w:val="79602813"/>
    <w:rsid w:val="796A7E46"/>
    <w:rsid w:val="79871F35"/>
    <w:rsid w:val="798E2B26"/>
    <w:rsid w:val="79922F10"/>
    <w:rsid w:val="799C7E94"/>
    <w:rsid w:val="79BE326C"/>
    <w:rsid w:val="79D62E3E"/>
    <w:rsid w:val="79D719AC"/>
    <w:rsid w:val="79E47F9A"/>
    <w:rsid w:val="79EB3606"/>
    <w:rsid w:val="79ED73A3"/>
    <w:rsid w:val="79F228C9"/>
    <w:rsid w:val="79F314FD"/>
    <w:rsid w:val="79F96491"/>
    <w:rsid w:val="7A037A88"/>
    <w:rsid w:val="7A1651A7"/>
    <w:rsid w:val="7A270914"/>
    <w:rsid w:val="7A364017"/>
    <w:rsid w:val="7A364A0A"/>
    <w:rsid w:val="7A4D6CC2"/>
    <w:rsid w:val="7A537105"/>
    <w:rsid w:val="7A5655E9"/>
    <w:rsid w:val="7A5B71A6"/>
    <w:rsid w:val="7A625323"/>
    <w:rsid w:val="7A70182E"/>
    <w:rsid w:val="7A726E32"/>
    <w:rsid w:val="7A7632E8"/>
    <w:rsid w:val="7A7D679E"/>
    <w:rsid w:val="7A8265E1"/>
    <w:rsid w:val="7A96380C"/>
    <w:rsid w:val="7AA571B0"/>
    <w:rsid w:val="7AA70C46"/>
    <w:rsid w:val="7AB42D7E"/>
    <w:rsid w:val="7AB4539A"/>
    <w:rsid w:val="7AC041C1"/>
    <w:rsid w:val="7AD57908"/>
    <w:rsid w:val="7ADE52C1"/>
    <w:rsid w:val="7AE4A3C7"/>
    <w:rsid w:val="7AE73314"/>
    <w:rsid w:val="7AE76131"/>
    <w:rsid w:val="7B026A4C"/>
    <w:rsid w:val="7B0E6FA4"/>
    <w:rsid w:val="7B0F21BC"/>
    <w:rsid w:val="7B3A4316"/>
    <w:rsid w:val="7B471302"/>
    <w:rsid w:val="7B5C72E4"/>
    <w:rsid w:val="7B5E2736"/>
    <w:rsid w:val="7B686D42"/>
    <w:rsid w:val="7B841746"/>
    <w:rsid w:val="7B9464EA"/>
    <w:rsid w:val="7B971B02"/>
    <w:rsid w:val="7B9E28B4"/>
    <w:rsid w:val="7BA65190"/>
    <w:rsid w:val="7BA93C4C"/>
    <w:rsid w:val="7BB67B8F"/>
    <w:rsid w:val="7BCF1858"/>
    <w:rsid w:val="7BD0214F"/>
    <w:rsid w:val="7BD84834"/>
    <w:rsid w:val="7BDB0017"/>
    <w:rsid w:val="7BDB78F5"/>
    <w:rsid w:val="7BDF0A19"/>
    <w:rsid w:val="7BE20E9C"/>
    <w:rsid w:val="7BEA47FA"/>
    <w:rsid w:val="7BEA509B"/>
    <w:rsid w:val="7BEB3862"/>
    <w:rsid w:val="7BEB5F28"/>
    <w:rsid w:val="7BFB7AF1"/>
    <w:rsid w:val="7C110C5B"/>
    <w:rsid w:val="7C131A3C"/>
    <w:rsid w:val="7C146DAB"/>
    <w:rsid w:val="7C262AEC"/>
    <w:rsid w:val="7C2850C8"/>
    <w:rsid w:val="7C3150E6"/>
    <w:rsid w:val="7C4A67DB"/>
    <w:rsid w:val="7C5C4789"/>
    <w:rsid w:val="7C65597B"/>
    <w:rsid w:val="7C6C5AC7"/>
    <w:rsid w:val="7C6D24C9"/>
    <w:rsid w:val="7C745627"/>
    <w:rsid w:val="7C775DFC"/>
    <w:rsid w:val="7C7A4BE6"/>
    <w:rsid w:val="7C8714ED"/>
    <w:rsid w:val="7C873C66"/>
    <w:rsid w:val="7C91582C"/>
    <w:rsid w:val="7C947A56"/>
    <w:rsid w:val="7CA46692"/>
    <w:rsid w:val="7CAF4890"/>
    <w:rsid w:val="7CC33048"/>
    <w:rsid w:val="7CC6544B"/>
    <w:rsid w:val="7CD853EF"/>
    <w:rsid w:val="7CD902D9"/>
    <w:rsid w:val="7CDB72DF"/>
    <w:rsid w:val="7CE502B1"/>
    <w:rsid w:val="7CE71EA9"/>
    <w:rsid w:val="7CEC5AE4"/>
    <w:rsid w:val="7CF933E0"/>
    <w:rsid w:val="7D0239FF"/>
    <w:rsid w:val="7D165157"/>
    <w:rsid w:val="7D1B1F25"/>
    <w:rsid w:val="7D1C7A4B"/>
    <w:rsid w:val="7D336427"/>
    <w:rsid w:val="7D456E80"/>
    <w:rsid w:val="7D472646"/>
    <w:rsid w:val="7D5531B9"/>
    <w:rsid w:val="7D5E40CD"/>
    <w:rsid w:val="7D7C2B60"/>
    <w:rsid w:val="7D8157A7"/>
    <w:rsid w:val="7D817F7D"/>
    <w:rsid w:val="7D833F99"/>
    <w:rsid w:val="7D90280C"/>
    <w:rsid w:val="7D975C73"/>
    <w:rsid w:val="7D985324"/>
    <w:rsid w:val="7D993713"/>
    <w:rsid w:val="7DAA0021"/>
    <w:rsid w:val="7DB32516"/>
    <w:rsid w:val="7DB408A9"/>
    <w:rsid w:val="7DBB31BF"/>
    <w:rsid w:val="7DCD56F2"/>
    <w:rsid w:val="7DFF3C89"/>
    <w:rsid w:val="7E007C1E"/>
    <w:rsid w:val="7E050CB0"/>
    <w:rsid w:val="7E125738"/>
    <w:rsid w:val="7E285FAD"/>
    <w:rsid w:val="7E2D7961"/>
    <w:rsid w:val="7E327526"/>
    <w:rsid w:val="7E384BB1"/>
    <w:rsid w:val="7E4E6589"/>
    <w:rsid w:val="7E4E682A"/>
    <w:rsid w:val="7E4F19BB"/>
    <w:rsid w:val="7E5958EF"/>
    <w:rsid w:val="7E6C454D"/>
    <w:rsid w:val="7E70353A"/>
    <w:rsid w:val="7E7565C0"/>
    <w:rsid w:val="7E773953"/>
    <w:rsid w:val="7E846AEC"/>
    <w:rsid w:val="7E881750"/>
    <w:rsid w:val="7E9D7BDF"/>
    <w:rsid w:val="7E9F7C03"/>
    <w:rsid w:val="7EAE0003"/>
    <w:rsid w:val="7EB77504"/>
    <w:rsid w:val="7EC94EA3"/>
    <w:rsid w:val="7ED14F91"/>
    <w:rsid w:val="7ED819D6"/>
    <w:rsid w:val="7EE84142"/>
    <w:rsid w:val="7EF56CF6"/>
    <w:rsid w:val="7F001CE7"/>
    <w:rsid w:val="7F05318D"/>
    <w:rsid w:val="7F0709B3"/>
    <w:rsid w:val="7F121DFD"/>
    <w:rsid w:val="7F1814F6"/>
    <w:rsid w:val="7F33490E"/>
    <w:rsid w:val="7F36202C"/>
    <w:rsid w:val="7F39180C"/>
    <w:rsid w:val="7F475D8A"/>
    <w:rsid w:val="7F522944"/>
    <w:rsid w:val="7F5B07D2"/>
    <w:rsid w:val="7F5F1A44"/>
    <w:rsid w:val="7F7F2D1A"/>
    <w:rsid w:val="7F836DBE"/>
    <w:rsid w:val="7F876417"/>
    <w:rsid w:val="7F8F6BFA"/>
    <w:rsid w:val="7F9064EC"/>
    <w:rsid w:val="7F9B7F36"/>
    <w:rsid w:val="7F9E7782"/>
    <w:rsid w:val="7F9F6E3D"/>
    <w:rsid w:val="7FA97CBC"/>
    <w:rsid w:val="7FAD523D"/>
    <w:rsid w:val="7FAD60F8"/>
    <w:rsid w:val="7FB27487"/>
    <w:rsid w:val="7FE47E50"/>
    <w:rsid w:val="7FE826E4"/>
    <w:rsid w:val="7FEC1957"/>
    <w:rsid w:val="7FEE6FE6"/>
    <w:rsid w:val="7FFB1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iPriority="99"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174"/>
    <w:qFormat/>
    <w:locked/>
    <w:uiPriority w:val="99"/>
    <w:pPr>
      <w:numPr>
        <w:ilvl w:val="0"/>
        <w:numId w:val="1"/>
      </w:numPr>
      <w:tabs>
        <w:tab w:val="left" w:pos="715"/>
      </w:tabs>
      <w:ind w:firstLineChars="0"/>
      <w:jc w:val="center"/>
      <w:outlineLvl w:val="0"/>
    </w:pPr>
    <w:rPr>
      <w:rFonts w:eastAsia="黑体"/>
      <w:snapToGrid w:val="0"/>
      <w:color w:val="000000"/>
      <w:sz w:val="32"/>
      <w:szCs w:val="30"/>
    </w:rPr>
  </w:style>
  <w:style w:type="paragraph" w:styleId="4">
    <w:name w:val="heading 2"/>
    <w:basedOn w:val="1"/>
    <w:next w:val="1"/>
    <w:link w:val="58"/>
    <w:qFormat/>
    <w:locked/>
    <w:uiPriority w:val="0"/>
    <w:pPr>
      <w:numPr>
        <w:ilvl w:val="1"/>
        <w:numId w:val="1"/>
      </w:numPr>
      <w:tabs>
        <w:tab w:val="left" w:pos="0"/>
        <w:tab w:val="clear" w:pos="420"/>
      </w:tabs>
      <w:ind w:firstLineChars="0"/>
      <w:outlineLvl w:val="1"/>
    </w:pPr>
    <w:rPr>
      <w:b/>
      <w:bCs/>
      <w:kern w:val="0"/>
      <w:sz w:val="28"/>
      <w:szCs w:val="28"/>
    </w:rPr>
  </w:style>
  <w:style w:type="paragraph" w:styleId="5">
    <w:name w:val="heading 3"/>
    <w:basedOn w:val="1"/>
    <w:next w:val="1"/>
    <w:link w:val="59"/>
    <w:qFormat/>
    <w:locked/>
    <w:uiPriority w:val="0"/>
    <w:pPr>
      <w:numPr>
        <w:ilvl w:val="2"/>
        <w:numId w:val="1"/>
      </w:numPr>
      <w:adjustRightInd w:val="0"/>
      <w:snapToGrid w:val="0"/>
      <w:spacing w:beforeLines="50"/>
      <w:ind w:firstLineChars="0"/>
      <w:outlineLvl w:val="2"/>
    </w:pPr>
    <w:rPr>
      <w:b/>
      <w:bCs/>
      <w:color w:val="000000"/>
    </w:rPr>
  </w:style>
  <w:style w:type="paragraph" w:styleId="6">
    <w:name w:val="heading 4"/>
    <w:basedOn w:val="1"/>
    <w:next w:val="1"/>
    <w:unhideWhenUsed/>
    <w:qFormat/>
    <w:locked/>
    <w:uiPriority w:val="0"/>
    <w:pPr>
      <w:keepNext/>
      <w:keepLines/>
      <w:numPr>
        <w:ilvl w:val="3"/>
        <w:numId w:val="1"/>
      </w:numPr>
      <w:ind w:firstLineChars="0"/>
      <w:jc w:val="left"/>
      <w:outlineLvl w:val="3"/>
    </w:pPr>
    <w:rPr>
      <w:b/>
    </w:rPr>
  </w:style>
  <w:style w:type="paragraph" w:styleId="7">
    <w:name w:val="heading 5"/>
    <w:basedOn w:val="1"/>
    <w:next w:val="1"/>
    <w:unhideWhenUsed/>
    <w:qFormat/>
    <w:locked/>
    <w:uiPriority w:val="0"/>
    <w:pPr>
      <w:keepNext/>
      <w:keepLines/>
      <w:numPr>
        <w:ilvl w:val="4"/>
        <w:numId w:val="1"/>
      </w:numPr>
      <w:tabs>
        <w:tab w:val="left" w:pos="420"/>
      </w:tabs>
      <w:spacing w:line="372" w:lineRule="auto"/>
      <w:ind w:firstLineChars="0"/>
      <w:outlineLvl w:val="4"/>
    </w:pPr>
    <w:rPr>
      <w:b/>
      <w:sz w:val="28"/>
    </w:rPr>
  </w:style>
  <w:style w:type="paragraph" w:styleId="8">
    <w:name w:val="heading 6"/>
    <w:basedOn w:val="1"/>
    <w:next w:val="1"/>
    <w:unhideWhenUsed/>
    <w:qFormat/>
    <w:locked/>
    <w:uiPriority w:val="0"/>
    <w:pPr>
      <w:keepNext/>
      <w:keepLines/>
      <w:numPr>
        <w:ilvl w:val="5"/>
        <w:numId w:val="1"/>
      </w:numPr>
      <w:spacing w:line="317" w:lineRule="auto"/>
      <w:ind w:firstLineChars="0"/>
      <w:outlineLvl w:val="5"/>
    </w:pPr>
    <w:rPr>
      <w:rFonts w:ascii="Arial" w:hAnsi="Arial" w:eastAsia="黑体"/>
      <w:b/>
    </w:rPr>
  </w:style>
  <w:style w:type="paragraph" w:styleId="9">
    <w:name w:val="heading 7"/>
    <w:basedOn w:val="1"/>
    <w:next w:val="1"/>
    <w:unhideWhenUsed/>
    <w:qFormat/>
    <w:locked/>
    <w:uiPriority w:val="0"/>
    <w:pPr>
      <w:keepNext/>
      <w:keepLines/>
      <w:numPr>
        <w:ilvl w:val="6"/>
        <w:numId w:val="1"/>
      </w:numPr>
      <w:spacing w:line="317" w:lineRule="auto"/>
      <w:ind w:firstLineChars="0"/>
      <w:outlineLvl w:val="6"/>
    </w:pPr>
    <w:rPr>
      <w:b/>
    </w:rPr>
  </w:style>
  <w:style w:type="paragraph" w:styleId="10">
    <w:name w:val="heading 8"/>
    <w:basedOn w:val="1"/>
    <w:next w:val="1"/>
    <w:unhideWhenUsed/>
    <w:qFormat/>
    <w:locked/>
    <w:uiPriority w:val="0"/>
    <w:pPr>
      <w:keepNext/>
      <w:keepLines/>
      <w:numPr>
        <w:ilvl w:val="7"/>
        <w:numId w:val="1"/>
      </w:numPr>
      <w:spacing w:line="317" w:lineRule="auto"/>
      <w:ind w:firstLineChars="0"/>
      <w:outlineLvl w:val="7"/>
    </w:pPr>
    <w:rPr>
      <w:rFonts w:ascii="Arial" w:hAnsi="Arial" w:eastAsia="黑体"/>
    </w:rPr>
  </w:style>
  <w:style w:type="paragraph" w:styleId="11">
    <w:name w:val="heading 9"/>
    <w:basedOn w:val="1"/>
    <w:next w:val="1"/>
    <w:unhideWhenUsed/>
    <w:qFormat/>
    <w:locked/>
    <w:uiPriority w:val="0"/>
    <w:pPr>
      <w:keepNext/>
      <w:keepLines/>
      <w:numPr>
        <w:ilvl w:val="8"/>
        <w:numId w:val="1"/>
      </w:numPr>
      <w:spacing w:line="317" w:lineRule="auto"/>
      <w:ind w:firstLineChars="0"/>
      <w:outlineLvl w:val="8"/>
    </w:pPr>
    <w:rPr>
      <w:rFonts w:ascii="Arial" w:hAnsi="Arial" w:eastAsia="黑体"/>
      <w:sz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locked/>
    <w:uiPriority w:val="0"/>
    <w:pPr>
      <w:ind w:firstLine="420"/>
    </w:pPr>
  </w:style>
  <w:style w:type="paragraph" w:styleId="12">
    <w:name w:val="toc 7"/>
    <w:basedOn w:val="1"/>
    <w:next w:val="1"/>
    <w:qFormat/>
    <w:locked/>
    <w:uiPriority w:val="0"/>
    <w:pPr>
      <w:ind w:left="2520"/>
    </w:pPr>
  </w:style>
  <w:style w:type="paragraph" w:styleId="13">
    <w:name w:val="table of authorities"/>
    <w:basedOn w:val="1"/>
    <w:next w:val="1"/>
    <w:semiHidden/>
    <w:qFormat/>
    <w:locked/>
    <w:uiPriority w:val="0"/>
    <w:pPr>
      <w:ind w:left="420" w:leftChars="200"/>
    </w:pPr>
  </w:style>
  <w:style w:type="paragraph" w:styleId="14">
    <w:name w:val="Note Heading"/>
    <w:basedOn w:val="1"/>
    <w:next w:val="1"/>
    <w:qFormat/>
    <w:locked/>
    <w:uiPriority w:val="0"/>
    <w:pPr>
      <w:jc w:val="left"/>
    </w:pPr>
  </w:style>
  <w:style w:type="paragraph" w:styleId="15">
    <w:name w:val="caption"/>
    <w:basedOn w:val="1"/>
    <w:next w:val="1"/>
    <w:unhideWhenUsed/>
    <w:qFormat/>
    <w:locked/>
    <w:uiPriority w:val="0"/>
    <w:rPr>
      <w:rFonts w:ascii="Arial" w:hAnsi="Arial" w:eastAsia="黑体"/>
      <w:sz w:val="20"/>
    </w:rPr>
  </w:style>
  <w:style w:type="paragraph" w:styleId="16">
    <w:name w:val="annotation text"/>
    <w:basedOn w:val="1"/>
    <w:link w:val="60"/>
    <w:semiHidden/>
    <w:qFormat/>
    <w:uiPriority w:val="0"/>
    <w:pPr>
      <w:jc w:val="left"/>
    </w:pPr>
    <w:rPr>
      <w:kern w:val="0"/>
      <w:szCs w:val="20"/>
    </w:rPr>
  </w:style>
  <w:style w:type="paragraph" w:styleId="17">
    <w:name w:val="Salutation"/>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8">
    <w:name w:val="Body Text"/>
    <w:basedOn w:val="1"/>
    <w:next w:val="19"/>
    <w:link w:val="56"/>
    <w:qFormat/>
    <w:uiPriority w:val="0"/>
    <w:pPr>
      <w:widowControl/>
      <w:snapToGrid w:val="0"/>
      <w:spacing w:before="60" w:after="160" w:line="259" w:lineRule="auto"/>
      <w:ind w:right="113"/>
    </w:pPr>
    <w:rPr>
      <w:kern w:val="0"/>
      <w:sz w:val="18"/>
      <w:szCs w:val="20"/>
    </w:rPr>
  </w:style>
  <w:style w:type="paragraph" w:styleId="19">
    <w:name w:val="Plain Text"/>
    <w:basedOn w:val="1"/>
    <w:next w:val="18"/>
    <w:qFormat/>
    <w:locked/>
    <w:uiPriority w:val="0"/>
    <w:pPr>
      <w:ind w:firstLine="0"/>
    </w:pPr>
    <w:rPr>
      <w:rFonts w:ascii="宋体" w:hAnsi="Courier New"/>
    </w:rPr>
  </w:style>
  <w:style w:type="paragraph" w:styleId="20">
    <w:name w:val="Body Text Indent"/>
    <w:basedOn w:val="1"/>
    <w:next w:val="21"/>
    <w:link w:val="61"/>
    <w:qFormat/>
    <w:uiPriority w:val="0"/>
    <w:pPr>
      <w:spacing w:after="120"/>
      <w:ind w:left="420" w:leftChars="200"/>
    </w:pPr>
    <w:rPr>
      <w:kern w:val="0"/>
      <w:szCs w:val="20"/>
    </w:rPr>
  </w:style>
  <w:style w:type="paragraph" w:styleId="21">
    <w:name w:val="Body Text First Indent 2"/>
    <w:basedOn w:val="20"/>
    <w:next w:val="22"/>
    <w:qFormat/>
    <w:locked/>
    <w:uiPriority w:val="0"/>
    <w:pPr>
      <w:ind w:firstLine="420"/>
    </w:pPr>
  </w:style>
  <w:style w:type="paragraph" w:styleId="22">
    <w:name w:val="Body Text First Indent"/>
    <w:basedOn w:val="18"/>
    <w:next w:val="1"/>
    <w:qFormat/>
    <w:locked/>
    <w:uiPriority w:val="0"/>
    <w:pPr>
      <w:ind w:firstLine="420" w:firstLineChars="100"/>
    </w:pPr>
  </w:style>
  <w:style w:type="paragraph" w:styleId="23">
    <w:name w:val="index 4"/>
    <w:basedOn w:val="1"/>
    <w:next w:val="1"/>
    <w:qFormat/>
    <w:locked/>
    <w:uiPriority w:val="0"/>
    <w:pPr>
      <w:ind w:left="600" w:leftChars="600"/>
    </w:pPr>
    <w:rPr>
      <w:sz w:val="21"/>
    </w:rPr>
  </w:style>
  <w:style w:type="paragraph" w:styleId="24">
    <w:name w:val="Date"/>
    <w:basedOn w:val="1"/>
    <w:next w:val="1"/>
    <w:link w:val="62"/>
    <w:qFormat/>
    <w:uiPriority w:val="0"/>
    <w:pPr>
      <w:ind w:left="100" w:leftChars="2500"/>
    </w:pPr>
    <w:rPr>
      <w:kern w:val="0"/>
      <w:szCs w:val="20"/>
    </w:rPr>
  </w:style>
  <w:style w:type="paragraph" w:styleId="25">
    <w:name w:val="Balloon Text"/>
    <w:basedOn w:val="1"/>
    <w:link w:val="63"/>
    <w:semiHidden/>
    <w:qFormat/>
    <w:uiPriority w:val="0"/>
    <w:rPr>
      <w:kern w:val="0"/>
      <w:sz w:val="18"/>
      <w:szCs w:val="20"/>
    </w:rPr>
  </w:style>
  <w:style w:type="paragraph" w:styleId="26">
    <w:name w:val="footer"/>
    <w:basedOn w:val="1"/>
    <w:link w:val="64"/>
    <w:qFormat/>
    <w:uiPriority w:val="99"/>
    <w:pPr>
      <w:tabs>
        <w:tab w:val="center" w:pos="4153"/>
        <w:tab w:val="right" w:pos="8306"/>
      </w:tabs>
      <w:snapToGrid w:val="0"/>
      <w:jc w:val="left"/>
    </w:pPr>
    <w:rPr>
      <w:kern w:val="0"/>
      <w:sz w:val="18"/>
      <w:szCs w:val="20"/>
    </w:rPr>
  </w:style>
  <w:style w:type="paragraph" w:styleId="27">
    <w:name w:val="envelope return"/>
    <w:basedOn w:val="1"/>
    <w:qFormat/>
    <w:locked/>
    <w:uiPriority w:val="0"/>
    <w:pPr>
      <w:adjustRightInd w:val="0"/>
      <w:snapToGrid w:val="0"/>
    </w:pPr>
    <w:rPr>
      <w:rFonts w:ascii="Arial" w:hAnsi="Arial"/>
      <w:szCs w:val="22"/>
    </w:rPr>
  </w:style>
  <w:style w:type="paragraph" w:styleId="28">
    <w:name w:val="header"/>
    <w:basedOn w:val="1"/>
    <w:link w:val="65"/>
    <w:qFormat/>
    <w:uiPriority w:val="0"/>
    <w:pPr>
      <w:pBdr>
        <w:bottom w:val="single" w:color="auto" w:sz="6" w:space="1"/>
      </w:pBdr>
      <w:tabs>
        <w:tab w:val="center" w:pos="4153"/>
        <w:tab w:val="right" w:pos="8306"/>
      </w:tabs>
      <w:snapToGrid w:val="0"/>
      <w:jc w:val="center"/>
    </w:pPr>
    <w:rPr>
      <w:kern w:val="0"/>
      <w:sz w:val="18"/>
      <w:szCs w:val="20"/>
    </w:rPr>
  </w:style>
  <w:style w:type="paragraph" w:styleId="29">
    <w:name w:val="toc 1"/>
    <w:basedOn w:val="1"/>
    <w:next w:val="1"/>
    <w:unhideWhenUsed/>
    <w:qFormat/>
    <w:locked/>
    <w:uiPriority w:val="39"/>
    <w:pPr>
      <w:tabs>
        <w:tab w:val="left" w:pos="1200"/>
        <w:tab w:val="right" w:leader="dot" w:pos="8948"/>
      </w:tabs>
      <w:spacing w:before="120" w:after="120"/>
      <w:ind w:firstLine="482"/>
      <w:jc w:val="center"/>
    </w:pPr>
    <w:rPr>
      <w:rFonts w:ascii="Calibri" w:hAnsi="Calibri" w:cs="Calibri"/>
      <w:b/>
      <w:bCs/>
      <w:caps/>
    </w:rPr>
  </w:style>
  <w:style w:type="paragraph" w:styleId="30">
    <w:name w:val="toc 2"/>
    <w:basedOn w:val="1"/>
    <w:next w:val="1"/>
    <w:qFormat/>
    <w:locked/>
    <w:uiPriority w:val="0"/>
    <w:pPr>
      <w:ind w:left="420" w:leftChars="200"/>
    </w:pPr>
  </w:style>
  <w:style w:type="paragraph" w:styleId="31">
    <w:name w:val="Body Text 2"/>
    <w:basedOn w:val="1"/>
    <w:unhideWhenUsed/>
    <w:qFormat/>
    <w:locked/>
    <w:uiPriority w:val="99"/>
    <w:pPr>
      <w:spacing w:after="120" w:line="480" w:lineRule="auto"/>
    </w:pPr>
  </w:style>
  <w:style w:type="paragraph" w:styleId="32">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33">
    <w:name w:val="Normal (Web)"/>
    <w:basedOn w:val="1"/>
    <w:link w:val="57"/>
    <w:qFormat/>
    <w:uiPriority w:val="0"/>
    <w:pPr>
      <w:widowControl/>
      <w:spacing w:before="100" w:beforeAutospacing="1" w:after="100" w:afterAutospacing="1"/>
      <w:jc w:val="left"/>
    </w:pPr>
    <w:rPr>
      <w:rFonts w:ascii="宋体" w:hAnsi="宋体"/>
      <w:kern w:val="0"/>
      <w:szCs w:val="20"/>
    </w:rPr>
  </w:style>
  <w:style w:type="paragraph" w:styleId="34">
    <w:name w:val="Title"/>
    <w:basedOn w:val="1"/>
    <w:next w:val="1"/>
    <w:qFormat/>
    <w:locked/>
    <w:uiPriority w:val="0"/>
    <w:pPr>
      <w:spacing w:before="240" w:after="60"/>
      <w:jc w:val="center"/>
      <w:outlineLvl w:val="0"/>
    </w:pPr>
    <w:rPr>
      <w:rFonts w:ascii="Cambria" w:hAnsi="Cambria"/>
      <w:b/>
      <w:bCs/>
      <w:sz w:val="32"/>
      <w:szCs w:val="32"/>
    </w:rPr>
  </w:style>
  <w:style w:type="paragraph" w:styleId="35">
    <w:name w:val="annotation subject"/>
    <w:basedOn w:val="16"/>
    <w:next w:val="16"/>
    <w:link w:val="66"/>
    <w:semiHidden/>
    <w:qFormat/>
    <w:uiPriority w:val="0"/>
    <w:rPr>
      <w:b/>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locked/>
    <w:uiPriority w:val="0"/>
    <w:rPr>
      <w:b/>
    </w:rPr>
  </w:style>
  <w:style w:type="character" w:styleId="40">
    <w:name w:val="page number"/>
    <w:basedOn w:val="38"/>
    <w:qFormat/>
    <w:locked/>
    <w:uiPriority w:val="0"/>
  </w:style>
  <w:style w:type="character" w:styleId="41">
    <w:name w:val="FollowedHyperlink"/>
    <w:basedOn w:val="38"/>
    <w:qFormat/>
    <w:locked/>
    <w:uiPriority w:val="0"/>
    <w:rPr>
      <w:color w:val="2D64B3"/>
      <w:u w:val="none"/>
    </w:rPr>
  </w:style>
  <w:style w:type="character" w:styleId="42">
    <w:name w:val="Emphasis"/>
    <w:basedOn w:val="38"/>
    <w:qFormat/>
    <w:locked/>
    <w:uiPriority w:val="0"/>
  </w:style>
  <w:style w:type="character" w:styleId="43">
    <w:name w:val="HTML Definition"/>
    <w:basedOn w:val="38"/>
    <w:qFormat/>
    <w:locked/>
    <w:uiPriority w:val="0"/>
  </w:style>
  <w:style w:type="character" w:styleId="44">
    <w:name w:val="HTML Variable"/>
    <w:basedOn w:val="38"/>
    <w:qFormat/>
    <w:locked/>
    <w:uiPriority w:val="0"/>
  </w:style>
  <w:style w:type="character" w:styleId="45">
    <w:name w:val="Hyperlink"/>
    <w:basedOn w:val="38"/>
    <w:qFormat/>
    <w:locked/>
    <w:uiPriority w:val="0"/>
    <w:rPr>
      <w:color w:val="2D64B3"/>
      <w:u w:val="none"/>
    </w:rPr>
  </w:style>
  <w:style w:type="character" w:styleId="46">
    <w:name w:val="HTML Code"/>
    <w:basedOn w:val="38"/>
    <w:qFormat/>
    <w:locked/>
    <w:uiPriority w:val="0"/>
    <w:rPr>
      <w:rFonts w:hint="default" w:ascii="Arial" w:hAnsi="Arial" w:cs="Arial"/>
      <w:sz w:val="20"/>
    </w:rPr>
  </w:style>
  <w:style w:type="character" w:styleId="47">
    <w:name w:val="annotation reference"/>
    <w:basedOn w:val="38"/>
    <w:semiHidden/>
    <w:qFormat/>
    <w:uiPriority w:val="0"/>
    <w:rPr>
      <w:sz w:val="21"/>
    </w:rPr>
  </w:style>
  <w:style w:type="character" w:styleId="48">
    <w:name w:val="HTML Cite"/>
    <w:basedOn w:val="38"/>
    <w:qFormat/>
    <w:locked/>
    <w:uiPriority w:val="0"/>
  </w:style>
  <w:style w:type="character" w:styleId="49">
    <w:name w:val="HTML Keyboard"/>
    <w:basedOn w:val="38"/>
    <w:qFormat/>
    <w:locked/>
    <w:uiPriority w:val="0"/>
    <w:rPr>
      <w:rFonts w:hint="default" w:ascii="Arial" w:hAnsi="Arial" w:cs="Arial"/>
      <w:sz w:val="20"/>
    </w:rPr>
  </w:style>
  <w:style w:type="character" w:styleId="50">
    <w:name w:val="HTML Sample"/>
    <w:basedOn w:val="38"/>
    <w:qFormat/>
    <w:locked/>
    <w:uiPriority w:val="0"/>
    <w:rPr>
      <w:rFonts w:hint="eastAsia" w:ascii="Arial" w:hAnsi="Arial" w:cs="Arial"/>
    </w:rPr>
  </w:style>
  <w:style w:type="paragraph" w:customStyle="1" w:styleId="51">
    <w:name w:val="附件"/>
    <w:basedOn w:val="1"/>
    <w:next w:val="1"/>
    <w:link w:val="52"/>
    <w:qFormat/>
    <w:uiPriority w:val="0"/>
    <w:pPr>
      <w:widowControl/>
      <w:tabs>
        <w:tab w:val="left" w:pos="715"/>
      </w:tabs>
      <w:adjustRightInd w:val="0"/>
      <w:snapToGrid w:val="0"/>
      <w:ind w:firstLine="0" w:firstLineChars="0"/>
      <w:jc w:val="left"/>
      <w:outlineLvl w:val="0"/>
    </w:pPr>
    <w:rPr>
      <w:b/>
      <w:snapToGrid w:val="0"/>
      <w:color w:val="000000"/>
      <w:kern w:val="0"/>
      <w:szCs w:val="30"/>
    </w:rPr>
  </w:style>
  <w:style w:type="character" w:customStyle="1" w:styleId="52">
    <w:name w:val="附件 Char"/>
    <w:link w:val="51"/>
    <w:qFormat/>
    <w:uiPriority w:val="0"/>
    <w:rPr>
      <w:rFonts w:ascii="Times New Roman" w:hAnsi="Times New Roman" w:eastAsia="宋体"/>
      <w:b/>
      <w:snapToGrid w:val="0"/>
      <w:color w:val="000000"/>
      <w:kern w:val="0"/>
      <w:sz w:val="24"/>
      <w:szCs w:val="30"/>
      <w:highlight w:val="none"/>
    </w:rPr>
  </w:style>
  <w:style w:type="paragraph" w:customStyle="1" w:styleId="53">
    <w:name w:val="表格文本"/>
    <w:basedOn w:val="1"/>
    <w:next w:val="1"/>
    <w:link w:val="54"/>
    <w:qFormat/>
    <w:uiPriority w:val="0"/>
    <w:pPr>
      <w:adjustRightInd w:val="0"/>
      <w:snapToGrid w:val="0"/>
      <w:spacing w:line="320" w:lineRule="exact"/>
      <w:ind w:firstLine="0" w:firstLineChars="0"/>
      <w:jc w:val="center"/>
    </w:pPr>
    <w:rPr>
      <w:color w:val="000000"/>
      <w:sz w:val="21"/>
      <w:szCs w:val="21"/>
    </w:rPr>
  </w:style>
  <w:style w:type="character" w:customStyle="1" w:styleId="54">
    <w:name w:val="表格文本 Char"/>
    <w:link w:val="53"/>
    <w:qFormat/>
    <w:uiPriority w:val="0"/>
    <w:rPr>
      <w:rFonts w:cs="Times New Roman"/>
      <w:color w:val="000000"/>
      <w:sz w:val="21"/>
      <w:szCs w:val="21"/>
      <w:highlight w:val="none"/>
    </w:rPr>
  </w:style>
  <w:style w:type="paragraph" w:customStyle="1" w:styleId="55">
    <w:name w:val="Char Char Char Char Char Char Char Char Char1 Char"/>
    <w:basedOn w:val="1"/>
    <w:semiHidden/>
    <w:qFormat/>
    <w:uiPriority w:val="0"/>
    <w:pPr>
      <w:ind w:firstLine="0"/>
    </w:pPr>
    <w:rPr>
      <w:rFonts w:ascii="宋体" w:hAnsi="宋体" w:cs="Courier New"/>
      <w:sz w:val="32"/>
      <w:szCs w:val="32"/>
    </w:rPr>
  </w:style>
  <w:style w:type="character" w:customStyle="1" w:styleId="56">
    <w:name w:val="正文文本 Char"/>
    <w:link w:val="18"/>
    <w:qFormat/>
    <w:locked/>
    <w:uiPriority w:val="0"/>
    <w:rPr>
      <w:sz w:val="18"/>
    </w:rPr>
  </w:style>
  <w:style w:type="character" w:customStyle="1" w:styleId="57">
    <w:name w:val="普通(网站) Char"/>
    <w:link w:val="33"/>
    <w:qFormat/>
    <w:locked/>
    <w:uiPriority w:val="0"/>
    <w:rPr>
      <w:rFonts w:ascii="宋体" w:hAnsi="宋体" w:eastAsia="宋体"/>
      <w:sz w:val="24"/>
    </w:rPr>
  </w:style>
  <w:style w:type="character" w:customStyle="1" w:styleId="58">
    <w:name w:val="标题 2 Char"/>
    <w:link w:val="4"/>
    <w:qFormat/>
    <w:uiPriority w:val="0"/>
    <w:rPr>
      <w:rFonts w:eastAsia="宋体"/>
      <w:b/>
      <w:bCs/>
      <w:kern w:val="0"/>
      <w:sz w:val="28"/>
      <w:szCs w:val="28"/>
    </w:rPr>
  </w:style>
  <w:style w:type="character" w:customStyle="1" w:styleId="59">
    <w:name w:val="标题 3 Char"/>
    <w:link w:val="5"/>
    <w:qFormat/>
    <w:uiPriority w:val="0"/>
    <w:rPr>
      <w:rFonts w:ascii="Times New Roman" w:hAnsi="Times New Roman" w:eastAsia="宋体" w:cs="Times New Roman"/>
      <w:b/>
      <w:bCs/>
      <w:color w:val="000000"/>
      <w:kern w:val="2"/>
      <w:sz w:val="24"/>
      <w:szCs w:val="24"/>
      <w:highlight w:val="none"/>
      <w:lang w:val="en-US" w:eastAsia="zh-CN" w:bidi="ar-SA"/>
    </w:rPr>
  </w:style>
  <w:style w:type="character" w:customStyle="1" w:styleId="60">
    <w:name w:val="批注文字 Char"/>
    <w:link w:val="16"/>
    <w:qFormat/>
    <w:locked/>
    <w:uiPriority w:val="0"/>
    <w:rPr>
      <w:rFonts w:ascii="Times New Roman" w:hAnsi="Times New Roman" w:eastAsia="宋体"/>
      <w:sz w:val="24"/>
    </w:rPr>
  </w:style>
  <w:style w:type="character" w:customStyle="1" w:styleId="61">
    <w:name w:val="正文文本缩进 Char"/>
    <w:basedOn w:val="38"/>
    <w:link w:val="20"/>
    <w:semiHidden/>
    <w:qFormat/>
    <w:locked/>
    <w:uiPriority w:val="0"/>
    <w:rPr>
      <w:rFonts w:ascii="Times New Roman" w:hAnsi="Times New Roman" w:eastAsia="宋体"/>
      <w:sz w:val="24"/>
    </w:rPr>
  </w:style>
  <w:style w:type="character" w:customStyle="1" w:styleId="62">
    <w:name w:val="日期 Char"/>
    <w:link w:val="24"/>
    <w:qFormat/>
    <w:locked/>
    <w:uiPriority w:val="0"/>
    <w:rPr>
      <w:rFonts w:ascii="Times New Roman" w:hAnsi="Times New Roman" w:eastAsia="宋体"/>
      <w:sz w:val="24"/>
    </w:rPr>
  </w:style>
  <w:style w:type="character" w:customStyle="1" w:styleId="63">
    <w:name w:val="批注框文本 Char"/>
    <w:link w:val="25"/>
    <w:semiHidden/>
    <w:qFormat/>
    <w:locked/>
    <w:uiPriority w:val="0"/>
    <w:rPr>
      <w:rFonts w:ascii="Times New Roman" w:hAnsi="Times New Roman" w:eastAsia="宋体"/>
      <w:sz w:val="18"/>
    </w:rPr>
  </w:style>
  <w:style w:type="character" w:customStyle="1" w:styleId="64">
    <w:name w:val="页脚 Char"/>
    <w:link w:val="26"/>
    <w:qFormat/>
    <w:locked/>
    <w:uiPriority w:val="99"/>
    <w:rPr>
      <w:sz w:val="18"/>
    </w:rPr>
  </w:style>
  <w:style w:type="character" w:customStyle="1" w:styleId="65">
    <w:name w:val="页眉 Char"/>
    <w:link w:val="28"/>
    <w:qFormat/>
    <w:locked/>
    <w:uiPriority w:val="0"/>
    <w:rPr>
      <w:sz w:val="18"/>
    </w:rPr>
  </w:style>
  <w:style w:type="character" w:customStyle="1" w:styleId="66">
    <w:name w:val="批注主题 Char"/>
    <w:link w:val="35"/>
    <w:semiHidden/>
    <w:qFormat/>
    <w:locked/>
    <w:uiPriority w:val="0"/>
    <w:rPr>
      <w:rFonts w:ascii="Times New Roman" w:hAnsi="Times New Roman" w:eastAsia="宋体"/>
      <w:b/>
      <w:kern w:val="2"/>
      <w:sz w:val="24"/>
    </w:rPr>
  </w:style>
  <w:style w:type="paragraph" w:customStyle="1" w:styleId="67">
    <w:name w:val="Default"/>
    <w:basedOn w:val="68"/>
    <w:qFormat/>
    <w:uiPriority w:val="0"/>
    <w:pPr>
      <w:autoSpaceDE w:val="0"/>
      <w:autoSpaceDN w:val="0"/>
      <w:adjustRightInd w:val="0"/>
    </w:pPr>
    <w:rPr>
      <w:rFonts w:ascii="Arial Unicode MS" w:hAnsi="Arial Unicode MS" w:cs="Arial Unicode MS"/>
      <w:color w:val="000000"/>
      <w:szCs w:val="24"/>
    </w:rPr>
  </w:style>
  <w:style w:type="paragraph" w:customStyle="1" w:styleId="68">
    <w:name w:val="纯文本1"/>
    <w:basedOn w:val="1"/>
    <w:qFormat/>
    <w:uiPriority w:val="99"/>
    <w:rPr>
      <w:rFonts w:ascii="宋体" w:hAnsi="Courier New" w:cs="黑体"/>
      <w:szCs w:val="21"/>
    </w:rPr>
  </w:style>
  <w:style w:type="paragraph" w:customStyle="1" w:styleId="69">
    <w:name w:val="正文(首行缩进)"/>
    <w:basedOn w:val="1"/>
    <w:qFormat/>
    <w:uiPriority w:val="0"/>
    <w:pPr>
      <w:adjustRightInd w:val="0"/>
      <w:snapToGrid w:val="0"/>
      <w:ind w:firstLine="200"/>
    </w:pPr>
    <w:rPr>
      <w:snapToGrid w:val="0"/>
    </w:rPr>
  </w:style>
  <w:style w:type="paragraph" w:customStyle="1" w:styleId="70">
    <w:name w:val="样式2"/>
    <w:basedOn w:val="23"/>
    <w:next w:val="6"/>
    <w:qFormat/>
    <w:uiPriority w:val="0"/>
    <w:pPr>
      <w:ind w:firstLine="482"/>
    </w:pPr>
    <w:rPr>
      <w:b/>
      <w:sz w:val="24"/>
    </w:rPr>
  </w:style>
  <w:style w:type="paragraph" w:customStyle="1" w:styleId="71">
    <w:name w:val="样式 正文文本缩进 + 行距: 1.5 倍行距"/>
    <w:basedOn w:val="1"/>
    <w:qFormat/>
    <w:uiPriority w:val="0"/>
    <w:pPr>
      <w:spacing w:after="120"/>
      <w:ind w:left="90" w:leftChars="32" w:firstLine="560"/>
    </w:pPr>
    <w:rPr>
      <w:rFonts w:cs="宋体"/>
    </w:rPr>
  </w:style>
  <w:style w:type="character" w:customStyle="1" w:styleId="72">
    <w:name w:val="5文章(治) Char1"/>
    <w:qFormat/>
    <w:uiPriority w:val="0"/>
    <w:rPr>
      <w:rFonts w:ascii="Arial" w:hAnsi="Arial" w:eastAsia="宋体" w:cs="Tahoma"/>
      <w:snapToGrid w:val="0"/>
      <w:sz w:val="24"/>
      <w:szCs w:val="21"/>
      <w:lang w:val="en-US" w:eastAsia="zh-CN" w:bidi="ar-SA"/>
    </w:rPr>
  </w:style>
  <w:style w:type="character" w:customStyle="1" w:styleId="73">
    <w:name w:val="批注文字 字符1"/>
    <w:semiHidden/>
    <w:qFormat/>
    <w:uiPriority w:val="0"/>
    <w:rPr>
      <w:rFonts w:ascii="Times New Roman" w:hAnsi="Times New Roman" w:eastAsia="宋体"/>
      <w:sz w:val="24"/>
    </w:rPr>
  </w:style>
  <w:style w:type="character" w:customStyle="1" w:styleId="74">
    <w:name w:val="表格 Char"/>
    <w:link w:val="75"/>
    <w:qFormat/>
    <w:locked/>
    <w:uiPriority w:val="0"/>
    <w:rPr>
      <w:rFonts w:ascii="宋体"/>
      <w:sz w:val="21"/>
    </w:rPr>
  </w:style>
  <w:style w:type="paragraph" w:customStyle="1" w:styleId="75">
    <w:name w:val="表格"/>
    <w:basedOn w:val="1"/>
    <w:next w:val="1"/>
    <w:link w:val="74"/>
    <w:qFormat/>
    <w:uiPriority w:val="0"/>
    <w:pPr>
      <w:adjustRightInd w:val="0"/>
      <w:snapToGrid w:val="0"/>
      <w:spacing w:beforeLines="10" w:afterLines="10" w:line="259" w:lineRule="auto"/>
      <w:jc w:val="center"/>
    </w:pPr>
    <w:rPr>
      <w:rFonts w:ascii="宋体"/>
      <w:kern w:val="0"/>
      <w:szCs w:val="20"/>
    </w:rPr>
  </w:style>
  <w:style w:type="character" w:customStyle="1" w:styleId="76">
    <w:name w:val="zhang正文 Char1"/>
    <w:basedOn w:val="61"/>
    <w:link w:val="77"/>
    <w:qFormat/>
    <w:uiPriority w:val="0"/>
    <w:rPr>
      <w:rFonts w:eastAsia="楷体_GB2312"/>
      <w:kern w:val="0"/>
    </w:rPr>
  </w:style>
  <w:style w:type="paragraph" w:customStyle="1" w:styleId="77">
    <w:name w:val="zhang正文"/>
    <w:basedOn w:val="20"/>
    <w:next w:val="1"/>
    <w:link w:val="76"/>
    <w:qFormat/>
    <w:uiPriority w:val="0"/>
    <w:pPr>
      <w:autoSpaceDE w:val="0"/>
      <w:autoSpaceDN w:val="0"/>
      <w:adjustRightInd w:val="0"/>
      <w:snapToGrid w:val="0"/>
      <w:spacing w:line="500" w:lineRule="exact"/>
      <w:ind w:firstLine="539"/>
      <w:textAlignment w:val="baseline"/>
    </w:pPr>
    <w:rPr>
      <w:rFonts w:eastAsia="楷体_GB2312"/>
    </w:rPr>
  </w:style>
  <w:style w:type="character" w:customStyle="1" w:styleId="78">
    <w:name w:val="页脚 字符"/>
    <w:basedOn w:val="38"/>
    <w:qFormat/>
    <w:uiPriority w:val="99"/>
  </w:style>
  <w:style w:type="character" w:customStyle="1" w:styleId="79">
    <w:name w:val="样式 zhang正文 + 宋体 小四 Char"/>
    <w:basedOn w:val="76"/>
    <w:link w:val="80"/>
    <w:qFormat/>
    <w:uiPriority w:val="0"/>
    <w:rPr>
      <w:rFonts w:ascii="宋体" w:hAnsi="宋体" w:eastAsia="宋体"/>
      <w:sz w:val="24"/>
    </w:rPr>
  </w:style>
  <w:style w:type="paragraph" w:customStyle="1" w:styleId="80">
    <w:name w:val="样式 zhang正文 + 宋体 小四"/>
    <w:basedOn w:val="77"/>
    <w:link w:val="79"/>
    <w:qFormat/>
    <w:uiPriority w:val="0"/>
    <w:rPr>
      <w:rFonts w:ascii="宋体" w:hAnsi="宋体" w:eastAsia="宋体"/>
    </w:rPr>
  </w:style>
  <w:style w:type="character" w:customStyle="1" w:styleId="81">
    <w:name w:val="日期 字符"/>
    <w:semiHidden/>
    <w:qFormat/>
    <w:uiPriority w:val="0"/>
    <w:rPr>
      <w:rFonts w:ascii="Times New Roman" w:hAnsi="Times New Roman" w:eastAsia="宋体"/>
      <w:sz w:val="24"/>
    </w:rPr>
  </w:style>
  <w:style w:type="character" w:customStyle="1" w:styleId="82">
    <w:name w:val="正文文本 字符1"/>
    <w:semiHidden/>
    <w:qFormat/>
    <w:uiPriority w:val="0"/>
    <w:rPr>
      <w:rFonts w:ascii="Times New Roman" w:hAnsi="Times New Roman" w:eastAsia="宋体"/>
      <w:sz w:val="24"/>
    </w:rPr>
  </w:style>
  <w:style w:type="paragraph" w:customStyle="1" w:styleId="83">
    <w:name w:val="5文章(治)"/>
    <w:basedOn w:val="1"/>
    <w:qFormat/>
    <w:uiPriority w:val="0"/>
    <w:pPr>
      <w:ind w:firstLine="560"/>
    </w:pPr>
    <w:rPr>
      <w:szCs w:val="20"/>
    </w:rPr>
  </w:style>
  <w:style w:type="paragraph" w:customStyle="1" w:styleId="84">
    <w:name w:val="报告书正文"/>
    <w:basedOn w:val="1"/>
    <w:qFormat/>
    <w:uiPriority w:val="0"/>
    <w:pPr>
      <w:widowControl/>
      <w:ind w:firstLine="420"/>
    </w:pPr>
  </w:style>
  <w:style w:type="paragraph" w:customStyle="1" w:styleId="85">
    <w:name w:val="表格名称"/>
    <w:basedOn w:val="1"/>
    <w:next w:val="1"/>
    <w:qFormat/>
    <w:uiPriority w:val="0"/>
    <w:pPr>
      <w:spacing w:beforeLines="50" w:line="240" w:lineRule="auto"/>
      <w:ind w:firstLine="0" w:firstLineChars="0"/>
      <w:jc w:val="center"/>
    </w:pPr>
    <w:rPr>
      <w:rFonts w:cs="宋体"/>
      <w:b/>
      <w:bCs/>
      <w:sz w:val="21"/>
      <w:szCs w:val="21"/>
    </w:rPr>
  </w:style>
  <w:style w:type="paragraph" w:customStyle="1" w:styleId="86">
    <w:name w:val="正文hhhhhh"/>
    <w:basedOn w:val="1"/>
    <w:next w:val="6"/>
    <w:qFormat/>
    <w:uiPriority w:val="0"/>
    <w:pPr>
      <w:adjustRightInd w:val="0"/>
      <w:snapToGrid w:val="0"/>
      <w:ind w:firstLine="200"/>
      <w:jc w:val="left"/>
    </w:pPr>
  </w:style>
  <w:style w:type="paragraph" w:customStyle="1" w:styleId="87">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88">
    <w:name w:val="正文1"/>
    <w:basedOn w:val="20"/>
    <w:qFormat/>
    <w:uiPriority w:val="0"/>
    <w:pPr>
      <w:ind w:firstLine="200"/>
    </w:pPr>
    <w:rPr>
      <w:rFonts w:cs="宋体"/>
    </w:rPr>
  </w:style>
  <w:style w:type="paragraph" w:customStyle="1" w:styleId="89">
    <w:name w:val="表格标题"/>
    <w:next w:val="1"/>
    <w:qFormat/>
    <w:uiPriority w:val="0"/>
    <w:pPr>
      <w:spacing w:line="360" w:lineRule="auto"/>
      <w:jc w:val="center"/>
    </w:pPr>
    <w:rPr>
      <w:rFonts w:ascii="Calibri" w:hAnsi="Calibri" w:eastAsia="Times New Roman" w:cs="Times New Roman"/>
      <w:b/>
      <w:sz w:val="24"/>
      <w:szCs w:val="24"/>
      <w:lang w:val="en-US" w:eastAsia="zh-CN" w:bidi="ar-SA"/>
    </w:rPr>
  </w:style>
  <w:style w:type="paragraph" w:customStyle="1" w:styleId="90">
    <w:name w:val="缩进"/>
    <w:basedOn w:val="1"/>
    <w:qFormat/>
    <w:uiPriority w:val="0"/>
    <w:pPr>
      <w:autoSpaceDE w:val="0"/>
      <w:autoSpaceDN w:val="0"/>
      <w:adjustRightInd w:val="0"/>
      <w:spacing w:line="400" w:lineRule="atLeast"/>
      <w:ind w:firstLine="425"/>
      <w:textAlignment w:val="baseline"/>
    </w:pPr>
    <w:rPr>
      <w:kern w:val="0"/>
      <w:szCs w:val="20"/>
    </w:rPr>
  </w:style>
  <w:style w:type="paragraph" w:customStyle="1" w:styleId="91">
    <w:name w:val="表格文字"/>
    <w:basedOn w:val="1"/>
    <w:qFormat/>
    <w:uiPriority w:val="0"/>
    <w:pPr>
      <w:adjustRightInd w:val="0"/>
      <w:snapToGrid w:val="0"/>
      <w:ind w:firstLine="0"/>
      <w:jc w:val="center"/>
    </w:pPr>
    <w:rPr>
      <w:sz w:val="18"/>
      <w:szCs w:val="18"/>
    </w:rPr>
  </w:style>
  <w:style w:type="paragraph" w:customStyle="1" w:styleId="92">
    <w:name w:val="个人正文"/>
    <w:qFormat/>
    <w:uiPriority w:val="0"/>
    <w:pPr>
      <w:spacing w:line="360" w:lineRule="auto"/>
      <w:ind w:firstLine="1040" w:firstLineChars="200"/>
    </w:pPr>
    <w:rPr>
      <w:rFonts w:ascii="Times New Roman" w:hAnsi="Times New Roman" w:eastAsia="宋体" w:cs="Times New Roman"/>
      <w:sz w:val="24"/>
      <w:lang w:val="en-US" w:eastAsia="zh-CN" w:bidi="ar-SA"/>
    </w:rPr>
  </w:style>
  <w:style w:type="paragraph" w:customStyle="1" w:styleId="93">
    <w:name w:val="表格固定文字"/>
    <w:basedOn w:val="1"/>
    <w:qFormat/>
    <w:uiPriority w:val="0"/>
    <w:pPr>
      <w:ind w:firstLine="0"/>
    </w:pPr>
    <w:rPr>
      <w:sz w:val="21"/>
    </w:rPr>
  </w:style>
  <w:style w:type="paragraph" w:customStyle="1" w:styleId="94">
    <w:name w:val="表格表头"/>
    <w:basedOn w:val="77"/>
    <w:qFormat/>
    <w:uiPriority w:val="0"/>
    <w:pPr>
      <w:spacing w:before="160" w:after="160"/>
      <w:jc w:val="center"/>
    </w:pPr>
    <w:rPr>
      <w:rFonts w:eastAsia="宋体"/>
      <w:b/>
      <w:kern w:val="2"/>
      <w:szCs w:val="24"/>
    </w:rPr>
  </w:style>
  <w:style w:type="paragraph" w:customStyle="1" w:styleId="95">
    <w:name w:val="表格内容"/>
    <w:basedOn w:val="96"/>
    <w:next w:val="1"/>
    <w:qFormat/>
    <w:uiPriority w:val="0"/>
    <w:pPr>
      <w:autoSpaceDE w:val="0"/>
      <w:autoSpaceDN w:val="0"/>
    </w:pPr>
    <w:rPr>
      <w:kern w:val="0"/>
      <w:lang w:bidi="he-IL"/>
    </w:rPr>
  </w:style>
  <w:style w:type="paragraph" w:customStyle="1" w:styleId="96">
    <w:name w:val="表头"/>
    <w:basedOn w:val="1"/>
    <w:next w:val="1"/>
    <w:link w:val="97"/>
    <w:qFormat/>
    <w:uiPriority w:val="0"/>
    <w:pPr>
      <w:adjustRightInd w:val="0"/>
      <w:snapToGrid w:val="0"/>
      <w:ind w:firstLine="0" w:firstLineChars="0"/>
      <w:jc w:val="center"/>
    </w:pPr>
    <w:rPr>
      <w:b/>
      <w:bCs/>
      <w:color w:val="000000"/>
    </w:rPr>
  </w:style>
  <w:style w:type="character" w:customStyle="1" w:styleId="97">
    <w:name w:val="表头 Char"/>
    <w:link w:val="96"/>
    <w:qFormat/>
    <w:uiPriority w:val="0"/>
    <w:rPr>
      <w:rFonts w:ascii="Times New Roman" w:hAnsi="Times New Roman" w:eastAsia="宋体" w:cs="Times New Roman"/>
      <w:b/>
      <w:bCs/>
      <w:color w:val="000000"/>
      <w:highlight w:val="none"/>
    </w:rPr>
  </w:style>
  <w:style w:type="paragraph" w:customStyle="1" w:styleId="98">
    <w:name w:val="正文格式"/>
    <w:basedOn w:val="99"/>
    <w:qFormat/>
    <w:uiPriority w:val="0"/>
    <w:pPr>
      <w:spacing w:line="432" w:lineRule="auto"/>
    </w:pPr>
    <w:rPr>
      <w:rFonts w:ascii="Verdana" w:hAnsi="Verdana"/>
      <w:b/>
      <w:sz w:val="24"/>
    </w:rPr>
  </w:style>
  <w:style w:type="paragraph" w:customStyle="1" w:styleId="99">
    <w:name w:val="lin正文"/>
    <w:basedOn w:val="18"/>
    <w:qFormat/>
    <w:uiPriority w:val="0"/>
    <w:pPr>
      <w:widowControl w:val="0"/>
      <w:spacing w:line="560" w:lineRule="exact"/>
      <w:ind w:firstLine="200"/>
    </w:pPr>
    <w:rPr>
      <w:rFonts w:ascii="Tahoma" w:hAnsi="Tahoma"/>
      <w:color w:val="000000"/>
      <w:szCs w:val="24"/>
    </w:rPr>
  </w:style>
  <w:style w:type="paragraph" w:customStyle="1" w:styleId="100">
    <w:name w:val="正文（无网格）"/>
    <w:basedOn w:val="1"/>
    <w:qFormat/>
    <w:uiPriority w:val="0"/>
    <w:pPr>
      <w:adjustRightInd w:val="0"/>
      <w:snapToGrid w:val="0"/>
    </w:pPr>
    <w:rPr>
      <w:rFonts w:cs="宋体"/>
      <w:szCs w:val="20"/>
    </w:rPr>
  </w:style>
  <w:style w:type="paragraph" w:customStyle="1" w:styleId="101">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102">
    <w:name w:val="zhang正文 Char Char"/>
    <w:basedOn w:val="20"/>
    <w:qFormat/>
    <w:uiPriority w:val="0"/>
    <w:pPr>
      <w:autoSpaceDE w:val="0"/>
      <w:autoSpaceDN w:val="0"/>
      <w:adjustRightInd w:val="0"/>
      <w:snapToGrid w:val="0"/>
      <w:spacing w:after="0" w:line="500" w:lineRule="exact"/>
      <w:ind w:left="0" w:leftChars="0" w:firstLine="539" w:firstLineChars="0"/>
      <w:textAlignment w:val="baseline"/>
    </w:pPr>
    <w:rPr>
      <w:rFonts w:eastAsia="楷体_GB2312"/>
      <w:sz w:val="28"/>
    </w:rPr>
  </w:style>
  <w:style w:type="paragraph" w:customStyle="1" w:styleId="103">
    <w:name w:val="样式 样式 样式 首行缩进:  2 字符 + 居中 + 行距: 固定值 17 磅"/>
    <w:basedOn w:val="1"/>
    <w:qFormat/>
    <w:uiPriority w:val="0"/>
    <w:pPr>
      <w:adjustRightInd w:val="0"/>
      <w:snapToGrid w:val="0"/>
      <w:spacing w:line="340" w:lineRule="exact"/>
      <w:ind w:firstLine="0"/>
      <w:jc w:val="center"/>
    </w:pPr>
    <w:rPr>
      <w:rFonts w:cs="宋体"/>
      <w:color w:val="000000"/>
      <w:sz w:val="21"/>
    </w:rPr>
  </w:style>
  <w:style w:type="paragraph" w:customStyle="1" w:styleId="104">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105">
    <w:name w:val="环评正文"/>
    <w:basedOn w:val="1"/>
    <w:qFormat/>
    <w:uiPriority w:val="0"/>
    <w:pPr>
      <w:ind w:firstLine="200"/>
    </w:pPr>
  </w:style>
  <w:style w:type="paragraph" w:customStyle="1" w:styleId="106">
    <w:name w:val="表格内容CCW"/>
    <w:basedOn w:val="1"/>
    <w:qFormat/>
    <w:uiPriority w:val="0"/>
    <w:pPr>
      <w:tabs>
        <w:tab w:val="left" w:pos="360"/>
      </w:tabs>
      <w:jc w:val="center"/>
    </w:pPr>
  </w:style>
  <w:style w:type="paragraph" w:customStyle="1" w:styleId="107">
    <w:name w:val="表的标题"/>
    <w:basedOn w:val="1"/>
    <w:next w:val="101"/>
    <w:qFormat/>
    <w:uiPriority w:val="0"/>
    <w:pPr>
      <w:adjustRightInd w:val="0"/>
      <w:snapToGrid w:val="0"/>
      <w:spacing w:beforeLines="50"/>
      <w:jc w:val="center"/>
    </w:pPr>
    <w:rPr>
      <w:rFonts w:eastAsia="黑体" w:cs="宋体"/>
      <w:szCs w:val="20"/>
    </w:rPr>
  </w:style>
  <w:style w:type="paragraph" w:customStyle="1" w:styleId="108">
    <w:name w:val="a表格"/>
    <w:basedOn w:val="1"/>
    <w:qFormat/>
    <w:uiPriority w:val="0"/>
    <w:pPr>
      <w:snapToGrid w:val="0"/>
      <w:ind w:firstLine="0"/>
      <w:jc w:val="center"/>
    </w:pPr>
    <w:rPr>
      <w:sz w:val="21"/>
    </w:rPr>
  </w:style>
  <w:style w:type="paragraph" w:customStyle="1" w:styleId="109">
    <w:name w:val="表格的字"/>
    <w:basedOn w:val="110"/>
    <w:next w:val="1"/>
    <w:qFormat/>
    <w:uiPriority w:val="0"/>
    <w:rPr>
      <w:szCs w:val="21"/>
    </w:rPr>
  </w:style>
  <w:style w:type="paragraph" w:customStyle="1" w:styleId="110">
    <w:name w:val="项目基本情况的字"/>
    <w:basedOn w:val="1"/>
    <w:qFormat/>
    <w:uiPriority w:val="0"/>
    <w:pPr>
      <w:jc w:val="center"/>
    </w:pPr>
    <w:rPr>
      <w:rFonts w:cs="宋体"/>
    </w:rPr>
  </w:style>
  <w:style w:type="paragraph" w:customStyle="1" w:styleId="11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2">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13">
    <w:name w:val="Table Paragraph"/>
    <w:basedOn w:val="1"/>
    <w:qFormat/>
    <w:uiPriority w:val="0"/>
    <w:pPr>
      <w:widowControl/>
      <w:jc w:val="left"/>
    </w:pPr>
    <w:rPr>
      <w:rFonts w:ascii="Calibri" w:hAnsi="Calibri"/>
      <w:kern w:val="0"/>
      <w:sz w:val="22"/>
      <w:szCs w:val="22"/>
    </w:rPr>
  </w:style>
  <w:style w:type="paragraph" w:customStyle="1" w:styleId="114">
    <w:name w:val="7表格(治)"/>
    <w:qFormat/>
    <w:uiPriority w:val="0"/>
    <w:pPr>
      <w:jc w:val="center"/>
    </w:pPr>
    <w:rPr>
      <w:rFonts w:ascii="Calibri" w:hAnsi="Calibri" w:eastAsia="宋体" w:cs="Times New Roman"/>
      <w:sz w:val="21"/>
      <w:lang w:val="en-US" w:eastAsia="zh-CN" w:bidi="ar-SA"/>
    </w:rPr>
  </w:style>
  <w:style w:type="paragraph" w:customStyle="1" w:styleId="115">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116">
    <w:name w:val="常用"/>
    <w:basedOn w:val="1"/>
    <w:qFormat/>
    <w:uiPriority w:val="0"/>
    <w:pPr>
      <w:widowControl/>
      <w:ind w:firstLine="200"/>
      <w:jc w:val="left"/>
    </w:pPr>
    <w:rPr>
      <w:rFonts w:ascii="宋体" w:hAnsi="宋体"/>
      <w:kern w:val="0"/>
      <w:szCs w:val="28"/>
    </w:rPr>
  </w:style>
  <w:style w:type="paragraph" w:customStyle="1" w:styleId="117">
    <w:name w:val="样式 首行缩进:  2 字符1"/>
    <w:basedOn w:val="1"/>
    <w:qFormat/>
    <w:uiPriority w:val="0"/>
    <w:pPr>
      <w:adjustRightInd w:val="0"/>
      <w:snapToGrid w:val="0"/>
    </w:pPr>
    <w:rPr>
      <w:rFonts w:hint="eastAsia" w:ascii="宋体" w:hAnsi="宋体"/>
      <w:szCs w:val="20"/>
    </w:rPr>
  </w:style>
  <w:style w:type="paragraph" w:customStyle="1" w:styleId="118">
    <w:name w:val="表格及图标题"/>
    <w:qFormat/>
    <w:uiPriority w:val="0"/>
    <w:pPr>
      <w:jc w:val="center"/>
    </w:pPr>
    <w:rPr>
      <w:rFonts w:ascii="Times New Roman" w:hAnsi="Times New Roman" w:eastAsia="宋体" w:cs="Times New Roman"/>
      <w:b/>
      <w:kern w:val="2"/>
      <w:sz w:val="24"/>
      <w:szCs w:val="22"/>
      <w:lang w:val="en-US" w:eastAsia="zh-CN" w:bidi="ar-SA"/>
    </w:rPr>
  </w:style>
  <w:style w:type="paragraph" w:customStyle="1" w:styleId="11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0">
    <w:name w:val="表内容"/>
    <w:qFormat/>
    <w:uiPriority w:val="0"/>
    <w:pPr>
      <w:widowControl w:val="0"/>
      <w:spacing w:line="340" w:lineRule="exact"/>
      <w:ind w:left="-63" w:leftChars="-30" w:right="-63" w:rightChars="-30"/>
      <w:jc w:val="center"/>
    </w:pPr>
    <w:rPr>
      <w:rFonts w:ascii="Times New Roman" w:hAnsi="Times New Roman" w:eastAsia="宋体" w:cs="Times New Roman"/>
      <w:kern w:val="2"/>
      <w:sz w:val="21"/>
      <w:szCs w:val="21"/>
      <w:lang w:val="en-US" w:eastAsia="zh-CN" w:bidi="ar-SA"/>
    </w:rPr>
  </w:style>
  <w:style w:type="paragraph" w:customStyle="1" w:styleId="121">
    <w:name w:val="环评 表格"/>
    <w:basedOn w:val="10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22">
    <w:name w:val="4正文"/>
    <w:basedOn w:val="1"/>
    <w:qFormat/>
    <w:uiPriority w:val="0"/>
    <w:pPr>
      <w:adjustRightInd w:val="0"/>
      <w:snapToGrid w:val="0"/>
    </w:pPr>
    <w:rPr>
      <w:rFonts w:cs="宋体"/>
    </w:rPr>
  </w:style>
  <w:style w:type="paragraph" w:customStyle="1" w:styleId="123">
    <w:name w:val="CM11"/>
    <w:basedOn w:val="1"/>
    <w:next w:val="1"/>
    <w:qFormat/>
    <w:uiPriority w:val="0"/>
    <w:pPr>
      <w:autoSpaceDE w:val="0"/>
      <w:autoSpaceDN w:val="0"/>
      <w:adjustRightInd w:val="0"/>
      <w:spacing w:line="520" w:lineRule="atLeast"/>
      <w:ind w:firstLine="0"/>
      <w:jc w:val="left"/>
    </w:pPr>
    <w:rPr>
      <w:rFonts w:ascii="宋体"/>
      <w:kern w:val="0"/>
    </w:rPr>
  </w:style>
  <w:style w:type="paragraph" w:customStyle="1" w:styleId="124">
    <w:name w:val="正文小四"/>
    <w:basedOn w:val="1"/>
    <w:qFormat/>
    <w:uiPriority w:val="0"/>
    <w:pPr>
      <w:ind w:firstLine="360" w:firstLineChars="150"/>
      <w:jc w:val="left"/>
    </w:pPr>
    <w:rPr>
      <w:rFonts w:eastAsia="Century Gothic"/>
    </w:rPr>
  </w:style>
  <w:style w:type="paragraph" w:customStyle="1" w:styleId="125">
    <w:name w:val="标题2"/>
    <w:basedOn w:val="13"/>
    <w:qFormat/>
    <w:uiPriority w:val="0"/>
    <w:pPr>
      <w:spacing w:beforeLines="50" w:afterLines="50"/>
      <w:ind w:left="0" w:leftChars="0" w:firstLine="0" w:firstLineChars="0"/>
    </w:pPr>
    <w:rPr>
      <w:rFonts w:ascii="宋体" w:hAnsi="宋体"/>
      <w:b/>
      <w:sz w:val="28"/>
      <w:szCs w:val="28"/>
    </w:rPr>
  </w:style>
  <w:style w:type="paragraph" w:customStyle="1" w:styleId="126">
    <w:name w:val="图表标题"/>
    <w:basedOn w:val="1"/>
    <w:qFormat/>
    <w:uiPriority w:val="0"/>
    <w:pPr>
      <w:spacing w:line="480" w:lineRule="auto"/>
      <w:ind w:firstLine="0" w:firstLineChars="0"/>
      <w:jc w:val="center"/>
      <w:outlineLvl w:val="4"/>
    </w:pPr>
    <w:rPr>
      <w:rFonts w:ascii="宋体" w:hAnsi="宋体"/>
      <w:b/>
    </w:rPr>
  </w:style>
  <w:style w:type="paragraph" w:customStyle="1" w:styleId="127">
    <w:name w:val="个人表格"/>
    <w:basedOn w:val="1"/>
    <w:next w:val="1"/>
    <w:qFormat/>
    <w:uiPriority w:val="0"/>
    <w:pPr>
      <w:jc w:val="center"/>
    </w:pPr>
    <w:rPr>
      <w:szCs w:val="21"/>
    </w:rPr>
  </w:style>
  <w:style w:type="table" w:customStyle="1" w:styleId="128">
    <w:name w:val="表格样式刘"/>
    <w:basedOn w:val="36"/>
    <w:qFormat/>
    <w:uiPriority w:val="99"/>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129">
    <w:name w:val="fontstyle01"/>
    <w:basedOn w:val="38"/>
    <w:qFormat/>
    <w:uiPriority w:val="0"/>
    <w:rPr>
      <w:rFonts w:hint="eastAsia" w:ascii="宋体" w:hAnsi="宋体" w:eastAsia="宋体"/>
      <w:color w:val="000000"/>
      <w:sz w:val="24"/>
      <w:szCs w:val="24"/>
    </w:rPr>
  </w:style>
  <w:style w:type="paragraph" w:customStyle="1" w:styleId="130">
    <w:name w:val="bg"/>
    <w:basedOn w:val="1"/>
    <w:qFormat/>
    <w:uiPriority w:val="0"/>
    <w:pPr>
      <w:spacing w:beforeLines="50" w:after="156" w:line="240" w:lineRule="auto"/>
      <w:ind w:firstLine="0" w:firstLineChars="0"/>
      <w:jc w:val="center"/>
    </w:pPr>
    <w:rPr>
      <w:rFonts w:ascii="宋体" w:hAnsi="宋体" w:cs="宋体"/>
      <w:b/>
      <w:bCs/>
    </w:rPr>
  </w:style>
  <w:style w:type="paragraph" w:customStyle="1" w:styleId="131">
    <w:name w:val="WPSOffice手动目录 1"/>
    <w:qFormat/>
    <w:uiPriority w:val="0"/>
    <w:rPr>
      <w:rFonts w:ascii="Times New Roman" w:hAnsi="Times New Roman" w:eastAsia="宋体" w:cs="Times New Roman"/>
      <w:lang w:val="en-US" w:eastAsia="zh-CN" w:bidi="ar-SA"/>
    </w:rPr>
  </w:style>
  <w:style w:type="paragraph" w:customStyle="1" w:styleId="1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3">
    <w:name w:val="文本样式"/>
    <w:basedOn w:val="1"/>
    <w:qFormat/>
    <w:uiPriority w:val="0"/>
    <w:pPr>
      <w:ind w:firstLine="200"/>
    </w:pPr>
    <w:rPr>
      <w:rFonts w:ascii="宋体" w:hAnsi="宋体"/>
      <w:szCs w:val="20"/>
    </w:rPr>
  </w:style>
  <w:style w:type="character" w:customStyle="1" w:styleId="134">
    <w:name w:val="font31"/>
    <w:basedOn w:val="38"/>
    <w:qFormat/>
    <w:uiPriority w:val="0"/>
    <w:rPr>
      <w:rFonts w:hint="eastAsia" w:ascii="宋体" w:hAnsi="宋体" w:eastAsia="宋体" w:cs="宋体"/>
      <w:color w:val="000000"/>
      <w:sz w:val="21"/>
      <w:szCs w:val="21"/>
      <w:u w:val="none"/>
    </w:rPr>
  </w:style>
  <w:style w:type="character" w:customStyle="1" w:styleId="135">
    <w:name w:val="font01"/>
    <w:basedOn w:val="38"/>
    <w:qFormat/>
    <w:uiPriority w:val="0"/>
    <w:rPr>
      <w:rFonts w:hint="default" w:ascii="Times New Roman" w:hAnsi="Times New Roman" w:cs="Times New Roman"/>
      <w:color w:val="000000"/>
      <w:sz w:val="21"/>
      <w:szCs w:val="21"/>
      <w:u w:val="none"/>
    </w:rPr>
  </w:style>
  <w:style w:type="character" w:customStyle="1" w:styleId="136">
    <w:name w:val="font21"/>
    <w:basedOn w:val="38"/>
    <w:qFormat/>
    <w:uiPriority w:val="0"/>
    <w:rPr>
      <w:rFonts w:hint="default" w:ascii="Times New Roman" w:hAnsi="Times New Roman" w:cs="Times New Roman"/>
      <w:color w:val="000000"/>
      <w:sz w:val="24"/>
      <w:szCs w:val="24"/>
      <w:u w:val="none"/>
    </w:rPr>
  </w:style>
  <w:style w:type="character" w:customStyle="1" w:styleId="137">
    <w:name w:val="font41"/>
    <w:basedOn w:val="38"/>
    <w:qFormat/>
    <w:uiPriority w:val="0"/>
    <w:rPr>
      <w:rFonts w:hint="default" w:ascii="Times New Roman" w:hAnsi="Times New Roman" w:cs="Times New Roman"/>
      <w:color w:val="000000"/>
      <w:sz w:val="24"/>
      <w:szCs w:val="24"/>
      <w:u w:val="none"/>
      <w:vertAlign w:val="subscript"/>
    </w:rPr>
  </w:style>
  <w:style w:type="paragraph" w:customStyle="1" w:styleId="138">
    <w:name w:val="表标题"/>
    <w:basedOn w:val="1"/>
    <w:qFormat/>
    <w:uiPriority w:val="0"/>
    <w:pPr>
      <w:spacing w:line="240" w:lineRule="auto"/>
      <w:ind w:firstLine="0" w:firstLineChars="0"/>
      <w:jc w:val="center"/>
    </w:pPr>
    <w:rPr>
      <w:b/>
      <w:kern w:val="0"/>
      <w:sz w:val="20"/>
    </w:rPr>
  </w:style>
  <w:style w:type="table" w:customStyle="1" w:styleId="139">
    <w:name w:val="网格型7"/>
    <w:basedOn w:val="36"/>
    <w:qFormat/>
    <w:uiPriority w:val="99"/>
    <w:pPr>
      <w:widowControl w:val="0"/>
      <w:jc w:val="center"/>
    </w:pPr>
    <w:rPr>
      <w:szCs w:val="21"/>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cPr>
      <w:tcMar>
        <w:left w:w="28" w:type="dxa"/>
        <w:right w:w="28" w:type="dxa"/>
      </w:tcMar>
      <w:vAlign w:val="center"/>
    </w:tcPr>
  </w:style>
  <w:style w:type="paragraph" w:customStyle="1" w:styleId="140">
    <w:name w:val="金皇-正文"/>
    <w:basedOn w:val="1"/>
    <w:qFormat/>
    <w:uiPriority w:val="0"/>
    <w:pPr>
      <w:ind w:firstLine="200"/>
    </w:pPr>
  </w:style>
  <w:style w:type="character" w:customStyle="1" w:styleId="141">
    <w:name w:val="font51"/>
    <w:basedOn w:val="38"/>
    <w:qFormat/>
    <w:uiPriority w:val="0"/>
    <w:rPr>
      <w:rFonts w:hint="eastAsia" w:ascii="宋体" w:hAnsi="宋体" w:eastAsia="宋体" w:cs="宋体"/>
      <w:color w:val="000000"/>
      <w:sz w:val="21"/>
      <w:szCs w:val="21"/>
      <w:u w:val="none"/>
    </w:rPr>
  </w:style>
  <w:style w:type="character" w:customStyle="1" w:styleId="142">
    <w:name w:val="font11"/>
    <w:basedOn w:val="38"/>
    <w:qFormat/>
    <w:uiPriority w:val="0"/>
    <w:rPr>
      <w:rFonts w:hint="eastAsia" w:ascii="宋体" w:hAnsi="宋体" w:eastAsia="宋体" w:cs="宋体"/>
      <w:color w:val="000000"/>
      <w:sz w:val="22"/>
      <w:szCs w:val="22"/>
      <w:u w:val="none"/>
    </w:rPr>
  </w:style>
  <w:style w:type="paragraph" w:customStyle="1" w:styleId="143">
    <w:name w:val="0正文"/>
    <w:basedOn w:val="20"/>
    <w:unhideWhenUsed/>
    <w:qFormat/>
    <w:uiPriority w:val="0"/>
    <w:pPr>
      <w:ind w:firstLine="720"/>
    </w:pPr>
    <w:rPr>
      <w:szCs w:val="22"/>
    </w:rPr>
  </w:style>
  <w:style w:type="paragraph" w:customStyle="1" w:styleId="144">
    <w:name w:val="标题111"/>
    <w:basedOn w:val="33"/>
    <w:qFormat/>
    <w:uiPriority w:val="0"/>
    <w:pPr>
      <w:adjustRightInd w:val="0"/>
      <w:snapToGrid w:val="0"/>
      <w:spacing w:before="0" w:beforeAutospacing="0" w:after="0" w:afterAutospacing="0"/>
      <w:jc w:val="center"/>
      <w:outlineLvl w:val="0"/>
    </w:pPr>
    <w:rPr>
      <w:rFonts w:ascii="Times New Roman" w:hAnsi="Times New Roman" w:eastAsia="黑体"/>
      <w:snapToGrid w:val="0"/>
      <w:sz w:val="32"/>
      <w:szCs w:val="30"/>
    </w:rPr>
  </w:style>
  <w:style w:type="paragraph" w:customStyle="1" w:styleId="145">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46">
    <w:name w:val="列出段落1"/>
    <w:basedOn w:val="1"/>
    <w:qFormat/>
    <w:uiPriority w:val="99"/>
    <w:pPr>
      <w:ind w:firstLine="420"/>
    </w:pPr>
    <w:rPr>
      <w:rFonts w:ascii="Calibri" w:hAnsi="Calibri"/>
      <w:szCs w:val="22"/>
    </w:rPr>
  </w:style>
  <w:style w:type="table" w:customStyle="1" w:styleId="147">
    <w:name w:val="Table Normal"/>
    <w:unhideWhenUsed/>
    <w:qFormat/>
    <w:uiPriority w:val="0"/>
    <w:tblPr>
      <w:tblCellMar>
        <w:top w:w="0" w:type="dxa"/>
        <w:left w:w="0" w:type="dxa"/>
        <w:bottom w:w="0" w:type="dxa"/>
        <w:right w:w="0" w:type="dxa"/>
      </w:tblCellMar>
    </w:tblPr>
  </w:style>
  <w:style w:type="paragraph" w:customStyle="1" w:styleId="148">
    <w:name w:val="表格内文字"/>
    <w:basedOn w:val="1"/>
    <w:qFormat/>
    <w:uiPriority w:val="0"/>
    <w:pPr>
      <w:tabs>
        <w:tab w:val="left" w:pos="0"/>
      </w:tabs>
      <w:jc w:val="center"/>
    </w:pPr>
    <w:rPr>
      <w:rFonts w:eastAsia="仿宋_GB2312"/>
    </w:rPr>
  </w:style>
  <w:style w:type="paragraph" w:customStyle="1" w:styleId="149">
    <w:name w:val="表格名称1"/>
    <w:basedOn w:val="1"/>
    <w:qFormat/>
    <w:uiPriority w:val="0"/>
    <w:pPr>
      <w:adjustRightInd w:val="0"/>
      <w:snapToGrid w:val="0"/>
      <w:spacing w:line="240" w:lineRule="auto"/>
      <w:ind w:firstLine="0" w:firstLineChars="0"/>
      <w:jc w:val="center"/>
    </w:pPr>
    <w:rPr>
      <w:b/>
      <w:sz w:val="21"/>
    </w:rPr>
  </w:style>
  <w:style w:type="paragraph" w:customStyle="1" w:styleId="150">
    <w:name w:val="表正文"/>
    <w:basedOn w:val="1"/>
    <w:qFormat/>
    <w:uiPriority w:val="0"/>
    <w:pPr>
      <w:widowControl/>
      <w:ind w:firstLine="200"/>
      <w:jc w:val="left"/>
    </w:pPr>
  </w:style>
  <w:style w:type="paragraph" w:customStyle="1" w:styleId="151">
    <w:name w:val="22标题2"/>
    <w:basedOn w:val="125"/>
    <w:qFormat/>
    <w:uiPriority w:val="0"/>
    <w:pPr>
      <w:adjustRightInd w:val="0"/>
      <w:snapToGrid w:val="0"/>
    </w:pPr>
    <w:rPr>
      <w:color w:val="0000FF"/>
    </w:rPr>
  </w:style>
  <w:style w:type="paragraph" w:customStyle="1" w:styleId="152">
    <w:name w:val="6表格"/>
    <w:basedOn w:val="1"/>
    <w:qFormat/>
    <w:uiPriority w:val="0"/>
    <w:pPr>
      <w:jc w:val="center"/>
    </w:pPr>
  </w:style>
  <w:style w:type="paragraph" w:customStyle="1" w:styleId="153">
    <w:name w:val="标题3"/>
    <w:basedOn w:val="1"/>
    <w:qFormat/>
    <w:uiPriority w:val="0"/>
    <w:pPr>
      <w:widowControl/>
      <w:jc w:val="left"/>
      <w:outlineLvl w:val="2"/>
    </w:pPr>
    <w:rPr>
      <w:b/>
    </w:rPr>
  </w:style>
  <w:style w:type="paragraph" w:customStyle="1" w:styleId="154">
    <w:name w:val="11正文"/>
    <w:basedOn w:val="155"/>
    <w:qFormat/>
    <w:uiPriority w:val="0"/>
  </w:style>
  <w:style w:type="paragraph" w:customStyle="1" w:styleId="155">
    <w:name w:val="正文111"/>
    <w:basedOn w:val="156"/>
    <w:qFormat/>
    <w:uiPriority w:val="0"/>
    <w:pPr>
      <w:ind w:firstLine="480"/>
    </w:pPr>
  </w:style>
  <w:style w:type="paragraph" w:customStyle="1" w:styleId="156">
    <w:name w:val="正文的格式52"/>
    <w:basedOn w:val="1"/>
    <w:qFormat/>
    <w:uiPriority w:val="0"/>
    <w:pPr>
      <w:ind w:firstLine="200"/>
    </w:pPr>
    <w:rPr>
      <w:kern w:val="0"/>
      <w:szCs w:val="20"/>
    </w:rPr>
  </w:style>
  <w:style w:type="character" w:customStyle="1" w:styleId="157">
    <w:name w:val="表格内容 Char1"/>
    <w:qFormat/>
    <w:uiPriority w:val="0"/>
    <w:rPr>
      <w:rFonts w:ascii="宋体" w:hAnsi="宋体" w:eastAsia="宋体"/>
      <w:kern w:val="0"/>
      <w:sz w:val="21"/>
    </w:rPr>
  </w:style>
  <w:style w:type="paragraph" w:customStyle="1" w:styleId="158">
    <w:name w:val="H图表内容"/>
    <w:basedOn w:val="1"/>
    <w:qFormat/>
    <w:uiPriority w:val="0"/>
    <w:rPr>
      <w:szCs w:val="20"/>
    </w:rPr>
  </w:style>
  <w:style w:type="paragraph" w:customStyle="1" w:styleId="159">
    <w:name w:val="正文（）"/>
    <w:basedOn w:val="1"/>
    <w:qFormat/>
    <w:uiPriority w:val="0"/>
    <w:pPr>
      <w:adjustRightInd w:val="0"/>
      <w:snapToGrid w:val="0"/>
    </w:pPr>
    <w:rPr>
      <w:szCs w:val="21"/>
    </w:rPr>
  </w:style>
  <w:style w:type="paragraph" w:customStyle="1" w:styleId="160">
    <w:name w:val="三级标题（）"/>
    <w:basedOn w:val="1"/>
    <w:qFormat/>
    <w:uiPriority w:val="0"/>
    <w:pPr>
      <w:tabs>
        <w:tab w:val="left" w:pos="3840"/>
      </w:tabs>
      <w:outlineLvl w:val="2"/>
    </w:pPr>
    <w:rPr>
      <w:rFonts w:eastAsia="黑体"/>
      <w:sz w:val="28"/>
      <w:szCs w:val="30"/>
    </w:rPr>
  </w:style>
  <w:style w:type="paragraph" w:customStyle="1" w:styleId="161">
    <w:name w:val="表格标题（）"/>
    <w:basedOn w:val="1"/>
    <w:qFormat/>
    <w:uiPriority w:val="0"/>
    <w:pPr>
      <w:adjustRightInd w:val="0"/>
      <w:snapToGrid w:val="0"/>
      <w:jc w:val="center"/>
    </w:pPr>
    <w:rPr>
      <w:rFonts w:eastAsia="黑体"/>
      <w:color w:val="000000"/>
      <w:lang w:val="zh-CN" w:bidi="he-IL"/>
    </w:rPr>
  </w:style>
  <w:style w:type="paragraph" w:customStyle="1" w:styleId="162">
    <w:name w:val="表格内容（）"/>
    <w:basedOn w:val="1"/>
    <w:qFormat/>
    <w:uiPriority w:val="0"/>
    <w:pPr>
      <w:adjustRightInd w:val="0"/>
      <w:snapToGrid w:val="0"/>
      <w:jc w:val="center"/>
    </w:pPr>
    <w:rPr>
      <w:szCs w:val="21"/>
    </w:rPr>
  </w:style>
  <w:style w:type="paragraph" w:customStyle="1" w:styleId="163">
    <w:name w:val="样式 宋体 两端对齐 首行缩进:  2 字符"/>
    <w:basedOn w:val="1"/>
    <w:qFormat/>
    <w:uiPriority w:val="0"/>
    <w:rPr>
      <w:rFonts w:ascii="宋体" w:hAnsi="宋体" w:cs="宋体"/>
    </w:rPr>
  </w:style>
  <w:style w:type="paragraph" w:customStyle="1" w:styleId="164">
    <w:name w:val="正文内容"/>
    <w:basedOn w:val="1"/>
    <w:qFormat/>
    <w:uiPriority w:val="0"/>
    <w:pPr>
      <w:ind w:firstLine="720"/>
    </w:pPr>
    <w:rPr>
      <w:rFonts w:cs="宋体"/>
    </w:rPr>
  </w:style>
  <w:style w:type="paragraph" w:customStyle="1" w:styleId="165">
    <w:name w:val="表号"/>
    <w:basedOn w:val="1"/>
    <w:qFormat/>
    <w:uiPriority w:val="0"/>
    <w:pPr>
      <w:spacing w:line="320" w:lineRule="exact"/>
      <w:ind w:firstLine="200"/>
      <w:jc w:val="left"/>
    </w:pPr>
    <w:rPr>
      <w:rFonts w:ascii="Calibri" w:hAnsi="Calibri" w:eastAsia="黑体"/>
      <w:szCs w:val="22"/>
    </w:rPr>
  </w:style>
  <w:style w:type="paragraph" w:customStyle="1" w:styleId="166">
    <w:name w:val="【表格文字】"/>
    <w:basedOn w:val="1"/>
    <w:next w:val="1"/>
    <w:qFormat/>
    <w:uiPriority w:val="0"/>
    <w:pPr>
      <w:adjustRightInd w:val="0"/>
      <w:snapToGrid w:val="0"/>
      <w:jc w:val="center"/>
    </w:pPr>
  </w:style>
  <w:style w:type="paragraph" w:customStyle="1" w:styleId="167">
    <w:name w:val="Table Text"/>
    <w:basedOn w:val="1"/>
    <w:semiHidden/>
    <w:qFormat/>
    <w:uiPriority w:val="0"/>
    <w:rPr>
      <w:rFonts w:ascii="仿宋" w:hAnsi="仿宋" w:eastAsia="仿宋" w:cs="仿宋"/>
      <w:lang w:eastAsia="en-US"/>
    </w:rPr>
  </w:style>
  <w:style w:type="paragraph" w:styleId="168">
    <w:name w:val="No Spacing"/>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69">
    <w:name w:val="封面项目名称字体"/>
    <w:qFormat/>
    <w:uiPriority w:val="0"/>
    <w:pPr>
      <w:spacing w:line="720" w:lineRule="auto"/>
      <w:jc w:val="center"/>
    </w:pPr>
    <w:rPr>
      <w:rFonts w:ascii="Times New Roman" w:hAnsi="Times New Roman" w:eastAsia="黑体" w:cs="Times New Roman"/>
      <w:b/>
      <w:snapToGrid w:val="0"/>
      <w:color w:val="000000"/>
      <w:sz w:val="44"/>
      <w:lang w:val="en-US" w:eastAsia="zh-CN" w:bidi="ar-SA"/>
    </w:rPr>
  </w:style>
  <w:style w:type="paragraph" w:customStyle="1" w:styleId="170">
    <w:name w:val="验收正文"/>
    <w:basedOn w:val="1"/>
    <w:qFormat/>
    <w:uiPriority w:val="0"/>
    <w:pPr>
      <w:ind w:firstLine="602"/>
    </w:pPr>
    <w:rPr>
      <w:color w:val="000000"/>
      <w:szCs w:val="21"/>
    </w:rPr>
  </w:style>
  <w:style w:type="paragraph" w:customStyle="1" w:styleId="171">
    <w:name w:val="表格的格式"/>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172">
    <w:name w:val="font81"/>
    <w:basedOn w:val="38"/>
    <w:qFormat/>
    <w:uiPriority w:val="0"/>
    <w:rPr>
      <w:rFonts w:hint="default" w:ascii="Times New Roman" w:hAnsi="Times New Roman" w:cs="Times New Roman"/>
      <w:color w:val="000000"/>
      <w:sz w:val="21"/>
      <w:szCs w:val="21"/>
      <w:u w:val="none"/>
    </w:rPr>
  </w:style>
  <w:style w:type="character" w:customStyle="1" w:styleId="173">
    <w:name w:val="font91"/>
    <w:basedOn w:val="38"/>
    <w:qFormat/>
    <w:uiPriority w:val="0"/>
    <w:rPr>
      <w:rFonts w:hint="default" w:ascii="Times New Roman" w:hAnsi="Times New Roman" w:cs="Times New Roman"/>
      <w:color w:val="000000"/>
      <w:sz w:val="21"/>
      <w:szCs w:val="21"/>
      <w:u w:val="none"/>
      <w:vertAlign w:val="superscript"/>
    </w:rPr>
  </w:style>
  <w:style w:type="character" w:customStyle="1" w:styleId="174">
    <w:name w:val="标题 1 Char"/>
    <w:link w:val="3"/>
    <w:qFormat/>
    <w:uiPriority w:val="99"/>
    <w:rPr>
      <w:rFonts w:ascii="Times New Roman" w:hAnsi="Times New Roman" w:eastAsia="黑体" w:cs="Times New Roman"/>
      <w:snapToGrid w:val="0"/>
      <w:color w:val="000000"/>
      <w:sz w:val="32"/>
      <w:szCs w:val="30"/>
      <w:highlight w:val="none"/>
    </w:rPr>
  </w:style>
  <w:style w:type="paragraph" w:customStyle="1" w:styleId="175">
    <w:name w:val="附件标题"/>
    <w:basedOn w:val="1"/>
    <w:qFormat/>
    <w:uiPriority w:val="0"/>
    <w:pPr>
      <w:spacing w:line="240" w:lineRule="atLeast"/>
      <w:jc w:val="left"/>
    </w:pPr>
    <w:rPr>
      <w:b/>
      <w:sz w:val="28"/>
      <w:szCs w:val="28"/>
    </w:rPr>
  </w:style>
  <w:style w:type="paragraph" w:customStyle="1" w:styleId="176">
    <w:name w:val="封面字体"/>
    <w:basedOn w:val="1"/>
    <w:qFormat/>
    <w:uiPriority w:val="0"/>
    <w:pPr>
      <w:widowControl/>
      <w:jc w:val="center"/>
    </w:pPr>
    <w:rPr>
      <w:rFonts w:hint="eastAsia"/>
      <w:color w:val="000000"/>
      <w:sz w:val="28"/>
      <w:szCs w:val="20"/>
    </w:rPr>
  </w:style>
  <w:style w:type="character" w:customStyle="1" w:styleId="177">
    <w:name w:val="font61"/>
    <w:basedOn w:val="38"/>
    <w:qFormat/>
    <w:uiPriority w:val="0"/>
    <w:rPr>
      <w:rFonts w:hint="eastAsia" w:ascii="宋体" w:hAnsi="宋体" w:eastAsia="宋体" w:cs="宋体"/>
      <w:color w:val="000000"/>
      <w:sz w:val="18"/>
      <w:szCs w:val="18"/>
      <w:u w:val="none"/>
    </w:rPr>
  </w:style>
  <w:style w:type="character" w:customStyle="1" w:styleId="178">
    <w:name w:val="font71"/>
    <w:basedOn w:val="38"/>
    <w:qFormat/>
    <w:uiPriority w:val="0"/>
    <w:rPr>
      <w:rFonts w:hint="default" w:ascii="Times New Roman" w:hAnsi="Times New Roman" w:cs="Times New Roman"/>
      <w:color w:val="000000"/>
      <w:sz w:val="18"/>
      <w:szCs w:val="18"/>
      <w:u w:val="none"/>
    </w:rPr>
  </w:style>
  <w:style w:type="paragraph" w:customStyle="1" w:styleId="179">
    <w:name w:val="盈众正文"/>
    <w:basedOn w:val="1"/>
    <w:qFormat/>
    <w:uiPriority w:val="0"/>
    <w:pPr>
      <w:ind w:firstLine="720"/>
    </w:pPr>
  </w:style>
  <w:style w:type="paragraph" w:customStyle="1" w:styleId="180">
    <w:name w:val="（环评）表头（小四）"/>
    <w:basedOn w:val="1"/>
    <w:qFormat/>
    <w:uiPriority w:val="0"/>
    <w:pPr>
      <w:spacing w:line="240" w:lineRule="auto"/>
      <w:ind w:firstLine="0" w:firstLineChars="0"/>
      <w:jc w:val="center"/>
    </w:pPr>
    <w:rPr>
      <w:rFonts w:ascii="宋体" w:hAnsi="宋体" w:cs="宋体"/>
      <w:b/>
      <w:color w:val="000000"/>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jpeg"/><Relationship Id="rId41" Type="http://schemas.openxmlformats.org/officeDocument/2006/relationships/image" Target="media/image18.png"/><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image" Target="media/image16.wmf"/><Relationship Id="rId37" Type="http://schemas.openxmlformats.org/officeDocument/2006/relationships/oleObject" Target="embeddings/oleObject7.bin"/><Relationship Id="rId36" Type="http://schemas.openxmlformats.org/officeDocument/2006/relationships/image" Target="media/image15.wmf"/><Relationship Id="rId35" Type="http://schemas.openxmlformats.org/officeDocument/2006/relationships/oleObject" Target="embeddings/oleObject6.bin"/><Relationship Id="rId34" Type="http://schemas.openxmlformats.org/officeDocument/2006/relationships/image" Target="media/image14.wmf"/><Relationship Id="rId33" Type="http://schemas.openxmlformats.org/officeDocument/2006/relationships/oleObject" Target="embeddings/oleObject5.bin"/><Relationship Id="rId32" Type="http://schemas.openxmlformats.org/officeDocument/2006/relationships/image" Target="media/image13.wmf"/><Relationship Id="rId31" Type="http://schemas.openxmlformats.org/officeDocument/2006/relationships/oleObject" Target="embeddings/oleObject4.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1.jpeg"/><Relationship Id="rId27" Type="http://schemas.openxmlformats.org/officeDocument/2006/relationships/image" Target="media/image10.wmf"/><Relationship Id="rId26" Type="http://schemas.openxmlformats.org/officeDocument/2006/relationships/oleObject" Target="embeddings/oleObject2.bin"/><Relationship Id="rId25" Type="http://schemas.openxmlformats.org/officeDocument/2006/relationships/image" Target="media/image9.wmf"/><Relationship Id="rId24" Type="http://schemas.openxmlformats.org/officeDocument/2006/relationships/oleObject" Target="embeddings/oleObject1.bin"/><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352"/>
    <customShpInfo spid="_x0000_s2353"/>
    <customShpInfo spid="_x0000_s2354"/>
    <customShpInfo spid="_x0000_s2355"/>
    <customShpInfo spid="_x0000_s2356"/>
    <customShpInfo spid="_x0000_s2357"/>
    <customShpInfo spid="_x0000_s2358"/>
    <customShpInfo spid="_x0000_s2359"/>
  </customShpExts>
  <extobjs>
    <extobj name="F360BE8B-6686-4F3D-AEAF-501FE73E4058-1">
      <extobjdata type="F360BE8B-6686-4F3D-AEAF-501FE73E4058" data="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86</Pages>
  <Words>16965</Words>
  <Characters>17806</Characters>
  <Lines>373</Lines>
  <Paragraphs>105</Paragraphs>
  <TotalTime>7</TotalTime>
  <ScaleCrop>false</ScaleCrop>
  <LinksUpToDate>false</LinksUpToDate>
  <CharactersWithSpaces>17947</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2020-12-24T17:29:00Z</dcterms:created>
  <dc:creator>lhj</dc:creator>
  <cp:lastModifiedBy>LRDDF</cp:lastModifiedBy>
  <cp:lastPrinted>2025-10-13T03:51:00Z</cp:lastPrinted>
  <dcterms:modified xsi:type="dcterms:W3CDTF">2025-11-27T03:10:03Z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FF9CB740A8714EBC8E4972CD07E7078C_13</vt:lpwstr>
  </property>
  <property fmtid="{D5CDD505-2E9C-101B-9397-08002B2CF9AE}" pid="4" name="KSOTemplateDocerSaveRecord">
    <vt:lpwstr>eyJoZGlkIjoiODNlNDUyMjRiMmY0MmNmODkxOGQ1NThlOGExMTg1NzQiLCJ1c2VySWQiOiI1MTM5MzQzMDgifQ==</vt:lpwstr>
  </property>
</Properties>
</file>