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wordWrap w:val="0"/>
        <w:adjustRightInd/>
        <w:snapToGrid/>
        <w:spacing w:line="480" w:lineRule="atLeast"/>
        <w:rPr>
          <w:rFonts w:ascii="微软雅黑" w:hAnsi="微软雅黑" w:cs="宋体"/>
          <w:color w:val="333333"/>
          <w:sz w:val="24"/>
          <w:szCs w:val="24"/>
        </w:rPr>
      </w:pPr>
      <w:r>
        <w:rPr>
          <w:rFonts w:hint="eastAsia" w:ascii="黑体" w:hAnsi="黑体" w:eastAsia="黑体" w:cs="宋体"/>
          <w:color w:val="333333"/>
          <w:sz w:val="32"/>
          <w:szCs w:val="32"/>
        </w:rPr>
        <w:t>附件1</w:t>
      </w:r>
    </w:p>
    <w:p>
      <w:pPr>
        <w:shd w:val="clear" w:color="auto" w:fill="FFFFFF"/>
        <w:wordWrap w:val="0"/>
        <w:adjustRightInd/>
        <w:snapToGrid/>
        <w:spacing w:line="480" w:lineRule="atLeast"/>
        <w:jc w:val="center"/>
        <w:rPr>
          <w:rFonts w:cs="宋体" w:asciiTheme="minorEastAsia" w:hAnsiTheme="minorEastAsia" w:eastAsiaTheme="minorEastAsia"/>
          <w:b/>
          <w:color w:val="333333"/>
          <w:sz w:val="24"/>
          <w:szCs w:val="24"/>
        </w:rPr>
      </w:pPr>
      <w:bookmarkStart w:id="0" w:name="_GoBack"/>
      <w:r>
        <w:rPr>
          <w:rFonts w:hint="eastAsia" w:cs="宋体" w:asciiTheme="minorEastAsia" w:hAnsiTheme="minorEastAsia" w:eastAsiaTheme="minorEastAsia"/>
          <w:b/>
          <w:color w:val="333333"/>
          <w:sz w:val="44"/>
          <w:szCs w:val="44"/>
        </w:rPr>
        <w:t>马尾区环保局百姓身边突出生态环境问题整治情况一览表</w:t>
      </w:r>
    </w:p>
    <w:bookmarkEnd w:id="0"/>
    <w:p>
      <w:pPr>
        <w:shd w:val="clear" w:color="auto" w:fill="FFFFFF"/>
        <w:wordWrap w:val="0"/>
        <w:adjustRightInd/>
        <w:snapToGrid/>
        <w:spacing w:line="480" w:lineRule="atLeast"/>
        <w:ind w:firstLine="140"/>
        <w:rPr>
          <w:rFonts w:ascii="微软雅黑" w:hAnsi="微软雅黑" w:cs="宋体"/>
          <w:color w:val="333333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sz w:val="28"/>
          <w:szCs w:val="28"/>
        </w:rPr>
        <w:t>填报单位（盖章）：                                                       填报时间： 年 月 日</w:t>
      </w:r>
    </w:p>
    <w:tbl>
      <w:tblPr>
        <w:tblStyle w:val="4"/>
        <w:tblW w:w="139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868"/>
        <w:gridCol w:w="992"/>
        <w:gridCol w:w="992"/>
        <w:gridCol w:w="851"/>
        <w:gridCol w:w="850"/>
        <w:gridCol w:w="992"/>
        <w:gridCol w:w="1560"/>
        <w:gridCol w:w="997"/>
        <w:gridCol w:w="1696"/>
        <w:gridCol w:w="997"/>
        <w:gridCol w:w="846"/>
        <w:gridCol w:w="846"/>
        <w:gridCol w:w="84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86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受理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编号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受理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举报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基本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问题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类型</w:t>
            </w:r>
          </w:p>
        </w:tc>
        <w:tc>
          <w:tcPr>
            <w:tcW w:w="85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地区</w:t>
            </w:r>
          </w:p>
        </w:tc>
        <w:tc>
          <w:tcPr>
            <w:tcW w:w="99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承办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15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调查核实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9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是否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属实</w:t>
            </w:r>
          </w:p>
        </w:tc>
        <w:tc>
          <w:tcPr>
            <w:tcW w:w="169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处理和整改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情况</w:t>
            </w:r>
          </w:p>
        </w:tc>
        <w:tc>
          <w:tcPr>
            <w:tcW w:w="9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办理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时限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整改</w:t>
            </w:r>
          </w:p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进展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是否涉黑涉恶</w:t>
            </w:r>
          </w:p>
        </w:tc>
        <w:tc>
          <w:tcPr>
            <w:tcW w:w="8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pacing w:line="330" w:lineRule="atLeast"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333333"/>
                <w:sz w:val="24"/>
                <w:szCs w:val="24"/>
              </w:rPr>
              <w:t>移交时间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djustRightInd/>
              <w:snapToGrid/>
              <w:jc w:val="center"/>
              <w:rPr>
                <w:rFonts w:cs="宋体" w:asciiTheme="minorEastAsia" w:hAnsiTheme="minorEastAsia" w:eastAsiaTheme="minorEastAsia"/>
                <w:color w:val="333333"/>
                <w:sz w:val="24"/>
                <w:szCs w:val="24"/>
              </w:rPr>
            </w:pPr>
          </w:p>
        </w:tc>
      </w:tr>
    </w:tbl>
    <w:p>
      <w:pPr>
        <w:widowControl w:val="0"/>
        <w:shd w:val="clear" w:color="auto" w:fill="FFFFFF"/>
        <w:wordWrap w:val="0"/>
        <w:spacing w:line="300" w:lineRule="auto"/>
        <w:rPr>
          <w:rFonts w:cs="宋体" w:asciiTheme="minorEastAsia" w:hAnsiTheme="minorEastAsia" w:eastAsiaTheme="minorEastAsia"/>
          <w:color w:val="333333"/>
          <w:sz w:val="24"/>
          <w:szCs w:val="24"/>
        </w:rPr>
      </w:pPr>
    </w:p>
    <w:p>
      <w:pPr>
        <w:widowControl w:val="0"/>
        <w:shd w:val="clear" w:color="auto" w:fill="FFFFFF"/>
        <w:wordWrap w:val="0"/>
        <w:spacing w:line="300" w:lineRule="auto"/>
        <w:ind w:firstLine="120" w:firstLineChars="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备注：1.受理时间：问题受理的日期，如“2018年6月1日”。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2.举报基本情况：填报群众信访举报提供的信息，包括举报对象、问题情况、诉求目的等。</w:t>
      </w:r>
    </w:p>
    <w:p>
      <w:pPr>
        <w:widowControl w:val="0"/>
        <w:shd w:val="clear" w:color="auto" w:fill="FFFFFF"/>
        <w:wordWrap w:val="0"/>
        <w:spacing w:line="300" w:lineRule="auto"/>
        <w:ind w:left="991" w:leftChars="382" w:hanging="151" w:hangingChars="63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3.问题类型：包括工业违法排污、黑臭水体、洗涤餐饮行业污废水偷排、餐饮油烟扰民、垃圾乱堆、畜禽养殖污染、农业面源污染、矿山乱采滥挖、散乱污小作坊、非法采砂、河漂垃圾，以及建筑施工、娱乐和商业噪声污染等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4.地区：问题发生所在的县（市、区）。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5.承办单位：承办该信访举报的县（市）区环保局。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6.调查核实情况：该信访举办件现场调查核实的详细情况，注明调查时间。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7.</w:t>
      </w:r>
      <w:r>
        <w:rPr>
          <w:rFonts w:hint="eastAsia" w:cs="宋体" w:asciiTheme="minorEastAsia" w:hAnsiTheme="minorEastAsia" w:eastAsiaTheme="minorEastAsia"/>
          <w:color w:val="333333"/>
          <w:spacing w:val="-4"/>
          <w:sz w:val="24"/>
          <w:szCs w:val="24"/>
        </w:rPr>
        <w:t>处理整改情况：截至本表上报时，该问题处理和整改情况，未完成整改的要明确整改时限和整改措施。</w:t>
      </w:r>
    </w:p>
    <w:p>
      <w:pPr>
        <w:widowControl w:val="0"/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8.整改进展：填写“已完成整改”或“正在整改”，及整改最新进展情况。</w:t>
      </w:r>
    </w:p>
    <w:p>
      <w:pPr>
        <w:shd w:val="clear" w:color="auto" w:fill="FFFFFF"/>
        <w:wordWrap w:val="0"/>
        <w:spacing w:line="300" w:lineRule="auto"/>
        <w:ind w:firstLine="840" w:firstLineChars="350"/>
        <w:rPr>
          <w:rFonts w:cs="宋体" w:asciiTheme="minorEastAsia" w:hAnsiTheme="minorEastAsia" w:eastAsiaTheme="minorEastAsia"/>
          <w:color w:val="333333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333333"/>
          <w:sz w:val="24"/>
          <w:szCs w:val="24"/>
        </w:rPr>
        <w:t>9.是否涉黑涉恶：填写是或否，涉黑涉恶件填写移交属地扫黑除恶办公室时间</w:t>
      </w:r>
    </w:p>
    <w:p/>
    <w:sectPr>
      <w:pgSz w:w="16838" w:h="11906" w:orient="landscape"/>
      <w:pgMar w:top="1417" w:right="1440" w:bottom="1417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6D43"/>
    <w:rsid w:val="65E16D4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2018-10-30T09:11:00Z</dcterms:created>
  <dc:creator>Administrator</dc:creator>
  <cp:lastModifiedBy>Administrator</cp:lastModifiedBy>
  <dcterms:modified xsi:type="dcterms:W3CDTF">2018-10-30T09:12:19Z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