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047F0">
      <w:pPr>
        <w:spacing w:line="480" w:lineRule="exact"/>
        <w:ind w:firstLine="200"/>
        <w:jc w:val="center"/>
        <w:rPr>
          <w:rFonts w:asciiTheme="minorEastAsia" w:hAnsiTheme="minorEastAsia" w:eastAsiaTheme="minorEastAsia"/>
          <w:b/>
          <w:bCs/>
          <w:sz w:val="44"/>
          <w:szCs w:val="44"/>
        </w:rPr>
      </w:pPr>
    </w:p>
    <w:p w14:paraId="215F42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上岐北路东北侧（建行周边）旧城改造项目</w:t>
      </w:r>
    </w:p>
    <w:p w14:paraId="11AB19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44"/>
          <w:szCs w:val="44"/>
        </w:rPr>
      </w:pPr>
      <w:r>
        <w:rPr>
          <w:rFonts w:hint="eastAsia" w:asciiTheme="majorEastAsia" w:hAnsiTheme="majorEastAsia" w:eastAsiaTheme="majorEastAsia" w:cstheme="majorEastAsia"/>
          <w:b/>
          <w:sz w:val="32"/>
          <w:szCs w:val="32"/>
        </w:rPr>
        <w:t>国有土地上的房屋征收补偿方案</w:t>
      </w:r>
    </w:p>
    <w:p w14:paraId="7567BF5C">
      <w:pPr>
        <w:adjustRightInd w:val="0"/>
        <w:snapToGrid w:val="0"/>
        <w:spacing w:line="480" w:lineRule="exact"/>
        <w:ind w:firstLine="3935" w:firstLineChars="1400"/>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（征求意见稿）</w:t>
      </w:r>
    </w:p>
    <w:p w14:paraId="117D9D51">
      <w:pPr>
        <w:adjustRightInd w:val="0"/>
        <w:snapToGrid w:val="0"/>
        <w:spacing w:line="480" w:lineRule="exact"/>
        <w:ind w:firstLine="560" w:firstLineChars="200"/>
        <w:rPr>
          <w:rFonts w:hint="eastAsia" w:ascii="仿宋_GB2312" w:hAnsi="仿宋_GB2312" w:eastAsia="仿宋_GB2312" w:cs="仿宋_GB2312"/>
          <w:sz w:val="28"/>
          <w:szCs w:val="28"/>
        </w:rPr>
      </w:pPr>
    </w:p>
    <w:p w14:paraId="3C472D80">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因上岐北路东北侧（建行周边）旧城改造项目建设需要，需</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范围内土地及其地上物。现根据《国有土地上房屋征收与补偿条例》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《福州市房屋征收补偿实施细则（2021年修订版）》等相关规定，对该项目范围内的房屋制定如下</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补偿方案：</w:t>
      </w:r>
    </w:p>
    <w:p w14:paraId="1CE48E7A">
      <w:pPr>
        <w:pStyle w:val="7"/>
        <w:spacing w:before="0" w:beforeAutospacing="0" w:after="0" w:afterAutospacing="0" w:line="480" w:lineRule="exact"/>
        <w:ind w:firstLine="391" w:firstLineChars="139"/>
        <w:jc w:val="both"/>
        <w:rPr>
          <w:rFonts w:hint="eastAsia" w:ascii="仿宋_GB2312" w:hAnsi="仿宋_GB2312" w:eastAsia="仿宋_GB2312" w:cs="仿宋_GB2312"/>
          <w:b/>
          <w:bCs w:val="0"/>
          <w:kern w:val="2"/>
          <w:sz w:val="28"/>
          <w:szCs w:val="28"/>
        </w:rPr>
      </w:pPr>
      <w:r>
        <w:rPr>
          <w:rFonts w:hint="eastAsia" w:ascii="仿宋_GB2312" w:hAnsi="仿宋_GB2312" w:eastAsia="仿宋_GB2312" w:cs="仿宋_GB2312"/>
          <w:b/>
          <w:bCs w:val="0"/>
          <w:kern w:val="2"/>
          <w:sz w:val="28"/>
          <w:szCs w:val="28"/>
        </w:rPr>
        <w:t>一、</w:t>
      </w:r>
      <w:r>
        <w:rPr>
          <w:rFonts w:hint="eastAsia" w:ascii="仿宋_GB2312" w:hAnsi="仿宋_GB2312" w:eastAsia="仿宋_GB2312" w:cs="仿宋_GB2312"/>
          <w:b/>
          <w:bCs w:val="0"/>
          <w:kern w:val="2"/>
          <w:sz w:val="28"/>
          <w:szCs w:val="28"/>
          <w:lang w:eastAsia="zh-CN"/>
        </w:rPr>
        <w:t>征收</w:t>
      </w:r>
      <w:r>
        <w:rPr>
          <w:rFonts w:hint="eastAsia" w:ascii="仿宋_GB2312" w:hAnsi="仿宋_GB2312" w:eastAsia="仿宋_GB2312" w:cs="仿宋_GB2312"/>
          <w:b/>
          <w:bCs w:val="0"/>
          <w:kern w:val="2"/>
          <w:sz w:val="28"/>
          <w:szCs w:val="28"/>
        </w:rPr>
        <w:t>补偿对象及方式</w:t>
      </w:r>
    </w:p>
    <w:p w14:paraId="23B2C0A1">
      <w:pPr>
        <w:adjustRightInd w:val="0"/>
        <w:snapToGrid w:val="0"/>
        <w:spacing w:line="48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（一）凡本</w:t>
      </w:r>
      <w:r>
        <w:rPr>
          <w:rFonts w:hint="eastAsia" w:ascii="仿宋_GB2312" w:hAnsi="仿宋_GB2312" w:eastAsia="仿宋_GB2312" w:cs="仿宋_GB2312"/>
          <w:b/>
          <w:bCs w:val="0"/>
          <w:sz w:val="28"/>
          <w:szCs w:val="28"/>
          <w:lang w:eastAsia="zh-CN"/>
        </w:rPr>
        <w:t>征收</w:t>
      </w:r>
      <w:r>
        <w:rPr>
          <w:rFonts w:hint="eastAsia" w:ascii="仿宋_GB2312" w:hAnsi="仿宋_GB2312" w:eastAsia="仿宋_GB2312" w:cs="仿宋_GB2312"/>
          <w:b/>
          <w:bCs w:val="0"/>
          <w:sz w:val="28"/>
          <w:szCs w:val="28"/>
        </w:rPr>
        <w:t>范围内的被</w:t>
      </w:r>
      <w:r>
        <w:rPr>
          <w:rFonts w:hint="eastAsia" w:ascii="仿宋_GB2312" w:hAnsi="仿宋_GB2312" w:eastAsia="仿宋_GB2312" w:cs="仿宋_GB2312"/>
          <w:b/>
          <w:bCs w:val="0"/>
          <w:sz w:val="28"/>
          <w:szCs w:val="28"/>
          <w:lang w:eastAsia="zh-CN"/>
        </w:rPr>
        <w:t>征收</w:t>
      </w:r>
      <w:r>
        <w:rPr>
          <w:rFonts w:hint="eastAsia" w:ascii="仿宋_GB2312" w:hAnsi="仿宋_GB2312" w:eastAsia="仿宋_GB2312" w:cs="仿宋_GB2312"/>
          <w:b/>
          <w:bCs w:val="0"/>
          <w:sz w:val="28"/>
          <w:szCs w:val="28"/>
        </w:rPr>
        <w:t>人列入</w:t>
      </w:r>
      <w:r>
        <w:rPr>
          <w:rFonts w:hint="eastAsia" w:ascii="仿宋_GB2312" w:hAnsi="仿宋_GB2312" w:eastAsia="仿宋_GB2312" w:cs="仿宋_GB2312"/>
          <w:b/>
          <w:bCs w:val="0"/>
          <w:sz w:val="28"/>
          <w:szCs w:val="28"/>
          <w:lang w:eastAsia="zh-CN"/>
        </w:rPr>
        <w:t>征收</w:t>
      </w:r>
      <w:r>
        <w:rPr>
          <w:rFonts w:hint="eastAsia" w:ascii="仿宋_GB2312" w:hAnsi="仿宋_GB2312" w:eastAsia="仿宋_GB2312" w:cs="仿宋_GB2312"/>
          <w:b/>
          <w:bCs w:val="0"/>
          <w:sz w:val="28"/>
          <w:szCs w:val="28"/>
        </w:rPr>
        <w:t>补偿对象。</w:t>
      </w:r>
    </w:p>
    <w:p w14:paraId="137637E6">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被征收房屋属个人或单位所有的，以不动产权证书（含房屋所有权证，下同）或建筑许可执照（建设工程规划许可证，同一人加层扩建除外）为计户和补偿依据，被征收人应当依据权属证书记载的房屋用途、性质和面积选择产权调换或货币补偿。持有建筑许可执照（建设工程规划许可证）未建设的不予补偿。</w:t>
      </w:r>
    </w:p>
    <w:p w14:paraId="2BC605ED">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房屋属出租国有公房的，以公房租赁凭证（租折或租赁合同）为计户和补偿依据，以上国有公房包括福州市国有房产中心管理的国有房产和行政机关、事业单位、国有企业等单位管理的房产。国有公房的补偿安置根据《福州市房屋</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补偿实施细则（2021年修订版）》（榕政办〔2021〕112号）执行。</w:t>
      </w:r>
    </w:p>
    <w:p w14:paraId="59FD6666">
      <w:pPr>
        <w:adjustRightInd w:val="0"/>
        <w:snapToGrid w:val="0"/>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（二）本地块</w:t>
      </w:r>
      <w:r>
        <w:rPr>
          <w:rFonts w:hint="eastAsia" w:ascii="仿宋_GB2312" w:hAnsi="仿宋_GB2312" w:eastAsia="仿宋_GB2312" w:cs="仿宋_GB2312"/>
          <w:b/>
          <w:bCs/>
          <w:sz w:val="28"/>
          <w:szCs w:val="28"/>
          <w:lang w:eastAsia="zh-CN"/>
        </w:rPr>
        <w:t>征收</w:t>
      </w:r>
      <w:r>
        <w:rPr>
          <w:rFonts w:hint="eastAsia" w:ascii="仿宋_GB2312" w:hAnsi="仿宋_GB2312" w:eastAsia="仿宋_GB2312" w:cs="仿宋_GB2312"/>
          <w:b/>
          <w:bCs/>
          <w:sz w:val="28"/>
          <w:szCs w:val="28"/>
        </w:rPr>
        <w:t>补偿的方式：实行</w:t>
      </w:r>
      <w:r>
        <w:rPr>
          <w:rFonts w:hint="eastAsia" w:ascii="仿宋_GB2312" w:hAnsi="仿宋_GB2312" w:eastAsia="仿宋_GB2312" w:cs="仿宋_GB2312"/>
          <w:b/>
          <w:bCs/>
          <w:sz w:val="28"/>
          <w:szCs w:val="28"/>
          <w:lang w:eastAsia="zh-CN"/>
        </w:rPr>
        <w:t>货币补偿及</w:t>
      </w:r>
      <w:r>
        <w:rPr>
          <w:rFonts w:hint="eastAsia" w:ascii="仿宋_GB2312" w:hAnsi="仿宋_GB2312" w:eastAsia="仿宋_GB2312" w:cs="仿宋_GB2312"/>
          <w:b/>
          <w:bCs/>
          <w:sz w:val="28"/>
          <w:szCs w:val="28"/>
        </w:rPr>
        <w:t>产权调换</w:t>
      </w:r>
      <w:r>
        <w:rPr>
          <w:rFonts w:hint="eastAsia" w:ascii="仿宋_GB2312" w:hAnsi="仿宋_GB2312" w:eastAsia="仿宋_GB2312" w:cs="仿宋_GB2312"/>
          <w:b/>
          <w:bCs/>
          <w:sz w:val="28"/>
          <w:szCs w:val="28"/>
          <w:lang w:eastAsia="zh-CN"/>
        </w:rPr>
        <w:t>相结合</w:t>
      </w:r>
      <w:r>
        <w:rPr>
          <w:rFonts w:hint="eastAsia" w:ascii="仿宋_GB2312" w:hAnsi="仿宋_GB2312" w:eastAsia="仿宋_GB2312" w:cs="仿宋_GB2312"/>
          <w:b/>
          <w:bCs/>
          <w:sz w:val="28"/>
          <w:szCs w:val="28"/>
        </w:rPr>
        <w:t>的方式，但被</w:t>
      </w:r>
      <w:r>
        <w:rPr>
          <w:rFonts w:hint="eastAsia" w:ascii="仿宋_GB2312" w:hAnsi="仿宋_GB2312" w:eastAsia="仿宋_GB2312" w:cs="仿宋_GB2312"/>
          <w:b/>
          <w:bCs/>
          <w:sz w:val="28"/>
          <w:szCs w:val="28"/>
          <w:lang w:eastAsia="zh-CN"/>
        </w:rPr>
        <w:t>征收</w:t>
      </w:r>
      <w:r>
        <w:rPr>
          <w:rFonts w:hint="eastAsia" w:ascii="仿宋_GB2312" w:hAnsi="仿宋_GB2312" w:eastAsia="仿宋_GB2312" w:cs="仿宋_GB2312"/>
          <w:b/>
          <w:bCs/>
          <w:sz w:val="28"/>
          <w:szCs w:val="28"/>
        </w:rPr>
        <w:t>房屋属于以下情形的，规定如下：</w:t>
      </w:r>
    </w:p>
    <w:p w14:paraId="20471F09">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房屋属于以下情形的只作货币补偿，不能产权调换：</w:t>
      </w:r>
    </w:p>
    <w:p w14:paraId="39F85007">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（1）历史老宅因分割等原因造成房屋确权面积小于30平方米且被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人在本市有其他住房的；</w:t>
      </w:r>
    </w:p>
    <w:p w14:paraId="0B1203B9">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（2）仅</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杂物间的；</w:t>
      </w:r>
    </w:p>
    <w:p w14:paraId="7F9D0770">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（3）非公益事业房屋的附属物。</w:t>
      </w:r>
    </w:p>
    <w:p w14:paraId="5B60399A">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房屋属于以下情形的只作产权调换，不能货币补偿：</w:t>
      </w:r>
    </w:p>
    <w:p w14:paraId="20BF17C7">
      <w:pPr>
        <w:spacing w:line="48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被征收房屋的共有人或被征收国有房产的各使用人对补偿方式的选择达不成一致意见的；</w:t>
      </w:r>
    </w:p>
    <w:p w14:paraId="0780330D">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房屋产权有纠纷、权属不清或产权人下落不明的；</w:t>
      </w:r>
    </w:p>
    <w:p w14:paraId="74B54093">
      <w:pPr>
        <w:pStyle w:val="7"/>
        <w:spacing w:before="0" w:beforeAutospacing="0" w:after="0" w:afterAutospacing="0" w:line="480" w:lineRule="exact"/>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kern w:val="2"/>
          <w:sz w:val="28"/>
          <w:szCs w:val="28"/>
        </w:rPr>
        <w:t>3）被</w:t>
      </w:r>
      <w:r>
        <w:rPr>
          <w:rFonts w:hint="eastAsia" w:ascii="仿宋_GB2312" w:hAnsi="仿宋_GB2312" w:eastAsia="仿宋_GB2312" w:cs="仿宋_GB2312"/>
          <w:kern w:val="2"/>
          <w:sz w:val="28"/>
          <w:szCs w:val="28"/>
          <w:lang w:eastAsia="zh-CN"/>
        </w:rPr>
        <w:t>征收</w:t>
      </w:r>
      <w:r>
        <w:rPr>
          <w:rFonts w:hint="eastAsia" w:ascii="仿宋_GB2312" w:hAnsi="仿宋_GB2312" w:eastAsia="仿宋_GB2312" w:cs="仿宋_GB2312"/>
          <w:kern w:val="2"/>
          <w:sz w:val="28"/>
          <w:szCs w:val="28"/>
        </w:rPr>
        <w:t>房屋设有抵押权的，抵押权人和抵押人未重新设立抵押权或抵押人未清偿债务的；</w:t>
      </w:r>
    </w:p>
    <w:p w14:paraId="21F8C038">
      <w:pPr>
        <w:pStyle w:val="7"/>
        <w:spacing w:before="0" w:beforeAutospacing="0" w:after="0" w:afterAutospacing="0" w:line="48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kern w:val="2"/>
          <w:sz w:val="28"/>
          <w:szCs w:val="28"/>
        </w:rPr>
        <w:t>同一幢</w:t>
      </w:r>
      <w:r>
        <w:rPr>
          <w:rFonts w:hint="eastAsia" w:ascii="仿宋_GB2312" w:hAnsi="仿宋_GB2312" w:eastAsia="仿宋_GB2312" w:cs="仿宋_GB2312"/>
          <w:sz w:val="28"/>
          <w:szCs w:val="28"/>
        </w:rPr>
        <w:t>住宅</w:t>
      </w:r>
      <w:r>
        <w:rPr>
          <w:rFonts w:hint="eastAsia" w:ascii="仿宋_GB2312" w:hAnsi="仿宋_GB2312" w:eastAsia="仿宋_GB2312" w:cs="仿宋_GB2312"/>
          <w:kern w:val="2"/>
          <w:sz w:val="28"/>
          <w:szCs w:val="28"/>
        </w:rPr>
        <w:t>房屋分户补偿安置的，一律实行实物安置</w:t>
      </w:r>
      <w:r>
        <w:rPr>
          <w:rFonts w:hint="eastAsia" w:ascii="仿宋_GB2312" w:hAnsi="仿宋_GB2312" w:eastAsia="仿宋_GB2312" w:cs="仿宋_GB2312"/>
          <w:sz w:val="28"/>
          <w:szCs w:val="28"/>
        </w:rPr>
        <w:t>（产权调换）</w:t>
      </w:r>
      <w:r>
        <w:rPr>
          <w:rFonts w:hint="eastAsia" w:ascii="仿宋_GB2312" w:hAnsi="仿宋_GB2312" w:eastAsia="仿宋_GB2312" w:cs="仿宋_GB2312"/>
          <w:kern w:val="2"/>
          <w:sz w:val="28"/>
          <w:szCs w:val="28"/>
        </w:rPr>
        <w:t>，不得实行货币补偿；安置面积小于等于60平方米的，原则上实行实物安置；安置面积大于60平方米的，原则上实物安置面积不得少于60平方米；</w:t>
      </w:r>
      <w:r>
        <w:rPr>
          <w:rFonts w:hint="eastAsia" w:ascii="仿宋_GB2312" w:hAnsi="仿宋_GB2312" w:eastAsia="仿宋_GB2312" w:cs="仿宋_GB2312"/>
          <w:sz w:val="28"/>
          <w:szCs w:val="28"/>
        </w:rPr>
        <w:t>无产权住宅房屋确认补偿安置面积后，选择实物安置的比例不得低于50%。</w:t>
      </w:r>
    </w:p>
    <w:p w14:paraId="1244AFD3">
      <w:pPr>
        <w:pStyle w:val="7"/>
        <w:spacing w:before="0" w:beforeAutospacing="0" w:after="0" w:afterAutospacing="0" w:line="48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rPr>
        <w:t>4、在《福州市房屋</w:t>
      </w:r>
      <w:r>
        <w:rPr>
          <w:rFonts w:hint="eastAsia" w:ascii="仿宋_GB2312" w:hAnsi="仿宋_GB2312" w:eastAsia="仿宋_GB2312" w:cs="仿宋_GB2312"/>
          <w:kern w:val="2"/>
          <w:sz w:val="28"/>
          <w:szCs w:val="28"/>
          <w:lang w:eastAsia="zh-CN"/>
        </w:rPr>
        <w:t>征收</w:t>
      </w:r>
      <w:r>
        <w:rPr>
          <w:rFonts w:hint="eastAsia" w:ascii="仿宋_GB2312" w:hAnsi="仿宋_GB2312" w:eastAsia="仿宋_GB2312" w:cs="仿宋_GB2312"/>
          <w:kern w:val="2"/>
          <w:sz w:val="28"/>
          <w:szCs w:val="28"/>
        </w:rPr>
        <w:t>补偿实施细则》发布之日（2013年5月20日）前，原被</w:t>
      </w:r>
      <w:r>
        <w:rPr>
          <w:rFonts w:hint="eastAsia" w:ascii="仿宋_GB2312" w:hAnsi="仿宋_GB2312" w:eastAsia="仿宋_GB2312" w:cs="仿宋_GB2312"/>
          <w:kern w:val="2"/>
          <w:sz w:val="28"/>
          <w:szCs w:val="28"/>
          <w:lang w:eastAsia="zh-CN"/>
        </w:rPr>
        <w:t>征收</w:t>
      </w:r>
      <w:r>
        <w:rPr>
          <w:rFonts w:hint="eastAsia" w:ascii="仿宋_GB2312" w:hAnsi="仿宋_GB2312" w:eastAsia="仿宋_GB2312" w:cs="仿宋_GB2312"/>
          <w:kern w:val="2"/>
          <w:sz w:val="28"/>
          <w:szCs w:val="28"/>
        </w:rPr>
        <w:t>人夫妻经法院判决离婚或协议离婚并对房屋具体分析明确权属范围的，可予以分户补偿；法院判决离婚或协议离婚,仅明确房屋双方各占份额，未对房屋具体分析明确权属范围以及2013年5月20日后离婚的，不予分户补偿。</w:t>
      </w:r>
    </w:p>
    <w:p w14:paraId="42C15136">
      <w:pPr>
        <w:pStyle w:val="7"/>
        <w:spacing w:before="0" w:beforeAutospacing="0" w:after="0" w:afterAutospacing="0" w:line="480" w:lineRule="exact"/>
        <w:ind w:firstLine="391" w:firstLineChars="139"/>
        <w:jc w:val="both"/>
        <w:rPr>
          <w:rFonts w:hint="eastAsia" w:ascii="仿宋_GB2312" w:hAnsi="仿宋_GB2312" w:eastAsia="仿宋_GB2312" w:cs="仿宋_GB2312"/>
          <w:bCs/>
          <w:kern w:val="2"/>
          <w:sz w:val="28"/>
          <w:szCs w:val="28"/>
        </w:rPr>
      </w:pPr>
      <w:r>
        <w:rPr>
          <w:rFonts w:hint="eastAsia" w:ascii="仿宋_GB2312" w:hAnsi="仿宋_GB2312" w:eastAsia="仿宋_GB2312" w:cs="仿宋_GB2312"/>
          <w:b/>
          <w:bCs w:val="0"/>
          <w:kern w:val="2"/>
          <w:sz w:val="28"/>
          <w:szCs w:val="28"/>
        </w:rPr>
        <w:t>二、协商期限</w:t>
      </w:r>
    </w:p>
    <w:p w14:paraId="3A7AA4CC">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宣传期：本方案公布之日至202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日。</w:t>
      </w:r>
    </w:p>
    <w:p w14:paraId="291FE191">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签约期：202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日至202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日。</w:t>
      </w:r>
    </w:p>
    <w:p w14:paraId="387A9A6C">
      <w:pPr>
        <w:pStyle w:val="7"/>
        <w:spacing w:before="0" w:beforeAutospacing="0" w:after="0" w:afterAutospacing="0" w:line="480" w:lineRule="exact"/>
        <w:ind w:firstLine="391" w:firstLineChars="139"/>
        <w:jc w:val="both"/>
        <w:rPr>
          <w:rFonts w:hint="eastAsia" w:ascii="仿宋_GB2312" w:hAnsi="仿宋_GB2312" w:eastAsia="仿宋_GB2312" w:cs="仿宋_GB2312"/>
          <w:b/>
          <w:bCs w:val="0"/>
          <w:kern w:val="2"/>
          <w:sz w:val="28"/>
          <w:szCs w:val="28"/>
        </w:rPr>
      </w:pPr>
      <w:r>
        <w:rPr>
          <w:rFonts w:hint="eastAsia" w:ascii="仿宋_GB2312" w:hAnsi="仿宋_GB2312" w:eastAsia="仿宋_GB2312" w:cs="仿宋_GB2312"/>
          <w:b/>
          <w:bCs w:val="0"/>
          <w:kern w:val="2"/>
          <w:sz w:val="28"/>
          <w:szCs w:val="28"/>
        </w:rPr>
        <w:t>三、建筑面积计算</w:t>
      </w:r>
    </w:p>
    <w:p w14:paraId="7265504E">
      <w:pPr>
        <w:pStyle w:val="7"/>
        <w:spacing w:before="0" w:beforeAutospacing="0" w:after="0" w:afterAutospacing="0" w:line="480" w:lineRule="exact"/>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1、被</w:t>
      </w:r>
      <w:r>
        <w:rPr>
          <w:rFonts w:hint="eastAsia" w:ascii="仿宋_GB2312" w:hAnsi="仿宋_GB2312" w:eastAsia="仿宋_GB2312" w:cs="仿宋_GB2312"/>
          <w:kern w:val="2"/>
          <w:sz w:val="28"/>
          <w:szCs w:val="28"/>
          <w:lang w:eastAsia="zh-CN"/>
        </w:rPr>
        <w:t>征收</w:t>
      </w:r>
      <w:r>
        <w:rPr>
          <w:rFonts w:hint="eastAsia" w:ascii="仿宋_GB2312" w:hAnsi="仿宋_GB2312" w:eastAsia="仿宋_GB2312" w:cs="仿宋_GB2312"/>
          <w:kern w:val="2"/>
          <w:sz w:val="28"/>
          <w:szCs w:val="28"/>
        </w:rPr>
        <w:t>房屋产权建筑面积以所有权证记载的建筑面积为准；未经登记房屋的建筑面积按国家标准《房产测量规范》和《福州市房屋面积计算细则》的规定计算。</w:t>
      </w:r>
    </w:p>
    <w:p w14:paraId="48156C43">
      <w:pPr>
        <w:pStyle w:val="7"/>
        <w:spacing w:before="0" w:beforeAutospacing="0" w:after="0" w:afterAutospacing="0" w:line="48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rPr>
        <w:t>2、利用坡屋顶空间作为阁楼层的建筑形式，阁楼层与原房同时设计建造的，其楼底高度在2.2米以上，阁楼层层高大于等于2.2米部分按100%计算建筑面积，阁楼层层高大于等于1.6米小于2.2米部分按50%计算建筑面积，阁楼层层高小于1.6米部分不计算建筑面积。</w:t>
      </w:r>
    </w:p>
    <w:p w14:paraId="5F4C2EA4">
      <w:pPr>
        <w:pStyle w:val="7"/>
        <w:spacing w:before="0" w:beforeAutospacing="0" w:after="0" w:afterAutospacing="0" w:line="480" w:lineRule="exact"/>
        <w:ind w:firstLine="391" w:firstLineChars="139"/>
        <w:jc w:val="both"/>
        <w:rPr>
          <w:rFonts w:hint="eastAsia" w:ascii="仿宋_GB2312" w:hAnsi="仿宋_GB2312" w:eastAsia="仿宋_GB2312" w:cs="仿宋_GB2312"/>
          <w:b/>
          <w:bCs w:val="0"/>
          <w:kern w:val="2"/>
          <w:sz w:val="28"/>
          <w:szCs w:val="28"/>
        </w:rPr>
      </w:pPr>
      <w:r>
        <w:rPr>
          <w:rFonts w:hint="eastAsia" w:ascii="仿宋_GB2312" w:hAnsi="仿宋_GB2312" w:eastAsia="仿宋_GB2312" w:cs="仿宋_GB2312"/>
          <w:b/>
          <w:bCs w:val="0"/>
          <w:kern w:val="2"/>
          <w:sz w:val="28"/>
          <w:szCs w:val="28"/>
        </w:rPr>
        <w:t>四、</w:t>
      </w:r>
      <w:r>
        <w:rPr>
          <w:rFonts w:hint="eastAsia" w:ascii="仿宋_GB2312" w:hAnsi="仿宋_GB2312" w:eastAsia="仿宋_GB2312" w:cs="仿宋_GB2312"/>
          <w:b/>
          <w:bCs w:val="0"/>
          <w:kern w:val="2"/>
          <w:sz w:val="28"/>
          <w:szCs w:val="28"/>
          <w:lang w:eastAsia="zh-CN"/>
        </w:rPr>
        <w:t>征收</w:t>
      </w:r>
      <w:r>
        <w:rPr>
          <w:rFonts w:hint="eastAsia" w:ascii="仿宋_GB2312" w:hAnsi="仿宋_GB2312" w:eastAsia="仿宋_GB2312" w:cs="仿宋_GB2312"/>
          <w:b/>
          <w:bCs w:val="0"/>
          <w:kern w:val="2"/>
          <w:sz w:val="28"/>
          <w:szCs w:val="28"/>
        </w:rPr>
        <w:t>补偿机制</w:t>
      </w:r>
    </w:p>
    <w:p w14:paraId="2A37B1E6">
      <w:pPr>
        <w:pStyle w:val="7"/>
        <w:spacing w:before="0" w:beforeAutospacing="0" w:after="0" w:afterAutospacing="0" w:line="480" w:lineRule="exact"/>
        <w:ind w:firstLine="562" w:firstLineChars="200"/>
        <w:jc w:val="both"/>
        <w:rPr>
          <w:rFonts w:hint="eastAsia" w:ascii="仿宋_GB2312" w:hAnsi="仿宋_GB2312" w:eastAsia="仿宋_GB2312" w:cs="仿宋_GB2312"/>
          <w:b/>
          <w:bCs/>
          <w:kern w:val="2"/>
          <w:sz w:val="28"/>
          <w:szCs w:val="28"/>
        </w:rPr>
      </w:pPr>
      <w:r>
        <w:rPr>
          <w:rFonts w:hint="eastAsia" w:ascii="仿宋_GB2312" w:hAnsi="仿宋" w:eastAsia="仿宋_GB2312" w:cs="Times New Roman"/>
          <w:b/>
          <w:bCs/>
          <w:kern w:val="2"/>
          <w:sz w:val="28"/>
          <w:szCs w:val="28"/>
        </w:rPr>
        <w:t>（一）</w:t>
      </w:r>
      <w:r>
        <w:rPr>
          <w:rFonts w:hint="eastAsia" w:ascii="仿宋_GB2312" w:hAnsi="仿宋_GB2312" w:eastAsia="仿宋_GB2312" w:cs="仿宋_GB2312"/>
          <w:b/>
          <w:bCs/>
          <w:kern w:val="2"/>
          <w:sz w:val="28"/>
          <w:szCs w:val="28"/>
        </w:rPr>
        <w:t>住宅房屋</w:t>
      </w:r>
    </w:p>
    <w:p w14:paraId="19401343">
      <w:pPr>
        <w:pStyle w:val="7"/>
        <w:spacing w:before="0" w:beforeAutospacing="0" w:after="0" w:afterAutospacing="0" w:line="480" w:lineRule="exact"/>
        <w:ind w:firstLine="560" w:firstLineChars="200"/>
        <w:jc w:val="both"/>
        <w:rPr>
          <w:rFonts w:hint="eastAsia" w:ascii="仿宋_GB2312" w:hAnsi="仿宋_GB2312" w:eastAsia="仿宋_GB2312" w:cs="仿宋_GB2312"/>
          <w:kern w:val="2"/>
          <w:sz w:val="28"/>
          <w:szCs w:val="28"/>
          <w:u w:val="none"/>
        </w:rPr>
      </w:pPr>
      <w:r>
        <w:rPr>
          <w:rFonts w:hint="eastAsia" w:ascii="仿宋_GB2312" w:hAnsi="仿宋_GB2312" w:eastAsia="仿宋_GB2312" w:cs="仿宋_GB2312"/>
          <w:kern w:val="2"/>
          <w:sz w:val="28"/>
          <w:szCs w:val="28"/>
          <w:u w:val="none"/>
        </w:rPr>
        <w:t>1、货币补偿：符合货币补偿条件的被</w:t>
      </w:r>
      <w:r>
        <w:rPr>
          <w:rFonts w:hint="eastAsia" w:ascii="仿宋_GB2312" w:hAnsi="仿宋_GB2312" w:eastAsia="仿宋_GB2312" w:cs="仿宋_GB2312"/>
          <w:kern w:val="2"/>
          <w:sz w:val="28"/>
          <w:szCs w:val="28"/>
          <w:u w:val="none"/>
          <w:lang w:eastAsia="zh-CN"/>
        </w:rPr>
        <w:t>征收</w:t>
      </w:r>
      <w:r>
        <w:rPr>
          <w:rFonts w:hint="eastAsia" w:ascii="仿宋_GB2312" w:hAnsi="仿宋_GB2312" w:eastAsia="仿宋_GB2312" w:cs="仿宋_GB2312"/>
          <w:kern w:val="2"/>
          <w:sz w:val="28"/>
          <w:szCs w:val="28"/>
          <w:u w:val="none"/>
        </w:rPr>
        <w:t>人按确权的房屋建筑面积实行货币补偿。放弃产权调换，由被</w:t>
      </w:r>
      <w:r>
        <w:rPr>
          <w:rFonts w:hint="eastAsia" w:ascii="仿宋_GB2312" w:hAnsi="仿宋_GB2312" w:eastAsia="仿宋_GB2312" w:cs="仿宋_GB2312"/>
          <w:kern w:val="2"/>
          <w:sz w:val="28"/>
          <w:szCs w:val="28"/>
          <w:u w:val="none"/>
          <w:lang w:eastAsia="zh-CN"/>
        </w:rPr>
        <w:t>征收</w:t>
      </w:r>
      <w:r>
        <w:rPr>
          <w:rFonts w:hint="eastAsia" w:ascii="仿宋_GB2312" w:hAnsi="仿宋_GB2312" w:eastAsia="仿宋_GB2312" w:cs="仿宋_GB2312"/>
          <w:kern w:val="2"/>
          <w:sz w:val="28"/>
          <w:szCs w:val="28"/>
          <w:u w:val="none"/>
        </w:rPr>
        <w:t>人自行解决安置用房。</w:t>
      </w:r>
    </w:p>
    <w:p w14:paraId="5D5C36B3">
      <w:pPr>
        <w:pStyle w:val="7"/>
        <w:spacing w:before="0" w:beforeAutospacing="0" w:after="0" w:afterAutospacing="0" w:line="480" w:lineRule="exact"/>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2、产权调换：</w:t>
      </w:r>
    </w:p>
    <w:p w14:paraId="08714A36">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人可根据被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房屋确权面积加公摊补偿面积后就近上靠标准房型，或按照被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房屋价格除以产权调换房均价所得面积就近上靠标准房型。被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房屋价格=（区位补偿价+建安综合单价×成新率）×确认的房屋合法建筑面积+区位补偿价×公摊补偿面积+优惠补差奖励。</w:t>
      </w:r>
    </w:p>
    <w:p w14:paraId="0F21C5C7">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标准房型为45㎡、60㎡、75㎡、90㎡、105㎡、120㎡、135㎡。</w:t>
      </w:r>
    </w:p>
    <w:p w14:paraId="4CC8E1DB">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选择两套（处）或两套（处）以上安置房的，只能享受一次上靠标准房型；若其中一套（处）安置房的面积小于30㎡的，只能降低另一套（处）安置房的安置面积，上调安置到存量统建安置房90㎡及以上户型的除外。</w:t>
      </w:r>
    </w:p>
    <w:p w14:paraId="1A52B673">
      <w:pPr>
        <w:pStyle w:val="2"/>
        <w:spacing w:line="480" w:lineRule="exact"/>
        <w:ind w:firstLine="562" w:firstLineChars="200"/>
        <w:rPr>
          <w:rFonts w:hint="eastAsia" w:ascii="仿宋_GB2312" w:eastAsia="仿宋_GB2312"/>
          <w:b/>
          <w:bCs/>
          <w:sz w:val="28"/>
          <w:szCs w:val="28"/>
        </w:rPr>
      </w:pPr>
      <w:r>
        <w:rPr>
          <w:rFonts w:hint="eastAsia" w:ascii="仿宋_GB2312" w:hAnsi="仿宋" w:eastAsia="仿宋_GB2312" w:cs="仿宋"/>
          <w:b/>
          <w:bCs/>
          <w:sz w:val="28"/>
          <w:szCs w:val="28"/>
        </w:rPr>
        <w:t>（二）非住宅房屋</w:t>
      </w:r>
    </w:p>
    <w:p w14:paraId="492FEF02">
      <w:pPr>
        <w:pStyle w:val="2"/>
        <w:keepNext w:val="0"/>
        <w:keepLines w:val="0"/>
        <w:pageBreakBefore w:val="0"/>
        <w:kinsoku/>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1、非住宅房屋征收原则上按不动产权证书（房屋所有权证或土地证）登记的用途实行货币补偿，具备产权调换安置条件的可实行产权调换，按双评估方式结算调换差价</w:t>
      </w:r>
      <w:r>
        <w:rPr>
          <w:rFonts w:hint="default" w:ascii="仿宋_GB2312" w:hAnsi="仿宋_GB2312" w:eastAsia="仿宋_GB2312" w:cs="仿宋_GB2312"/>
          <w:kern w:val="2"/>
          <w:sz w:val="28"/>
          <w:szCs w:val="28"/>
          <w:lang w:val="en-US" w:eastAsia="zh-CN" w:bidi="ar-SA"/>
        </w:rPr>
        <w:t>。</w:t>
      </w:r>
    </w:p>
    <w:p w14:paraId="37D957D9">
      <w:pPr>
        <w:pStyle w:val="3"/>
        <w:keepNext w:val="0"/>
        <w:keepLines w:val="0"/>
        <w:pageBreakBefore w:val="0"/>
        <w:kinsoku/>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被征收房屋不动产权证书（房屋所有权证或土地证）登记的用途为工业仓储厂房，于2016年5月1日《福州市城市规划管理技术规定》施行前改为办公和生活服务设施用房的，认定的办公及生活服务设施用房面积不得超过确权总建筑面积的15%（含已登记为办公用房部分）；超出部分的面积仍按原用途认定补偿，未超过的按实际面积认定补偿。</w:t>
      </w:r>
    </w:p>
    <w:p w14:paraId="657C807F">
      <w:pPr>
        <w:pStyle w:val="7"/>
        <w:spacing w:before="0" w:beforeAutospacing="0" w:after="0" w:afterAutospacing="0" w:line="480" w:lineRule="exact"/>
        <w:ind w:firstLine="391" w:firstLineChars="139"/>
        <w:jc w:val="both"/>
        <w:rPr>
          <w:rFonts w:hint="eastAsia" w:ascii="仿宋_GB2312" w:hAnsi="仿宋_GB2312" w:eastAsia="仿宋_GB2312" w:cs="仿宋_GB2312"/>
          <w:bCs/>
          <w:kern w:val="2"/>
          <w:sz w:val="28"/>
          <w:szCs w:val="28"/>
        </w:rPr>
      </w:pPr>
      <w:bookmarkStart w:id="0" w:name="_Hlk25498436"/>
      <w:r>
        <w:rPr>
          <w:rFonts w:hint="eastAsia" w:ascii="仿宋_GB2312" w:hAnsi="仿宋_GB2312" w:eastAsia="仿宋_GB2312" w:cs="仿宋_GB2312"/>
          <w:b/>
          <w:bCs w:val="0"/>
          <w:kern w:val="2"/>
          <w:sz w:val="28"/>
          <w:szCs w:val="28"/>
        </w:rPr>
        <w:t>五、无产权房屋认定补偿办法</w:t>
      </w:r>
    </w:p>
    <w:bookmarkEnd w:id="0"/>
    <w:p w14:paraId="65754916">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对无产权房屋的</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补偿原则上以福州市勘测院历年的航拍图（矢量图）为依据，个人建设的无产权房屋经权利人具结、村（社区）、镇（街道）确认并公示无异议，单位建设的无产权房屋经上级主管部门确认后，根据建设年限区分处理：</w:t>
      </w:r>
    </w:p>
    <w:p w14:paraId="22E9A65D">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1、属1984年1月5日国务院《城市规划条例》生效前建设的无产权房屋，按原房屋建筑面积给予补偿安置。</w:t>
      </w:r>
    </w:p>
    <w:p w14:paraId="76807C0E">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属1984年1月5日国务院《城市规划条例》生效后至2004年10月26日福州市《关于加强违法占地建设查处工作及责任追究的实施意见（试行）》发布前个人建设的无产权住宅房屋，房屋建造人及其配偶和未成年子女在本市五城区范围内无他处房屋的（商品房、二手房除外），原房屋总建筑面积在180平方米（含180平方米）以内的房屋建筑面积按70%给予补偿安置，总建筑面积在180平方米至240平方米（含240平方米）以内部分的建筑面积按50%给予补偿安置；超过240平方米部分的建筑面积按20%给予补偿安置。无产权房屋的建造人其户籍必须在</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范围所在村（社区），无产权房屋的认定以户为单位，被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人有多幢房屋（含产权房屋）的应合并计算，房改房、自建房转让的按初始所有权人合并计算，配偶及未成年子女禁止分户进行补偿安置。</w:t>
      </w:r>
    </w:p>
    <w:p w14:paraId="0ECFC508">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3、属1984年1月5日至2004年10月26日间，村集体组织出资在集体土地上建设的无产权房屋，按原房屋建筑面积的70%给予货币补偿。</w:t>
      </w:r>
    </w:p>
    <w:p w14:paraId="56BF6F0F">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属1984年1月5日至2004年10月26日间，行政机关、事业单位、各类企业出资在自有土地使用权范围内建设的无产权房屋，按原房屋建筑面积的50%给予货币补偿。</w:t>
      </w:r>
    </w:p>
    <w:p w14:paraId="48872BC9">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属2004年10月26日至2006年8月26日《福州市人民政府关于清理整治违法建设的通告》发布前建设的无产权房屋，以及私营企业或个人在1984年1月5日至2006年8月26日间向村（社区）、镇（街道）租地建设的无产权房屋，在协商期限内签订协议并</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的，可根据不同结构房屋的重置价结合成新率给予补助，另给予重置价结合成新率的50%</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奖励。</w:t>
      </w:r>
    </w:p>
    <w:p w14:paraId="2C919170">
      <w:pPr>
        <w:adjustRightInd w:val="0"/>
        <w:snapToGrid w:val="0"/>
        <w:spacing w:line="480" w:lineRule="exact"/>
        <w:ind w:firstLine="560" w:firstLineChars="200"/>
        <w:rPr>
          <w:rFonts w:hint="eastAsia" w:ascii="仿宋_GB2312" w:hAnsi="仿宋_GB2312" w:eastAsia="仿宋_GB2312" w:cs="仿宋_GB2312"/>
          <w:strike/>
          <w:sz w:val="28"/>
          <w:szCs w:val="28"/>
        </w:rPr>
      </w:pPr>
      <w:r>
        <w:rPr>
          <w:rFonts w:hint="eastAsia" w:ascii="仿宋_GB2312" w:hAnsi="仿宋_GB2312" w:eastAsia="仿宋_GB2312" w:cs="仿宋_GB2312"/>
          <w:sz w:val="28"/>
          <w:szCs w:val="28"/>
        </w:rPr>
        <w:t>5、属2006年8月26日至2012年12月31日间建设的无产权房屋，在协商期限内签订协议并</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的，可给予不超过原房重置价结合成新率的50%自行</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补助，装修不予以补偿。</w:t>
      </w:r>
    </w:p>
    <w:p w14:paraId="4E425F4F">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6、2012年12月31日前建设的猪舍、牛栏及简易搭盖的房屋或构筑物，在协商期限内</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的按30～70元/平方米给予补助，在</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期间仍饲养禽畜的，另给予30元/平方米的</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补贴。</w:t>
      </w:r>
    </w:p>
    <w:p w14:paraId="3E4345DD">
      <w:pPr>
        <w:adjustRightInd w:val="0"/>
        <w:snapToGrid w:val="0"/>
        <w:spacing w:line="48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7、对1984年1月5日至2004年10月26日间建造的无产权杂物间，可按杂物间面积的35%并入住宅房屋进行补偿安置；对2004年10月26日至2006年8月26日间建造的无产权杂物间，按重置价结合成新率的50%给予补助。仅</w:t>
      </w:r>
      <w:r>
        <w:rPr>
          <w:rFonts w:hint="eastAsia" w:ascii="仿宋_GB2312" w:hAnsi="仿宋_GB2312" w:eastAsia="仿宋_GB2312" w:cs="仿宋_GB2312"/>
          <w:color w:val="000000" w:themeColor="text1"/>
          <w:sz w:val="28"/>
          <w:szCs w:val="28"/>
          <w:lang w:eastAsia="zh-CN"/>
          <w14:textFill>
            <w14:solidFill>
              <w14:schemeClr w14:val="tx1"/>
            </w14:solidFill>
          </w14:textFill>
        </w:rPr>
        <w:t>征收</w:t>
      </w:r>
      <w:r>
        <w:rPr>
          <w:rFonts w:hint="eastAsia" w:ascii="仿宋_GB2312" w:hAnsi="仿宋_GB2312" w:eastAsia="仿宋_GB2312" w:cs="仿宋_GB2312"/>
          <w:color w:val="000000" w:themeColor="text1"/>
          <w:sz w:val="28"/>
          <w:szCs w:val="28"/>
          <w14:textFill>
            <w14:solidFill>
              <w14:schemeClr w14:val="tx1"/>
            </w14:solidFill>
          </w14:textFill>
        </w:rPr>
        <w:t>杂物间的，原则实行货币补偿。</w:t>
      </w:r>
    </w:p>
    <w:p w14:paraId="32F85FA3">
      <w:pPr>
        <w:adjustRightInd w:val="0"/>
        <w:snapToGrid w:val="0"/>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8、2012年12月31日后建设的无产权房屋不予补偿。</w:t>
      </w:r>
    </w:p>
    <w:p w14:paraId="2BB736E4">
      <w:pPr>
        <w:spacing w:line="480" w:lineRule="exact"/>
        <w:ind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rPr>
        <w:t>六、补偿计价方式</w:t>
      </w:r>
    </w:p>
    <w:p w14:paraId="7C3207C0">
      <w:pPr>
        <w:spacing w:line="48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（一）按整体区位评估价计价补偿</w:t>
      </w:r>
    </w:p>
    <w:p w14:paraId="2459EF49">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在协商期限内，被</w:t>
      </w:r>
      <w:r>
        <w:rPr>
          <w:rFonts w:hint="eastAsia" w:ascii="仿宋_GB2312" w:hAnsi="仿宋_GB2312" w:eastAsia="仿宋_GB2312" w:cs="仿宋_GB2312"/>
          <w:bCs/>
          <w:sz w:val="28"/>
          <w:szCs w:val="28"/>
          <w:lang w:eastAsia="zh-CN"/>
        </w:rPr>
        <w:t>征收</w:t>
      </w:r>
      <w:r>
        <w:rPr>
          <w:rFonts w:hint="eastAsia" w:ascii="仿宋_GB2312" w:hAnsi="仿宋_GB2312" w:eastAsia="仿宋_GB2312" w:cs="仿宋_GB2312"/>
          <w:bCs/>
          <w:sz w:val="28"/>
          <w:szCs w:val="28"/>
        </w:rPr>
        <w:t>人所有的住宅、杂物间可选择按整体区位评估方式与</w:t>
      </w:r>
      <w:r>
        <w:rPr>
          <w:rFonts w:hint="eastAsia" w:ascii="仿宋_GB2312" w:hAnsi="仿宋_GB2312" w:eastAsia="仿宋_GB2312" w:cs="仿宋_GB2312"/>
          <w:bCs/>
          <w:sz w:val="28"/>
          <w:szCs w:val="28"/>
          <w:lang w:eastAsia="zh-CN"/>
        </w:rPr>
        <w:t>征收</w:t>
      </w:r>
      <w:r>
        <w:rPr>
          <w:rFonts w:hint="eastAsia" w:ascii="仿宋_GB2312" w:hAnsi="仿宋_GB2312" w:eastAsia="仿宋_GB2312" w:cs="仿宋_GB2312"/>
          <w:bCs/>
          <w:sz w:val="28"/>
          <w:szCs w:val="28"/>
        </w:rPr>
        <w:t>实施单位协商确定房屋的各项补偿安置事宜并签订房屋补偿协议书，具体计价补偿方式如下：</w:t>
      </w:r>
    </w:p>
    <w:p w14:paraId="6B991A46">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1、住宅用房货币补偿计价方式：</w:t>
      </w:r>
    </w:p>
    <w:p w14:paraId="270D2486">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住宅补偿计价方式：货币补偿金额=被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房屋确认的合法建筑面积×（</w:t>
      </w:r>
      <w:r>
        <w:rPr>
          <w:rFonts w:hint="eastAsia" w:ascii="仿宋_GB2312" w:hAnsi="仿宋_GB2312" w:eastAsia="仿宋_GB2312" w:cs="仿宋_GB2312"/>
          <w:sz w:val="28"/>
          <w:szCs w:val="28"/>
          <w:lang w:val="en-US" w:eastAsia="zh-CN"/>
        </w:rPr>
        <w:t>6466</w:t>
      </w:r>
      <w:r>
        <w:rPr>
          <w:rFonts w:hint="eastAsia" w:ascii="仿宋_GB2312" w:hAnsi="仿宋_GB2312" w:eastAsia="仿宋_GB2312" w:cs="仿宋_GB2312"/>
          <w:sz w:val="28"/>
          <w:szCs w:val="28"/>
        </w:rPr>
        <w:t>元/㎡+被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房屋建安综合单价×成新率）。</w:t>
      </w:r>
    </w:p>
    <w:p w14:paraId="038044ED">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 w:eastAsia="仿宋_GB2312"/>
          <w:sz w:val="28"/>
          <w:szCs w:val="28"/>
          <w:lang w:val="en-US" w:eastAsia="zh-CN"/>
        </w:rPr>
        <w:t>2</w:t>
      </w:r>
      <w:r>
        <w:rPr>
          <w:rFonts w:hint="eastAsia" w:ascii="仿宋_GB2312" w:hAnsi="仿宋" w:eastAsia="仿宋_GB2312"/>
          <w:sz w:val="28"/>
          <w:szCs w:val="28"/>
        </w:rPr>
        <w:t>、办公等其他非住宅货币补偿计价方式：货币补偿金额=被</w:t>
      </w:r>
      <w:r>
        <w:rPr>
          <w:rFonts w:hint="eastAsia" w:ascii="仿宋_GB2312" w:hAnsi="仿宋" w:eastAsia="仿宋_GB2312"/>
          <w:sz w:val="28"/>
          <w:szCs w:val="28"/>
          <w:lang w:eastAsia="zh-CN"/>
        </w:rPr>
        <w:t>征收</w:t>
      </w:r>
      <w:r>
        <w:rPr>
          <w:rFonts w:hint="eastAsia" w:ascii="仿宋_GB2312" w:hAnsi="仿宋" w:eastAsia="仿宋_GB2312"/>
          <w:sz w:val="28"/>
          <w:szCs w:val="28"/>
        </w:rPr>
        <w:t>房屋确认的合法建筑面积×（</w:t>
      </w:r>
      <w:r>
        <w:rPr>
          <w:rFonts w:hint="eastAsia" w:ascii="仿宋_GB2312" w:hAnsi="仿宋" w:eastAsia="仿宋_GB2312"/>
          <w:sz w:val="28"/>
          <w:szCs w:val="28"/>
          <w:lang w:val="en-US" w:eastAsia="zh-CN"/>
        </w:rPr>
        <w:t>4698</w:t>
      </w:r>
      <w:r>
        <w:rPr>
          <w:rFonts w:hint="eastAsia" w:ascii="仿宋_GB2312" w:hAnsi="仿宋" w:eastAsia="仿宋_GB2312"/>
          <w:sz w:val="28"/>
          <w:szCs w:val="28"/>
        </w:rPr>
        <w:t>元/</w:t>
      </w:r>
      <w:r>
        <w:rPr>
          <w:rFonts w:hint="eastAsia" w:ascii="Batang" w:hAnsi="Batang" w:eastAsia="Batang" w:cs="Batang"/>
          <w:sz w:val="28"/>
          <w:szCs w:val="28"/>
        </w:rPr>
        <w:t>㎡</w:t>
      </w:r>
      <w:r>
        <w:rPr>
          <w:rFonts w:hint="eastAsia" w:ascii="仿宋_GB2312" w:hAnsi="仿宋" w:eastAsia="仿宋_GB2312"/>
          <w:sz w:val="28"/>
          <w:szCs w:val="28"/>
        </w:rPr>
        <w:t>+被</w:t>
      </w:r>
      <w:r>
        <w:rPr>
          <w:rFonts w:hint="eastAsia" w:ascii="仿宋_GB2312" w:hAnsi="仿宋" w:eastAsia="仿宋_GB2312"/>
          <w:sz w:val="28"/>
          <w:szCs w:val="28"/>
          <w:lang w:eastAsia="zh-CN"/>
        </w:rPr>
        <w:t>征收</w:t>
      </w:r>
      <w:r>
        <w:rPr>
          <w:rFonts w:hint="eastAsia" w:ascii="仿宋_GB2312" w:hAnsi="仿宋" w:eastAsia="仿宋_GB2312"/>
          <w:sz w:val="28"/>
          <w:szCs w:val="28"/>
        </w:rPr>
        <w:t>房屋重置价×成新率）。</w:t>
      </w:r>
    </w:p>
    <w:p w14:paraId="66B7DF66">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合法产权的杂物间，可按杂物间建筑面积的50%折算并入住宅房屋进行补偿安置。</w:t>
      </w:r>
    </w:p>
    <w:p w14:paraId="113C5FF6">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、产权及确认合法建筑面积的住宅房屋一等框架结构建安综合单价为3800元/平方米，其余参照榕房〔2017〕89号的建安综合单价及成新率评定标准执行，详见《被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房屋建安综合单价及补差价情况表》。非住宅房屋及2004年10月26日至2012年12月31日间建造的无产权房屋的重置价及成新率评定标准按照榕政办〔20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112</w:t>
      </w:r>
      <w:r>
        <w:rPr>
          <w:rFonts w:hint="eastAsia" w:ascii="仿宋_GB2312" w:hAnsi="仿宋_GB2312" w:eastAsia="仿宋_GB2312" w:cs="仿宋_GB2312"/>
          <w:sz w:val="28"/>
          <w:szCs w:val="28"/>
        </w:rPr>
        <w:t>号文标准执行。被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人选择整体区位评估方式进行计价的，二次装修项目补偿按照</w:t>
      </w:r>
      <w:r>
        <w:rPr>
          <w:rFonts w:hint="eastAsia" w:ascii="仿宋_GB2312" w:hAnsi="仿宋_GB2312" w:eastAsia="仿宋_GB2312" w:cs="仿宋_GB2312"/>
          <w:sz w:val="28"/>
          <w:szCs w:val="28"/>
          <w:lang w:eastAsia="zh-CN"/>
        </w:rPr>
        <w:t>榕建征</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136</w:t>
      </w:r>
      <w:r>
        <w:rPr>
          <w:rFonts w:hint="eastAsia" w:ascii="仿宋_GB2312" w:hAnsi="仿宋_GB2312" w:eastAsia="仿宋_GB2312" w:cs="仿宋_GB2312"/>
          <w:sz w:val="28"/>
          <w:szCs w:val="28"/>
        </w:rPr>
        <w:t>号文的有关规定执行。</w:t>
      </w:r>
    </w:p>
    <w:p w14:paraId="6A592A01">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房屋层高超过4米（含4米）的，建安综合单价或重置价标准提高20%；层高超过6米（含6米）的，建安综合单价或重置价标准提高40%；层高超过8米（含8米）的，建安综合单价或重置价标准提高60%。</w:t>
      </w:r>
    </w:p>
    <w:p w14:paraId="1B1C605C">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人选择整体区位评估方式结算购买安置型商品房（产权调换房）差价的，差价（不含层次系数）=安置房面积×安置型商品房销售均价（存量安置房单价）－确认的房屋合法建筑面积×（区位补偿价+被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房屋建安综合单价×成新率）-公摊补偿。安置型商品房（产权调换房屋）与原住宅确认的合法建筑面积及公摊补偿面积相等部分不计层次系数，其余面积按设定的标准层（总楼层的中间层，下同）为0、向下一层每层递减1%、向上一层每层递增1%计算层次差价，每层增减的幅度不超过50元/平方米。安置型商品房实行“一房一价”，不计层次系数的面积根据选择的楼层情况给予不计层次系数奖励，在结算时计算。</w:t>
      </w:r>
    </w:p>
    <w:p w14:paraId="3CB97105">
      <w:pPr>
        <w:adjustRightInd w:val="0"/>
        <w:snapToGrid w:val="0"/>
        <w:spacing w:line="48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（二）按分户评估价计价补偿</w:t>
      </w:r>
    </w:p>
    <w:p w14:paraId="0B508A2E">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人不同意按整体区位评估价格签约的，可以申请委托本项目依法选定的评估机构对被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房屋进行分户评估。被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人选择分户评估方式结算货币补偿金额的，货币补偿金额按市场评估价格确定。被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人选择分户评估方式结算产权调换差价的，产权调换差价=安置房市场评估价-被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房屋市场评估价，层次系数按设定的标准层为0、向下一层每层递减1%、向上一层每层递增1%计算层次差价。</w:t>
      </w:r>
    </w:p>
    <w:p w14:paraId="266075B1">
      <w:pPr>
        <w:tabs>
          <w:tab w:val="left" w:pos="501"/>
        </w:tabs>
        <w:spacing w:line="480" w:lineRule="exact"/>
        <w:ind w:firstLine="562" w:firstLineChars="200"/>
        <w:rPr>
          <w:rFonts w:hint="eastAsia" w:ascii="仿宋_GB2312" w:hAnsi="仿宋_GB2312" w:eastAsia="仿宋_GB2312" w:cs="仿宋_GB2312"/>
          <w:b/>
          <w:bCs w:val="0"/>
          <w:strike/>
          <w:sz w:val="28"/>
          <w:szCs w:val="28"/>
        </w:rPr>
      </w:pPr>
      <w:r>
        <w:rPr>
          <w:rFonts w:hint="eastAsia" w:ascii="仿宋_GB2312" w:hAnsi="仿宋_GB2312" w:eastAsia="仿宋_GB2312" w:cs="仿宋_GB2312"/>
          <w:b/>
          <w:bCs w:val="0"/>
          <w:sz w:val="28"/>
          <w:szCs w:val="28"/>
        </w:rPr>
        <w:t>七、安置房地点及对接价</w:t>
      </w:r>
    </w:p>
    <w:p w14:paraId="30580E4A">
      <w:pPr>
        <w:adjustRightInd w:val="0"/>
        <w:snapToGrid w:val="0"/>
        <w:spacing w:line="48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（一）</w:t>
      </w:r>
      <w:r>
        <w:rPr>
          <w:rFonts w:hint="eastAsia" w:ascii="仿宋_GB2312" w:hAnsi="仿宋_GB2312" w:eastAsia="仿宋_GB2312" w:cs="仿宋_GB2312"/>
          <w:b/>
          <w:bCs/>
          <w:sz w:val="28"/>
          <w:szCs w:val="28"/>
          <w:lang w:eastAsia="zh-CN"/>
        </w:rPr>
        <w:t>安置型商品房、</w:t>
      </w:r>
      <w:r>
        <w:rPr>
          <w:rFonts w:hint="eastAsia" w:ascii="仿宋_GB2312" w:hAnsi="仿宋_GB2312" w:eastAsia="仿宋_GB2312" w:cs="仿宋_GB2312"/>
          <w:b/>
          <w:sz w:val="28"/>
          <w:szCs w:val="28"/>
        </w:rPr>
        <w:t>产权调换房地点及对接价（均</w:t>
      </w:r>
      <w:r>
        <w:rPr>
          <w:rFonts w:hint="eastAsia" w:ascii="仿宋_GB2312" w:hAnsi="仿宋_GB2312" w:eastAsia="仿宋_GB2312" w:cs="仿宋_GB2312"/>
          <w:b/>
          <w:bCs/>
          <w:sz w:val="28"/>
          <w:szCs w:val="28"/>
        </w:rPr>
        <w:t>未含层次差价</w:t>
      </w:r>
      <w:r>
        <w:rPr>
          <w:rFonts w:hint="eastAsia" w:ascii="仿宋_GB2312" w:hAnsi="仿宋_GB2312" w:eastAsia="仿宋_GB2312" w:cs="仿宋_GB2312"/>
          <w:b/>
          <w:sz w:val="28"/>
          <w:szCs w:val="28"/>
        </w:rPr>
        <w:t>）如下，具体房源以现场公布为准：</w:t>
      </w:r>
    </w:p>
    <w:p w14:paraId="23F82D87">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（1）存量统建安置房</w:t>
      </w:r>
    </w:p>
    <w:p w14:paraId="29867AE4">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青洲新苑，对接价9369元/㎡，</w:t>
      </w:r>
      <w:r>
        <w:rPr>
          <w:rFonts w:hint="eastAsia" w:ascii="仿宋_GB2312" w:hAnsi="仿宋_GB2312" w:eastAsia="仿宋_GB2312" w:cs="仿宋_GB2312"/>
          <w:sz w:val="28"/>
          <w:szCs w:val="28"/>
          <w:lang w:eastAsia="zh-CN"/>
        </w:rPr>
        <w:t>市场评估价</w:t>
      </w:r>
      <w:r>
        <w:rPr>
          <w:rFonts w:hint="eastAsia" w:ascii="仿宋_GB2312" w:hAnsi="仿宋_GB2312" w:eastAsia="仿宋_GB2312" w:cs="仿宋_GB2312"/>
          <w:sz w:val="28"/>
          <w:szCs w:val="28"/>
          <w:lang w:val="en-US" w:eastAsia="zh-CN"/>
        </w:rPr>
        <w:t>10817</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eastAsia="zh-CN"/>
        </w:rPr>
        <w:t>；</w:t>
      </w:r>
    </w:p>
    <w:p w14:paraId="5F910D45">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旺岐境</w:t>
      </w:r>
      <w:r>
        <w:rPr>
          <w:rFonts w:hint="eastAsia" w:ascii="仿宋_GB2312" w:hAnsi="仿宋_GB2312" w:eastAsia="仿宋_GB2312" w:cs="仿宋_GB2312"/>
          <w:sz w:val="28"/>
          <w:szCs w:val="28"/>
        </w:rPr>
        <w:t>新苑，对接价</w:t>
      </w:r>
      <w:r>
        <w:rPr>
          <w:rFonts w:hint="eastAsia" w:ascii="仿宋_GB2312" w:hAnsi="仿宋_GB2312" w:eastAsia="仿宋_GB2312" w:cs="仿宋_GB2312"/>
          <w:sz w:val="28"/>
          <w:szCs w:val="28"/>
          <w:lang w:val="en-US" w:eastAsia="zh-CN"/>
        </w:rPr>
        <w:t>8148</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eastAsia="zh-CN"/>
        </w:rPr>
        <w:t>，市场评估价</w:t>
      </w:r>
      <w:r>
        <w:rPr>
          <w:rFonts w:hint="eastAsia" w:ascii="仿宋_GB2312" w:hAnsi="仿宋_GB2312" w:eastAsia="仿宋_GB2312" w:cs="仿宋_GB2312"/>
          <w:sz w:val="28"/>
          <w:szCs w:val="28"/>
          <w:lang w:val="en-US" w:eastAsia="zh-CN"/>
        </w:rPr>
        <w:t>9985</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eastAsia="zh-CN"/>
        </w:rPr>
        <w:t>；</w:t>
      </w:r>
    </w:p>
    <w:p w14:paraId="16DCE0B1">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魁协</w:t>
      </w:r>
      <w:r>
        <w:rPr>
          <w:rFonts w:hint="eastAsia" w:ascii="仿宋_GB2312" w:hAnsi="仿宋_GB2312" w:eastAsia="仿宋_GB2312" w:cs="仿宋_GB2312"/>
          <w:sz w:val="28"/>
          <w:szCs w:val="28"/>
        </w:rPr>
        <w:t>新苑，对接价</w:t>
      </w:r>
      <w:r>
        <w:rPr>
          <w:rFonts w:hint="eastAsia" w:ascii="仿宋_GB2312" w:hAnsi="仿宋_GB2312" w:eastAsia="仿宋_GB2312" w:cs="仿宋_GB2312"/>
          <w:sz w:val="28"/>
          <w:szCs w:val="28"/>
          <w:lang w:val="en-US" w:eastAsia="zh-CN"/>
        </w:rPr>
        <w:t>9253</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eastAsia="zh-CN"/>
        </w:rPr>
        <w:t>，市场评估价</w:t>
      </w:r>
      <w:r>
        <w:rPr>
          <w:rFonts w:hint="eastAsia" w:ascii="仿宋_GB2312" w:hAnsi="仿宋_GB2312" w:eastAsia="仿宋_GB2312" w:cs="仿宋_GB2312"/>
          <w:sz w:val="28"/>
          <w:szCs w:val="28"/>
          <w:lang w:val="en-US" w:eastAsia="zh-CN"/>
        </w:rPr>
        <w:t>10683</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eastAsia="zh-CN"/>
        </w:rPr>
        <w:t>；</w:t>
      </w:r>
    </w:p>
    <w:p w14:paraId="1F11522C">
      <w:pPr>
        <w:pStyle w:val="2"/>
        <w:ind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君竹佳园</w:t>
      </w:r>
      <w:r>
        <w:rPr>
          <w:rFonts w:hint="eastAsia" w:ascii="仿宋_GB2312" w:hAnsi="仿宋_GB2312" w:eastAsia="仿宋_GB2312" w:cs="仿宋_GB2312"/>
          <w:color w:val="000000" w:themeColor="text1"/>
          <w:sz w:val="28"/>
          <w:szCs w:val="28"/>
          <w14:textFill>
            <w14:solidFill>
              <w14:schemeClr w14:val="tx1"/>
            </w14:solidFill>
          </w14:textFill>
        </w:rPr>
        <w:t>，对接价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8800</w:t>
      </w:r>
      <w:r>
        <w:rPr>
          <w:rFonts w:hint="eastAsia" w:ascii="仿宋_GB2312" w:hAnsi="仿宋_GB2312" w:eastAsia="仿宋_GB2312" w:cs="仿宋_GB2312"/>
          <w:color w:val="000000" w:themeColor="text1"/>
          <w:sz w:val="28"/>
          <w:szCs w:val="28"/>
          <w14:textFill>
            <w14:solidFill>
              <w14:schemeClr w14:val="tx1"/>
            </w14:solidFill>
          </w14:textFill>
        </w:rPr>
        <w:t>元/㎡</w:t>
      </w:r>
      <w:r>
        <w:rPr>
          <w:rFonts w:hint="eastAsia" w:ascii="仿宋_GB2312" w:hAnsi="仿宋_GB2312" w:eastAsia="仿宋_GB2312" w:cs="仿宋_GB2312"/>
          <w:color w:val="000000" w:themeColor="text1"/>
          <w:sz w:val="28"/>
          <w:szCs w:val="28"/>
          <w:lang w:eastAsia="zh-CN"/>
          <w14:textFill>
            <w14:solidFill>
              <w14:schemeClr w14:val="tx1"/>
            </w14:solidFill>
          </w14:textFill>
        </w:rPr>
        <w:t>，市场评估价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10106</w:t>
      </w:r>
      <w:r>
        <w:rPr>
          <w:rFonts w:hint="eastAsia" w:ascii="仿宋_GB2312" w:hAnsi="仿宋_GB2312" w:eastAsia="仿宋_GB2312" w:cs="仿宋_GB2312"/>
          <w:color w:val="000000" w:themeColor="text1"/>
          <w:sz w:val="28"/>
          <w:szCs w:val="28"/>
          <w14:textFill>
            <w14:solidFill>
              <w14:schemeClr w14:val="tx1"/>
            </w14:solidFill>
          </w14:textFill>
        </w:rPr>
        <w:t>元/㎡</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1FA850C8">
      <w:pPr>
        <w:pStyle w:val="3"/>
        <w:ind w:left="0" w:leftChars="0" w:firstLine="560" w:firstLineChars="200"/>
        <w:rPr>
          <w:rFonts w:hint="eastAsia"/>
          <w:lang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共和苑</w:t>
      </w:r>
      <w:r>
        <w:rPr>
          <w:rFonts w:hint="eastAsia" w:ascii="仿宋_GB2312" w:hAnsi="仿宋_GB2312" w:eastAsia="仿宋_GB2312" w:cs="仿宋_GB2312"/>
          <w:color w:val="000000" w:themeColor="text1"/>
          <w:sz w:val="28"/>
          <w:szCs w:val="28"/>
          <w14:textFill>
            <w14:solidFill>
              <w14:schemeClr w14:val="tx1"/>
            </w14:solidFill>
          </w14:textFill>
        </w:rPr>
        <w:t>，对接价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9007</w:t>
      </w:r>
      <w:r>
        <w:rPr>
          <w:rFonts w:hint="eastAsia" w:ascii="仿宋_GB2312" w:hAnsi="仿宋_GB2312" w:eastAsia="仿宋_GB2312" w:cs="仿宋_GB2312"/>
          <w:color w:val="000000" w:themeColor="text1"/>
          <w:sz w:val="28"/>
          <w:szCs w:val="28"/>
          <w14:textFill>
            <w14:solidFill>
              <w14:schemeClr w14:val="tx1"/>
            </w14:solidFill>
          </w14:textFill>
        </w:rPr>
        <w:t>元/㎡</w:t>
      </w:r>
      <w:r>
        <w:rPr>
          <w:rFonts w:hint="eastAsia" w:ascii="仿宋_GB2312" w:hAnsi="仿宋_GB2312" w:eastAsia="仿宋_GB2312" w:cs="仿宋_GB2312"/>
          <w:color w:val="000000" w:themeColor="text1"/>
          <w:sz w:val="28"/>
          <w:szCs w:val="28"/>
          <w:lang w:eastAsia="zh-CN"/>
          <w14:textFill>
            <w14:solidFill>
              <w14:schemeClr w14:val="tx1"/>
            </w14:solidFill>
          </w14:textFill>
        </w:rPr>
        <w:t>，市场评估价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11259</w:t>
      </w:r>
      <w:r>
        <w:rPr>
          <w:rFonts w:hint="eastAsia" w:ascii="仿宋_GB2312" w:hAnsi="仿宋_GB2312" w:eastAsia="仿宋_GB2312" w:cs="仿宋_GB2312"/>
          <w:color w:val="000000" w:themeColor="text1"/>
          <w:sz w:val="28"/>
          <w:szCs w:val="28"/>
          <w14:textFill>
            <w14:solidFill>
              <w14:schemeClr w14:val="tx1"/>
            </w14:solidFill>
          </w14:textFill>
        </w:rPr>
        <w:t>元/㎡</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76C68C43">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香海佳园，对接价4151元/㎡</w:t>
      </w:r>
      <w:r>
        <w:rPr>
          <w:rFonts w:hint="eastAsia" w:ascii="仿宋_GB2312" w:hAnsi="仿宋_GB2312" w:eastAsia="仿宋_GB2312" w:cs="仿宋_GB2312"/>
          <w:sz w:val="28"/>
          <w:szCs w:val="28"/>
          <w:lang w:eastAsia="zh-CN"/>
        </w:rPr>
        <w:t>，市场评估价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4612</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eastAsia="zh-CN"/>
        </w:rPr>
        <w:t>。</w:t>
      </w:r>
    </w:p>
    <w:p w14:paraId="29439AD0">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（2）安置型商品房</w:t>
      </w:r>
    </w:p>
    <w:p w14:paraId="36A8B71F">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仙芝郡，对接价11450元/㎡；</w:t>
      </w:r>
    </w:p>
    <w:p w14:paraId="2D09328A">
      <w:pPr>
        <w:adjustRightInd w:val="0"/>
        <w:snapToGrid w:val="0"/>
        <w:spacing w:line="480" w:lineRule="exact"/>
        <w:ind w:firstLine="560" w:firstLineChars="200"/>
        <w:rPr>
          <w:rFonts w:hint="eastAsia"/>
          <w:lang w:val="en-US" w:eastAsia="zh-CN"/>
        </w:rPr>
      </w:pPr>
      <w:r>
        <w:rPr>
          <w:rFonts w:hint="eastAsia" w:ascii="仿宋_GB2312" w:hAnsi="仿宋_GB2312" w:eastAsia="仿宋_GB2312" w:cs="仿宋_GB2312"/>
          <w:sz w:val="28"/>
          <w:szCs w:val="28"/>
          <w:lang w:val="en-US" w:eastAsia="zh-CN"/>
        </w:rPr>
        <w:t>榕德郡，对接价11450元/㎡。</w:t>
      </w:r>
    </w:p>
    <w:p w14:paraId="5D7ABF36">
      <w:pPr>
        <w:adjustRightInd w:val="0"/>
        <w:snapToGrid w:val="0"/>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sz w:val="28"/>
          <w:szCs w:val="28"/>
        </w:rPr>
        <w:t>上述房源</w:t>
      </w:r>
      <w:r>
        <w:rPr>
          <w:rFonts w:hint="eastAsia" w:ascii="仿宋_GB2312" w:hAnsi="仿宋_GB2312" w:eastAsia="仿宋_GB2312" w:cs="仿宋_GB2312"/>
          <w:bCs/>
          <w:sz w:val="28"/>
          <w:szCs w:val="28"/>
          <w:lang w:eastAsia="zh-CN"/>
        </w:rPr>
        <w:t>可</w:t>
      </w:r>
      <w:r>
        <w:rPr>
          <w:rFonts w:hint="eastAsia" w:ascii="仿宋_GB2312" w:hAnsi="仿宋_GB2312" w:eastAsia="仿宋_GB2312" w:cs="仿宋_GB2312"/>
          <w:bCs/>
          <w:sz w:val="28"/>
          <w:szCs w:val="28"/>
        </w:rPr>
        <w:t>上</w:t>
      </w:r>
      <w:r>
        <w:rPr>
          <w:rFonts w:hint="eastAsia" w:ascii="仿宋_GB2312" w:hAnsi="仿宋_GB2312" w:eastAsia="仿宋_GB2312" w:cs="仿宋_GB2312"/>
          <w:bCs/>
          <w:sz w:val="28"/>
          <w:szCs w:val="28"/>
          <w:lang w:eastAsia="zh-CN"/>
        </w:rPr>
        <w:t>靠</w:t>
      </w:r>
      <w:r>
        <w:rPr>
          <w:rFonts w:hint="eastAsia" w:ascii="仿宋_GB2312" w:hAnsi="仿宋_GB2312" w:eastAsia="仿宋_GB2312" w:cs="仿宋_GB2312"/>
          <w:bCs/>
          <w:sz w:val="28"/>
          <w:szCs w:val="28"/>
        </w:rPr>
        <w:t>安置</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上</w:t>
      </w:r>
      <w:r>
        <w:rPr>
          <w:rFonts w:hint="eastAsia" w:ascii="仿宋_GB2312" w:hAnsi="仿宋_GB2312" w:eastAsia="仿宋_GB2312" w:cs="仿宋_GB2312"/>
          <w:bCs/>
          <w:sz w:val="28"/>
          <w:szCs w:val="28"/>
          <w:lang w:eastAsia="zh-CN"/>
        </w:rPr>
        <w:t>靠</w:t>
      </w:r>
      <w:r>
        <w:rPr>
          <w:rFonts w:hint="eastAsia" w:ascii="仿宋_GB2312" w:hAnsi="仿宋_GB2312" w:eastAsia="仿宋_GB2312" w:cs="仿宋_GB2312"/>
          <w:bCs/>
          <w:sz w:val="28"/>
          <w:szCs w:val="28"/>
        </w:rPr>
        <w:t>安置部分按对接价格计价</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存量统建安置房，允许上调安置。上调安置部分给予如下价格优惠：上调安置90</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（含90</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）以下户型的，上调面积部分按市场评估价格的85%计价，上调安置105</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（含105</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）以上户型的，每上调一档（15</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）再给予市场评估价格5%的优惠折扣。上调部分优惠价格低于对接价格的，按对接价格计价。</w:t>
      </w:r>
    </w:p>
    <w:p w14:paraId="1739A3AA">
      <w:pPr>
        <w:pStyle w:val="2"/>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具体房源情况以区国房中心对接后现场公布为准。</w:t>
      </w:r>
    </w:p>
    <w:p w14:paraId="482F3D7F">
      <w:pPr>
        <w:adjustRightInd w:val="0"/>
        <w:snapToGrid w:val="0"/>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2、单位自持的住宅房屋原则上对接安置统建存量房120平方米及以上户型。</w:t>
      </w:r>
    </w:p>
    <w:p w14:paraId="2103005F">
      <w:pPr>
        <w:adjustRightInd w:val="0"/>
        <w:snapToGrid w:val="0"/>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3、以上房源的面积最终以市、区不动产登记和交易中心核定的产权登记面积为准。</w:t>
      </w:r>
    </w:p>
    <w:p w14:paraId="16C3EDFF">
      <w:pPr>
        <w:adjustRightInd w:val="0"/>
        <w:snapToGrid w:val="0"/>
        <w:spacing w:line="4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w:t>
      </w:r>
      <w:r>
        <w:rPr>
          <w:rFonts w:hint="eastAsia" w:ascii="仿宋_GB2312" w:hAnsi="仿宋_GB2312" w:eastAsia="仿宋_GB2312" w:cs="仿宋_GB2312"/>
          <w:b/>
          <w:bCs/>
          <w:sz w:val="28"/>
          <w:szCs w:val="28"/>
          <w:lang w:eastAsia="zh-CN"/>
        </w:rPr>
        <w:t>安置型商品房、</w:t>
      </w:r>
      <w:r>
        <w:rPr>
          <w:rFonts w:hint="eastAsia" w:ascii="仿宋_GB2312" w:hAnsi="仿宋_GB2312" w:eastAsia="仿宋_GB2312" w:cs="仿宋_GB2312"/>
          <w:b/>
          <w:bCs/>
          <w:sz w:val="28"/>
          <w:szCs w:val="28"/>
        </w:rPr>
        <w:t>产权调换房选房办法</w:t>
      </w:r>
    </w:p>
    <w:p w14:paraId="68F98761">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产权调换房项目工程形象进度具备选房条件后，由</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实施单位适时组织被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人选房，出具选房证明，被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人未到场选房的，由</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实施单位邀请公证机关代为选房。</w:t>
      </w:r>
    </w:p>
    <w:p w14:paraId="38142A40">
      <w:pPr>
        <w:adjustRightInd w:val="0"/>
        <w:snapToGrid w:val="0"/>
        <w:spacing w:line="480" w:lineRule="exact"/>
        <w:ind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rPr>
        <w:t>八、过渡期保障机制</w:t>
      </w:r>
    </w:p>
    <w:p w14:paraId="7D36FFA0">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1、住宅房屋选择产权调换房并自行过渡的，按确认的合法建筑面积向被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人发放过渡费（原面积不足30平方米的按30平方米计算）。过渡费标准：每月每平方米12元。</w:t>
      </w:r>
    </w:p>
    <w:p w14:paraId="2DF1728A">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2、正常过渡费的发放期限以被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人的实际过渡时间为准，即从被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人签订协议并将被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房屋腾空交房之日起至产权调换房、安置型商品房交房之日止，实际过渡时间不足1个月的按1个月计算。</w:t>
      </w:r>
    </w:p>
    <w:p w14:paraId="6E855997">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3、在正常过渡费发放期限之外，对选择期房安置的被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人，另给予增发3个月过渡费。对选择货币补偿和现房安置（实际过渡时间小于3个月）的被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人给予6个月过渡费。</w:t>
      </w:r>
    </w:p>
    <w:p w14:paraId="24084D69">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4、在协商期限内签约</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的，对住宅房屋被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人每户给予2万元的租房补贴。</w:t>
      </w:r>
    </w:p>
    <w:p w14:paraId="6A7C58D7">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5、安置房超过过渡期限交付给被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人的视为逾期，自逾期之日起，对自行过渡的被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人双倍发放过渡费。在协商期限内签订协议</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的，过渡期限自协商期限结束之日起开始计算，36个月后期限结束；超过协商期限签订协议</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的，过渡期限自</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之日起开始计算，36个月后期限结束。产权调换房屋经单体竣工验收合格并经消防验收合格或备案，水、电等小区配套设施齐全的，即可回迁安置，被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人拒绝回迁的，不再发放过渡费。</w:t>
      </w:r>
    </w:p>
    <w:p w14:paraId="5594E13E">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6、逾期安置期间遇过渡费标准调整的，自调整之日起按调整后标准发放过渡费。</w:t>
      </w:r>
    </w:p>
    <w:p w14:paraId="2E26E1F4">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rPr>
      </w:pPr>
      <w:r>
        <w:rPr>
          <w:rFonts w:hint="eastAsia" w:ascii="仿宋_GB2312" w:hAnsi="仿宋" w:eastAsia="仿宋_GB2312"/>
          <w:sz w:val="28"/>
          <w:szCs w:val="28"/>
        </w:rPr>
        <w:t>7、</w:t>
      </w:r>
      <w:r>
        <w:rPr>
          <w:rFonts w:hint="eastAsia" w:ascii="仿宋_GB2312" w:hAnsi="仿宋_GB2312" w:eastAsia="仿宋_GB2312" w:cs="仿宋_GB2312"/>
          <w:sz w:val="28"/>
          <w:szCs w:val="28"/>
          <w:lang w:val="en-US" w:eastAsia="zh-CN"/>
        </w:rPr>
        <w:t>因征收非住宅房屋造成停产停业损失的补助标准，根据生产经营者近三年的年平均净利润确定，生产经营期限不足三年的，以实际生产经营期限的年平均利润确定。净利润根据税务部门出具的税后利润额证明材料确定；税务部门无法出具证明的，根据具备相应资质的会计师事务所出具的企业年度审计报告确定；停产停业期限，一般按不低于半年计算。若生产经营者无法提供所得税证明的，经营性店面可按确认的合法店面建筑面积给予一次性100元/平方米的停产停业损失补助，其他非住宅房屋可按确认的合法建筑面积给予一次性50元/平方米的停产停业损失补助。生产经营者承租房屋从事生产经营活动的，依照其与被征收人的约定分配停产停业损失补助。</w:t>
      </w:r>
    </w:p>
    <w:p w14:paraId="3D79C99D">
      <w:pPr>
        <w:spacing w:line="48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九、协商期限内签订协议并</w:t>
      </w:r>
      <w:r>
        <w:rPr>
          <w:rFonts w:hint="eastAsia" w:ascii="仿宋_GB2312" w:hAnsi="仿宋_GB2312" w:eastAsia="仿宋_GB2312" w:cs="仿宋_GB2312"/>
          <w:b/>
          <w:bCs w:val="0"/>
          <w:sz w:val="28"/>
          <w:szCs w:val="28"/>
          <w:lang w:eastAsia="zh-CN"/>
        </w:rPr>
        <w:t>搬迁</w:t>
      </w:r>
      <w:r>
        <w:rPr>
          <w:rFonts w:hint="eastAsia" w:ascii="仿宋_GB2312" w:hAnsi="仿宋_GB2312" w:eastAsia="仿宋_GB2312" w:cs="仿宋_GB2312"/>
          <w:b/>
          <w:bCs w:val="0"/>
          <w:sz w:val="28"/>
          <w:szCs w:val="28"/>
        </w:rPr>
        <w:t>的奖励办法</w:t>
      </w:r>
    </w:p>
    <w:p w14:paraId="39122AD5">
      <w:pPr>
        <w:adjustRightInd w:val="0"/>
        <w:snapToGrid w:val="0"/>
        <w:spacing w:line="48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（一）按整体区位评估价计价补偿的奖励</w:t>
      </w:r>
    </w:p>
    <w:p w14:paraId="325FA92E">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1、住宅房屋</w:t>
      </w:r>
    </w:p>
    <w:p w14:paraId="2EA83AF2">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（1）货币奖励：住宅选择货币补偿并放弃购买产权调换房的，根据确认的合法建筑面积，给予</w:t>
      </w:r>
      <w:r>
        <w:rPr>
          <w:rFonts w:hint="eastAsia" w:ascii="仿宋_GB2312" w:hAnsi="仿宋_GB2312" w:eastAsia="仿宋_GB2312" w:cs="仿宋_GB2312"/>
          <w:sz w:val="28"/>
          <w:szCs w:val="28"/>
          <w:lang w:val="en-US" w:eastAsia="zh-CN"/>
        </w:rPr>
        <w:t>125</w:t>
      </w:r>
      <w:r>
        <w:rPr>
          <w:rFonts w:hint="eastAsia" w:ascii="仿宋_GB2312" w:hAnsi="仿宋_GB2312" w:eastAsia="仿宋_GB2312" w:cs="仿宋_GB2312"/>
          <w:sz w:val="28"/>
          <w:szCs w:val="28"/>
        </w:rPr>
        <w:t>元/㎡的货币奖励。</w:t>
      </w:r>
    </w:p>
    <w:p w14:paraId="6F2072B8">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公摊补偿奖励：按住宅房屋确认的合法建筑面积的10%给予公摊补偿，但每户最多不超过10平方米。公摊补偿面积并入产权面积计算区位补偿，但不计房屋建安综合单价，选择购买产权调换房的，公摊补偿面积给予结构补差奖励1900元/㎡；选择货币补偿并放弃购买产权调换房的，公摊补偿面积给予货币奖励</w:t>
      </w:r>
      <w:r>
        <w:rPr>
          <w:rFonts w:hint="eastAsia" w:ascii="仿宋_GB2312" w:hAnsi="仿宋_GB2312" w:eastAsia="仿宋_GB2312" w:cs="仿宋_GB2312"/>
          <w:sz w:val="28"/>
          <w:szCs w:val="28"/>
          <w:lang w:val="en-US" w:eastAsia="zh-CN"/>
        </w:rPr>
        <w:t>125</w:t>
      </w:r>
      <w:r>
        <w:rPr>
          <w:rFonts w:hint="eastAsia" w:ascii="仿宋_GB2312" w:hAnsi="仿宋_GB2312" w:eastAsia="仿宋_GB2312" w:cs="仿宋_GB2312"/>
          <w:sz w:val="28"/>
          <w:szCs w:val="28"/>
        </w:rPr>
        <w:t>元/㎡。</w:t>
      </w:r>
    </w:p>
    <w:p w14:paraId="5CDC3205">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（3）房屋结构等级补差优惠奖励：购买产权调换的予以房屋结构等级补差优惠，按住宅房屋确认的合法建筑面积每平方米给与不超过差价款50%的优惠奖励。（详见《被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房屋建安综合单价及补差价情况表》）。</w:t>
      </w:r>
    </w:p>
    <w:p w14:paraId="313067EB">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2、非住宅房屋</w:t>
      </w:r>
    </w:p>
    <w:p w14:paraId="105CBF06">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（1）根据确认的合法建筑面积，按以下标准给予搬迁奖励：</w:t>
      </w:r>
    </w:p>
    <w:p w14:paraId="4A4D4817">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办公等其他非住宅</w:t>
      </w:r>
      <w:r>
        <w:rPr>
          <w:rFonts w:hint="eastAsia" w:ascii="仿宋_GB2312" w:hAnsi="仿宋_GB2312" w:eastAsia="仿宋_GB2312" w:cs="仿宋_GB2312"/>
          <w:sz w:val="28"/>
          <w:szCs w:val="28"/>
          <w:lang w:val="en-US" w:eastAsia="zh-CN"/>
        </w:rPr>
        <w:t>470</w:t>
      </w:r>
      <w:r>
        <w:rPr>
          <w:rFonts w:hint="eastAsia" w:ascii="仿宋_GB2312" w:hAnsi="仿宋_GB2312" w:eastAsia="仿宋_GB2312" w:cs="仿宋_GB2312"/>
          <w:sz w:val="28"/>
          <w:szCs w:val="28"/>
        </w:rPr>
        <w:t>元/㎡。</w:t>
      </w:r>
    </w:p>
    <w:p w14:paraId="2A28A829">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（2）选择实行货币补偿的，根据确认的合法建筑面积，按以下标准另给予货币奖励：</w:t>
      </w:r>
    </w:p>
    <w:p w14:paraId="33E61569">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办公等其他非住宅</w:t>
      </w:r>
      <w:r>
        <w:rPr>
          <w:rFonts w:hint="eastAsia" w:ascii="仿宋_GB2312" w:hAnsi="仿宋_GB2312" w:eastAsia="仿宋_GB2312" w:cs="仿宋_GB2312"/>
          <w:sz w:val="28"/>
          <w:szCs w:val="28"/>
          <w:lang w:val="en-US" w:eastAsia="zh-CN"/>
        </w:rPr>
        <w:t>470</w:t>
      </w:r>
      <w:r>
        <w:rPr>
          <w:rFonts w:hint="eastAsia" w:ascii="仿宋_GB2312" w:hAnsi="仿宋_GB2312" w:eastAsia="仿宋_GB2312" w:cs="仿宋_GB2312"/>
          <w:sz w:val="28"/>
          <w:szCs w:val="28"/>
        </w:rPr>
        <w:t>元/㎡。</w:t>
      </w:r>
    </w:p>
    <w:p w14:paraId="180BD9E2">
      <w:pPr>
        <w:adjustRightInd w:val="0"/>
        <w:snapToGrid w:val="0"/>
        <w:spacing w:line="48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（二）按分户评估价计价补偿的奖励</w:t>
      </w:r>
    </w:p>
    <w:p w14:paraId="007B020A">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住宅：选择货币补偿且放弃购买安置型商品房或产权调换的，可给予被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房屋分户评估价5%的货币奖励。</w:t>
      </w:r>
    </w:p>
    <w:p w14:paraId="719D5F09">
      <w:pPr>
        <w:adjustRightInd w:val="0"/>
        <w:snapToGrid w:val="0"/>
        <w:spacing w:line="480" w:lineRule="exact"/>
        <w:ind w:firstLine="560" w:firstLineChars="200"/>
        <w:rPr>
          <w:rFonts w:hint="eastAsia"/>
        </w:rPr>
      </w:pPr>
      <w:r>
        <w:rPr>
          <w:rFonts w:hint="eastAsia" w:ascii="仿宋_GB2312" w:hAnsi="仿宋" w:eastAsia="仿宋_GB2312"/>
          <w:sz w:val="28"/>
          <w:szCs w:val="28"/>
        </w:rPr>
        <w:t>2、非住宅：可给予被</w:t>
      </w:r>
      <w:r>
        <w:rPr>
          <w:rFonts w:hint="eastAsia" w:ascii="仿宋_GB2312" w:hAnsi="仿宋" w:eastAsia="仿宋_GB2312"/>
          <w:sz w:val="28"/>
          <w:szCs w:val="28"/>
          <w:lang w:eastAsia="zh-CN"/>
        </w:rPr>
        <w:t>征收</w:t>
      </w:r>
      <w:r>
        <w:rPr>
          <w:rFonts w:hint="eastAsia" w:ascii="仿宋_GB2312" w:hAnsi="仿宋" w:eastAsia="仿宋_GB2312"/>
          <w:sz w:val="28"/>
          <w:szCs w:val="28"/>
        </w:rPr>
        <w:t>房屋分户评估价5%的搬迁奖励；选择货币补偿的，可给予被</w:t>
      </w:r>
      <w:r>
        <w:rPr>
          <w:rFonts w:hint="eastAsia" w:ascii="仿宋_GB2312" w:hAnsi="仿宋" w:eastAsia="仿宋_GB2312"/>
          <w:sz w:val="28"/>
          <w:szCs w:val="28"/>
          <w:lang w:eastAsia="zh-CN"/>
        </w:rPr>
        <w:t>征收</w:t>
      </w:r>
      <w:r>
        <w:rPr>
          <w:rFonts w:hint="eastAsia" w:ascii="仿宋_GB2312" w:hAnsi="仿宋" w:eastAsia="仿宋_GB2312"/>
          <w:sz w:val="28"/>
          <w:szCs w:val="28"/>
        </w:rPr>
        <w:t>房屋分户评估价5%的货币奖励。</w:t>
      </w:r>
    </w:p>
    <w:p w14:paraId="6A121934">
      <w:pPr>
        <w:adjustRightInd w:val="0"/>
        <w:snapToGrid w:val="0"/>
        <w:spacing w:line="48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十、其他补助及激励机制</w:t>
      </w:r>
    </w:p>
    <w:p w14:paraId="0A9E19FF">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人或其直系亲属为五保户、低保户、孤寡老人的，给予每户3万元的装修补助。</w:t>
      </w:r>
    </w:p>
    <w:p w14:paraId="4CC3DDF4">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2、住宅</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补助费为15元/平方米，非住宅</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补助费为20元/平方米。</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补助费不足1000元的按1000元计算。</w:t>
      </w:r>
    </w:p>
    <w:p w14:paraId="4C2BEF41">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人在协商期限内签约并</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交房的，按照下列标准给予提前</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奖励。</w:t>
      </w:r>
    </w:p>
    <w:p w14:paraId="7EB7C67B">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住宅房屋，确认的合法建筑面积小于等于60㎡的，每户给予不超过2万元提前</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奖励；确认的合法建筑面积大于60㎡、小于等于90㎡的，每户给予不超过2.5万元提前</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奖励；确认的合法建筑面积大于90㎡的，每户给予不超过3万元提前</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奖励。同一幢房屋分户补偿的，按一户计算提前</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奖励。</w:t>
      </w:r>
    </w:p>
    <w:p w14:paraId="661580F7">
      <w:pPr>
        <w:adjustRightInd w:val="0"/>
        <w:snapToGrid w:val="0"/>
        <w:spacing w:line="480" w:lineRule="exact"/>
        <w:ind w:firstLine="560" w:firstLineChars="200"/>
        <w:rPr>
          <w:rFonts w:hint="eastAsia"/>
        </w:rPr>
      </w:pPr>
      <w:r>
        <w:rPr>
          <w:rFonts w:hint="eastAsia" w:ascii="仿宋_GB2312" w:hAnsi="仿宋" w:eastAsia="仿宋_GB2312"/>
          <w:sz w:val="28"/>
          <w:szCs w:val="28"/>
        </w:rPr>
        <w:t>（2）</w:t>
      </w:r>
      <w:r>
        <w:rPr>
          <w:rFonts w:hint="eastAsia" w:ascii="仿宋_GB2312" w:hAnsi="仿宋" w:eastAsia="仿宋_GB2312"/>
          <w:sz w:val="28"/>
          <w:szCs w:val="28"/>
          <w:lang w:eastAsia="zh-CN"/>
        </w:rPr>
        <w:t>征收</w:t>
      </w:r>
      <w:r>
        <w:rPr>
          <w:rFonts w:hint="eastAsia" w:ascii="仿宋_GB2312" w:hAnsi="仿宋" w:eastAsia="仿宋_GB2312"/>
          <w:sz w:val="28"/>
          <w:szCs w:val="28"/>
        </w:rPr>
        <w:t>办公用房等非住宅房屋，按确认的合法建筑面积每平方米给予不超过100元的提前搬迁奖励。</w:t>
      </w:r>
    </w:p>
    <w:p w14:paraId="006E488A">
      <w:pPr>
        <w:pStyle w:val="2"/>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同一户被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人的住宅和非住宅的，合计确认的合法建筑面积小于300㎡（含300㎡）按照不超过3万元给予提前</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奖励，超过300㎡的，按照上述住宅和非住宅标准分别计算提前</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奖励。</w:t>
      </w:r>
    </w:p>
    <w:p w14:paraId="2E4F1858">
      <w:pPr>
        <w:adjustRightInd w:val="0"/>
        <w:snapToGrid w:val="0"/>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4、被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人在协商期限内签订补偿协议并</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的，住宅房屋可按确认的合法建筑面积一次性给予50元/平方米的安家补助。</w:t>
      </w:r>
    </w:p>
    <w:p w14:paraId="7AA673A2">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5、安置房内部未设隔墙、未配置洁具的，以产权调换房屋标准户型为基数给予80元/平方米的补助。</w:t>
      </w:r>
    </w:p>
    <w:p w14:paraId="76B54685">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房屋内装电话、有线电视或宽带的补助标准如下：电话补助费58元/户，有线电视补助费50元/户，宽带网络迁移补助费108元/户。</w:t>
      </w:r>
    </w:p>
    <w:p w14:paraId="772B7B78">
      <w:pPr>
        <w:adjustRightInd w:val="0"/>
        <w:snapToGrid w:val="0"/>
        <w:spacing w:line="48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bCs w:val="0"/>
          <w:sz w:val="28"/>
          <w:szCs w:val="28"/>
        </w:rPr>
        <w:t>十一、超出签约期限</w:t>
      </w:r>
      <w:r>
        <w:rPr>
          <w:rFonts w:hint="eastAsia" w:ascii="仿宋_GB2312" w:hAnsi="仿宋_GB2312" w:eastAsia="仿宋_GB2312" w:cs="仿宋_GB2312"/>
          <w:b/>
          <w:bCs w:val="0"/>
          <w:sz w:val="28"/>
          <w:szCs w:val="28"/>
          <w:lang w:eastAsia="zh-CN"/>
        </w:rPr>
        <w:t>搬迁</w:t>
      </w:r>
      <w:r>
        <w:rPr>
          <w:rFonts w:hint="eastAsia" w:ascii="仿宋_GB2312" w:hAnsi="仿宋_GB2312" w:eastAsia="仿宋_GB2312" w:cs="仿宋_GB2312"/>
          <w:b/>
          <w:bCs w:val="0"/>
          <w:sz w:val="28"/>
          <w:szCs w:val="28"/>
        </w:rPr>
        <w:t>的处理办法</w:t>
      </w:r>
    </w:p>
    <w:p w14:paraId="73CBB06A">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1、凡超过签约期限</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的，不享受以上规定的一切奖励及优惠政策，坚决杜绝超期限</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反而多得利的现象发生。</w:t>
      </w:r>
    </w:p>
    <w:p w14:paraId="48B69585">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2、故意扰乱</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工作程序、煽动闹事、妨碍</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工作人员正常工作的，由公安机关按照《治安管理处罚法》规定处罚，构成犯罪的由司法机关追究刑事责任。</w:t>
      </w:r>
      <w:bookmarkStart w:id="1" w:name="_GoBack"/>
      <w:bookmarkEnd w:id="1"/>
    </w:p>
    <w:p w14:paraId="1D8BE929">
      <w:pPr>
        <w:adjustRightInd w:val="0"/>
        <w:snapToGrid w:val="0"/>
        <w:spacing w:line="48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十二、房屋</w:t>
      </w:r>
      <w:r>
        <w:rPr>
          <w:rFonts w:hint="eastAsia" w:ascii="仿宋_GB2312" w:hAnsi="仿宋_GB2312" w:eastAsia="仿宋_GB2312" w:cs="仿宋_GB2312"/>
          <w:b/>
          <w:bCs w:val="0"/>
          <w:sz w:val="28"/>
          <w:szCs w:val="28"/>
          <w:lang w:eastAsia="zh-CN"/>
        </w:rPr>
        <w:t>征收</w:t>
      </w:r>
      <w:r>
        <w:rPr>
          <w:rFonts w:hint="eastAsia" w:ascii="仿宋_GB2312" w:hAnsi="仿宋_GB2312" w:eastAsia="仿宋_GB2312" w:cs="仿宋_GB2312"/>
          <w:b/>
          <w:bCs w:val="0"/>
          <w:sz w:val="28"/>
          <w:szCs w:val="28"/>
        </w:rPr>
        <w:t>程序</w:t>
      </w:r>
    </w:p>
    <w:p w14:paraId="3BDCBF6D">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1、由房屋</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实施单位将实地丈量的房屋面积、房屋结构、房屋成新率等交由被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人核对，在核对无误情况下按规定时间及时回执。</w:t>
      </w:r>
    </w:p>
    <w:p w14:paraId="27B32D5A">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人在</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时应向水电部门交清费用，属相关部门安装总表，不得私自拆除、更换，应由相关部门统一拆除，否则将追究当事人责任。</w:t>
      </w:r>
    </w:p>
    <w:p w14:paraId="5D562BE8">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人应当按规定的期限签订协议且</w:t>
      </w:r>
      <w:r>
        <w:rPr>
          <w:rFonts w:hint="eastAsia" w:ascii="仿宋_GB2312" w:hAnsi="仿宋_GB2312" w:eastAsia="仿宋_GB2312" w:cs="仿宋_GB2312"/>
          <w:sz w:val="28"/>
          <w:szCs w:val="28"/>
          <w:lang w:eastAsia="zh-CN"/>
        </w:rPr>
        <w:t>搬迁</w:t>
      </w:r>
      <w:r>
        <w:rPr>
          <w:rFonts w:hint="eastAsia" w:ascii="仿宋_GB2312" w:hAnsi="仿宋_GB2312" w:eastAsia="仿宋_GB2312" w:cs="仿宋_GB2312"/>
          <w:sz w:val="28"/>
          <w:szCs w:val="28"/>
        </w:rPr>
        <w:t>完毕，并办好封房移交手续。选房顺序号抽签办法及时间、地点等由房屋</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实施单位另行通知。</w:t>
      </w:r>
    </w:p>
    <w:p w14:paraId="6D33E023">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人在签订协议时，应提交房屋产权证件、</w:t>
      </w:r>
      <w:r>
        <w:rPr>
          <w:rFonts w:hint="eastAsia" w:ascii="仿宋_GB2312" w:hAnsi="仿宋_GB2312" w:eastAsia="仿宋_GB2312" w:cs="仿宋_GB2312"/>
          <w:sz w:val="28"/>
          <w:szCs w:val="28"/>
          <w:lang w:eastAsia="zh-CN"/>
        </w:rPr>
        <w:t>户口</w:t>
      </w:r>
      <w:r>
        <w:rPr>
          <w:rFonts w:hint="eastAsia" w:ascii="仿宋_GB2312" w:hAnsi="仿宋_GB2312" w:eastAsia="仿宋_GB2312" w:cs="仿宋_GB2312"/>
          <w:sz w:val="28"/>
          <w:szCs w:val="28"/>
        </w:rPr>
        <w:t>簿</w:t>
      </w:r>
      <w:r>
        <w:rPr>
          <w:rFonts w:hint="eastAsia" w:ascii="仿宋_GB2312" w:hAnsi="仿宋_GB2312" w:eastAsia="仿宋_GB2312" w:cs="仿宋_GB2312"/>
          <w:sz w:val="28"/>
          <w:szCs w:val="28"/>
          <w:lang w:eastAsia="zh-CN"/>
        </w:rPr>
        <w:t>、夫妻双方</w:t>
      </w:r>
      <w:r>
        <w:rPr>
          <w:rFonts w:hint="eastAsia" w:ascii="仿宋_GB2312" w:hAnsi="仿宋_GB2312" w:eastAsia="仿宋_GB2312" w:cs="仿宋_GB2312"/>
          <w:sz w:val="28"/>
          <w:szCs w:val="28"/>
        </w:rPr>
        <w:t>身份证</w:t>
      </w:r>
      <w:r>
        <w:rPr>
          <w:rFonts w:hint="eastAsia" w:ascii="仿宋_GB2312" w:hAnsi="仿宋_GB2312" w:eastAsia="仿宋_GB2312" w:cs="仿宋_GB2312"/>
          <w:sz w:val="28"/>
          <w:szCs w:val="28"/>
          <w:lang w:eastAsia="zh-CN"/>
        </w:rPr>
        <w:t>、结婚证、</w:t>
      </w:r>
      <w:r>
        <w:rPr>
          <w:rFonts w:hint="eastAsia" w:ascii="仿宋_GB2312" w:hAnsi="仿宋_GB2312" w:eastAsia="仿宋_GB2312" w:cs="仿宋_GB2312"/>
          <w:sz w:val="28"/>
          <w:szCs w:val="28"/>
        </w:rPr>
        <w:t>闭路电视缴费发票、电话话费清单等原件，</w:t>
      </w:r>
      <w:r>
        <w:rPr>
          <w:rFonts w:hint="eastAsia" w:ascii="仿宋_GB2312" w:hAnsi="仿宋_GB2312" w:eastAsia="仿宋_GB2312" w:cs="仿宋_GB2312"/>
          <w:sz w:val="28"/>
          <w:szCs w:val="28"/>
          <w:lang w:val="en-US" w:eastAsia="zh-CN"/>
        </w:rPr>
        <w:t>离婚的需提供离婚证复印件及离婚协议书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亲属关系不在同一本户口簿需到派出所开具相关证明</w:t>
      </w:r>
      <w:r>
        <w:rPr>
          <w:rFonts w:hint="eastAsia" w:ascii="仿宋_GB2312" w:hAnsi="仿宋_GB2312" w:eastAsia="仿宋_GB2312" w:cs="仿宋_GB2312"/>
          <w:sz w:val="28"/>
          <w:szCs w:val="28"/>
        </w:rPr>
        <w:t>。</w:t>
      </w:r>
    </w:p>
    <w:p w14:paraId="5DB0681D">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5、回迁、抽签、选房等事宜，在福建日报(或福州日报)上刊登通知，刊登之日为通知送达时间，逾期到场抽签或选房视为弃权，并在公证机关公证下，由工作人员代为抽签、选房。</w:t>
      </w:r>
    </w:p>
    <w:p w14:paraId="49B5FDC0">
      <w:pPr>
        <w:adjustRightInd w:val="0"/>
        <w:snapToGrid w:val="0"/>
        <w:spacing w:line="48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十三、其他事项</w:t>
      </w:r>
    </w:p>
    <w:p w14:paraId="3C663D20">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房屋补偿实施细则未明确事项，按国务院及省、市的相关法规执行。对</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外国领事馆房屋、军事设施、华侨房屋、教堂、寺庙、文物古迹、历史文化保护区内的建筑物等，依照有关的法律、法规、规章执行。</w:t>
      </w:r>
    </w:p>
    <w:p w14:paraId="09116991">
      <w:pPr>
        <w:adjustRightInd w:val="0"/>
        <w:snapToGrid w:val="0"/>
        <w:spacing w:line="48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十四、投诉监督</w:t>
      </w:r>
    </w:p>
    <w:p w14:paraId="669F57D2">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为确保整个</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补偿工作顺利进行，做到“公正、公平、公开”，此次</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与补偿活动接受区</w:t>
      </w:r>
      <w:r>
        <w:rPr>
          <w:rFonts w:hint="eastAsia" w:ascii="仿宋_GB2312" w:hAnsi="仿宋_GB2312" w:eastAsia="仿宋_GB2312" w:cs="仿宋_GB2312"/>
          <w:sz w:val="28"/>
          <w:szCs w:val="28"/>
          <w:lang w:eastAsia="zh-CN"/>
        </w:rPr>
        <w:t>纪律检查委员会</w:t>
      </w:r>
      <w:r>
        <w:rPr>
          <w:rFonts w:hint="eastAsia" w:ascii="仿宋_GB2312" w:hAnsi="仿宋_GB2312" w:eastAsia="仿宋_GB2312" w:cs="仿宋_GB2312"/>
          <w:sz w:val="28"/>
          <w:szCs w:val="28"/>
        </w:rPr>
        <w:t>、项目所属指挥部监察组监督，也欢迎被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人参与监督。</w:t>
      </w:r>
    </w:p>
    <w:p w14:paraId="0FCBA6DA">
      <w:pPr>
        <w:pStyle w:val="2"/>
        <w:rPr>
          <w:rFonts w:hint="eastAsia" w:ascii="仿宋_GB2312" w:hAnsi="仿宋_GB2312" w:eastAsia="仿宋_GB2312" w:cs="仿宋_GB2312"/>
          <w:sz w:val="28"/>
          <w:szCs w:val="28"/>
        </w:rPr>
      </w:pPr>
    </w:p>
    <w:p w14:paraId="5A25D6AE">
      <w:pPr>
        <w:pStyle w:val="3"/>
        <w:rPr>
          <w:rFonts w:hint="default" w:eastAsia="仿宋_GB2312"/>
          <w:lang w:val="en-US" w:eastAsia="zh-CN"/>
        </w:rPr>
      </w:pPr>
      <w:r>
        <w:rPr>
          <w:rFonts w:hint="eastAsia" w:ascii="仿宋_GB2312" w:hAnsi="仿宋_GB2312" w:eastAsia="仿宋_GB2312" w:cs="仿宋_GB2312"/>
          <w:sz w:val="28"/>
          <w:szCs w:val="28"/>
          <w:lang w:val="en-US" w:eastAsia="zh-CN"/>
        </w:rPr>
        <w:t xml:space="preserve">                                 2024年12月</w:t>
      </w:r>
    </w:p>
    <w:p w14:paraId="70A0F6B1">
      <w:pPr>
        <w:pageBreakBefore/>
        <w:spacing w:line="480" w:lineRule="exact"/>
        <w:ind w:firstLine="200"/>
        <w:jc w:val="left"/>
        <w:rPr>
          <w:rFonts w:hint="eastAsia" w:ascii="仿宋" w:hAnsi="仿宋" w:eastAsia="仿宋" w:cs="仿宋"/>
          <w:b/>
          <w:bCs/>
          <w:sz w:val="32"/>
          <w:szCs w:val="32"/>
        </w:rPr>
      </w:pPr>
      <w:r>
        <w:rPr>
          <w:rFonts w:hint="eastAsia" w:ascii="仿宋" w:hAnsi="仿宋" w:eastAsia="仿宋" w:cs="仿宋"/>
          <w:sz w:val="32"/>
          <w:szCs w:val="32"/>
        </w:rPr>
        <w:t>附表：</w:t>
      </w:r>
    </w:p>
    <w:p w14:paraId="31377E46">
      <w:pPr>
        <w:spacing w:line="480" w:lineRule="exact"/>
        <w:jc w:val="center"/>
        <w:rPr>
          <w:rFonts w:hint="eastAsia" w:ascii="仿宋" w:hAnsi="仿宋" w:eastAsia="仿宋" w:cs="仿宋"/>
          <w:b/>
          <w:bCs/>
          <w:sz w:val="36"/>
          <w:szCs w:val="36"/>
        </w:rPr>
      </w:pPr>
      <w:r>
        <w:rPr>
          <w:rFonts w:hint="eastAsia" w:ascii="仿宋" w:hAnsi="仿宋" w:eastAsia="仿宋" w:cs="仿宋"/>
          <w:b/>
          <w:bCs/>
          <w:sz w:val="36"/>
          <w:szCs w:val="36"/>
        </w:rPr>
        <w:t>被</w:t>
      </w:r>
      <w:r>
        <w:rPr>
          <w:rFonts w:hint="eastAsia" w:ascii="仿宋" w:hAnsi="仿宋" w:eastAsia="仿宋" w:cs="仿宋"/>
          <w:b/>
          <w:bCs/>
          <w:sz w:val="36"/>
          <w:szCs w:val="36"/>
          <w:lang w:eastAsia="zh-CN"/>
        </w:rPr>
        <w:t>征收</w:t>
      </w:r>
      <w:r>
        <w:rPr>
          <w:rFonts w:hint="eastAsia" w:ascii="仿宋" w:hAnsi="仿宋" w:eastAsia="仿宋" w:cs="仿宋"/>
          <w:b/>
          <w:bCs/>
          <w:sz w:val="36"/>
          <w:szCs w:val="36"/>
        </w:rPr>
        <w:t>房屋建安综合单价及补差价情况表</w:t>
      </w:r>
    </w:p>
    <w:p w14:paraId="2F89084A">
      <w:pPr>
        <w:spacing w:line="480" w:lineRule="exact"/>
        <w:jc w:val="right"/>
        <w:rPr>
          <w:rFonts w:hint="eastAsia" w:ascii="仿宋" w:hAnsi="仿宋" w:eastAsia="仿宋" w:cs="仿宋"/>
          <w:b/>
          <w:bCs/>
          <w:sz w:val="32"/>
          <w:szCs w:val="32"/>
        </w:rPr>
      </w:pPr>
      <w:r>
        <w:rPr>
          <w:rFonts w:hint="eastAsia" w:ascii="仿宋" w:hAnsi="仿宋" w:eastAsia="仿宋" w:cs="仿宋"/>
          <w:b/>
          <w:bCs/>
          <w:sz w:val="32"/>
          <w:szCs w:val="32"/>
        </w:rPr>
        <w:t>单位：元/平方米</w:t>
      </w:r>
    </w:p>
    <w:tbl>
      <w:tblPr>
        <w:tblStyle w:val="8"/>
        <w:tblpPr w:leftFromText="180" w:rightFromText="180" w:vertAnchor="text" w:horzAnchor="margin" w:tblpXSpec="center" w:tblpY="52"/>
        <w:tblW w:w="1024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58"/>
        <w:gridCol w:w="1985"/>
        <w:gridCol w:w="3260"/>
        <w:gridCol w:w="2740"/>
      </w:tblGrid>
      <w:tr w14:paraId="6CB9BD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2258" w:type="dxa"/>
            <w:vAlign w:val="center"/>
          </w:tcPr>
          <w:p w14:paraId="263D933D">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房屋</w:t>
            </w:r>
          </w:p>
          <w:p w14:paraId="1B16B576">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结构等级</w:t>
            </w:r>
          </w:p>
        </w:tc>
        <w:tc>
          <w:tcPr>
            <w:tcW w:w="1985" w:type="dxa"/>
            <w:vAlign w:val="center"/>
          </w:tcPr>
          <w:p w14:paraId="5FE1C888">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房屋</w:t>
            </w:r>
          </w:p>
          <w:p w14:paraId="2D6BC42E">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建安综合单价</w:t>
            </w:r>
          </w:p>
        </w:tc>
        <w:tc>
          <w:tcPr>
            <w:tcW w:w="3260" w:type="dxa"/>
            <w:vAlign w:val="center"/>
          </w:tcPr>
          <w:p w14:paraId="1DBA6A3F">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正常补差情况</w:t>
            </w:r>
          </w:p>
        </w:tc>
        <w:tc>
          <w:tcPr>
            <w:tcW w:w="2740" w:type="dxa"/>
            <w:vAlign w:val="center"/>
          </w:tcPr>
          <w:p w14:paraId="7F283B77">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住宅优惠补差情况</w:t>
            </w:r>
          </w:p>
          <w:p w14:paraId="2950CB09">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（按最高优惠 50%计算）</w:t>
            </w:r>
          </w:p>
        </w:tc>
      </w:tr>
      <w:tr w14:paraId="5CDB2D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58" w:type="dxa"/>
            <w:vAlign w:val="center"/>
          </w:tcPr>
          <w:p w14:paraId="27C7652C">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一等框架结构</w:t>
            </w:r>
          </w:p>
        </w:tc>
        <w:tc>
          <w:tcPr>
            <w:tcW w:w="1985" w:type="dxa"/>
            <w:vAlign w:val="center"/>
          </w:tcPr>
          <w:p w14:paraId="4BA46C1F">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3800</w:t>
            </w:r>
          </w:p>
        </w:tc>
        <w:tc>
          <w:tcPr>
            <w:tcW w:w="3260" w:type="dxa"/>
            <w:vAlign w:val="center"/>
          </w:tcPr>
          <w:p w14:paraId="2F080A0C">
            <w:pPr>
              <w:spacing w:line="400" w:lineRule="exact"/>
              <w:ind w:firstLine="280" w:firstLineChars="1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3800-3800x90%=380</w:t>
            </w:r>
          </w:p>
        </w:tc>
        <w:tc>
          <w:tcPr>
            <w:tcW w:w="2740" w:type="dxa"/>
            <w:vAlign w:val="center"/>
          </w:tcPr>
          <w:p w14:paraId="785FEDAE">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190</w:t>
            </w:r>
          </w:p>
        </w:tc>
      </w:tr>
      <w:tr w14:paraId="18E94A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58" w:type="dxa"/>
            <w:vAlign w:val="center"/>
          </w:tcPr>
          <w:p w14:paraId="01B12D2B">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二等框架结构</w:t>
            </w:r>
          </w:p>
        </w:tc>
        <w:tc>
          <w:tcPr>
            <w:tcW w:w="1985" w:type="dxa"/>
            <w:vAlign w:val="center"/>
          </w:tcPr>
          <w:p w14:paraId="7722E196">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2700</w:t>
            </w:r>
          </w:p>
        </w:tc>
        <w:tc>
          <w:tcPr>
            <w:tcW w:w="3260" w:type="dxa"/>
            <w:vAlign w:val="center"/>
          </w:tcPr>
          <w:p w14:paraId="2F712F0A">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3800-2700x80%=1640</w:t>
            </w:r>
          </w:p>
        </w:tc>
        <w:tc>
          <w:tcPr>
            <w:tcW w:w="2740" w:type="dxa"/>
            <w:vAlign w:val="center"/>
          </w:tcPr>
          <w:p w14:paraId="2694925E">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820</w:t>
            </w:r>
          </w:p>
        </w:tc>
      </w:tr>
      <w:tr w14:paraId="651855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58" w:type="dxa"/>
            <w:vAlign w:val="center"/>
          </w:tcPr>
          <w:p w14:paraId="69B77278">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一等砖混结构</w:t>
            </w:r>
          </w:p>
        </w:tc>
        <w:tc>
          <w:tcPr>
            <w:tcW w:w="1985" w:type="dxa"/>
            <w:vAlign w:val="center"/>
          </w:tcPr>
          <w:p w14:paraId="6199B9ED">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2500</w:t>
            </w:r>
          </w:p>
        </w:tc>
        <w:tc>
          <w:tcPr>
            <w:tcW w:w="3260" w:type="dxa"/>
            <w:vAlign w:val="center"/>
          </w:tcPr>
          <w:p w14:paraId="6EBAAB35">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3800-2500x80%=1800</w:t>
            </w:r>
          </w:p>
        </w:tc>
        <w:tc>
          <w:tcPr>
            <w:tcW w:w="2740" w:type="dxa"/>
            <w:vAlign w:val="center"/>
          </w:tcPr>
          <w:p w14:paraId="5B288F66">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900</w:t>
            </w:r>
          </w:p>
        </w:tc>
      </w:tr>
      <w:tr w14:paraId="6918AA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58" w:type="dxa"/>
            <w:vAlign w:val="center"/>
          </w:tcPr>
          <w:p w14:paraId="46FEC5CD">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二等砖混结构</w:t>
            </w:r>
          </w:p>
        </w:tc>
        <w:tc>
          <w:tcPr>
            <w:tcW w:w="1985" w:type="dxa"/>
            <w:vAlign w:val="center"/>
          </w:tcPr>
          <w:p w14:paraId="04DB87DB">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2300</w:t>
            </w:r>
          </w:p>
        </w:tc>
        <w:tc>
          <w:tcPr>
            <w:tcW w:w="3260" w:type="dxa"/>
            <w:vAlign w:val="center"/>
          </w:tcPr>
          <w:p w14:paraId="6ECB7FCA">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3800-2300x80%=1960</w:t>
            </w:r>
          </w:p>
        </w:tc>
        <w:tc>
          <w:tcPr>
            <w:tcW w:w="2740" w:type="dxa"/>
            <w:vAlign w:val="center"/>
          </w:tcPr>
          <w:p w14:paraId="22C864EE">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980</w:t>
            </w:r>
          </w:p>
        </w:tc>
      </w:tr>
      <w:tr w14:paraId="22B677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58" w:type="dxa"/>
            <w:vAlign w:val="center"/>
          </w:tcPr>
          <w:p w14:paraId="3BDFBABE">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一等砖木结构</w:t>
            </w:r>
          </w:p>
        </w:tc>
        <w:tc>
          <w:tcPr>
            <w:tcW w:w="1985" w:type="dxa"/>
            <w:vAlign w:val="center"/>
          </w:tcPr>
          <w:p w14:paraId="6E8B7415">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2100</w:t>
            </w:r>
          </w:p>
        </w:tc>
        <w:tc>
          <w:tcPr>
            <w:tcW w:w="3260" w:type="dxa"/>
            <w:vAlign w:val="center"/>
          </w:tcPr>
          <w:p w14:paraId="7BD43075">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3800-2100x60%=2540</w:t>
            </w:r>
          </w:p>
        </w:tc>
        <w:tc>
          <w:tcPr>
            <w:tcW w:w="2740" w:type="dxa"/>
            <w:vAlign w:val="center"/>
          </w:tcPr>
          <w:p w14:paraId="1735911D">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1270</w:t>
            </w:r>
          </w:p>
        </w:tc>
      </w:tr>
      <w:tr w14:paraId="580A9B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58" w:type="dxa"/>
            <w:vAlign w:val="center"/>
          </w:tcPr>
          <w:p w14:paraId="2CFCF5C7">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二等砖木结构</w:t>
            </w:r>
          </w:p>
        </w:tc>
        <w:tc>
          <w:tcPr>
            <w:tcW w:w="1985" w:type="dxa"/>
            <w:vAlign w:val="center"/>
          </w:tcPr>
          <w:p w14:paraId="369A477D">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2000</w:t>
            </w:r>
          </w:p>
        </w:tc>
        <w:tc>
          <w:tcPr>
            <w:tcW w:w="3260" w:type="dxa"/>
            <w:vAlign w:val="center"/>
          </w:tcPr>
          <w:p w14:paraId="381E930B">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3800-2000x60%=2600</w:t>
            </w:r>
          </w:p>
        </w:tc>
        <w:tc>
          <w:tcPr>
            <w:tcW w:w="2740" w:type="dxa"/>
            <w:vAlign w:val="center"/>
          </w:tcPr>
          <w:p w14:paraId="468C3A6A">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1300</w:t>
            </w:r>
          </w:p>
        </w:tc>
      </w:tr>
      <w:tr w14:paraId="12D0DD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58" w:type="dxa"/>
            <w:vAlign w:val="center"/>
          </w:tcPr>
          <w:p w14:paraId="2775595C">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一等木结构</w:t>
            </w:r>
          </w:p>
        </w:tc>
        <w:tc>
          <w:tcPr>
            <w:tcW w:w="1985" w:type="dxa"/>
            <w:vAlign w:val="center"/>
          </w:tcPr>
          <w:p w14:paraId="7A20E67A">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2700</w:t>
            </w:r>
          </w:p>
        </w:tc>
        <w:tc>
          <w:tcPr>
            <w:tcW w:w="3260" w:type="dxa"/>
            <w:vAlign w:val="center"/>
          </w:tcPr>
          <w:p w14:paraId="6FF0CC94">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3800-2700x60%=2180</w:t>
            </w:r>
          </w:p>
        </w:tc>
        <w:tc>
          <w:tcPr>
            <w:tcW w:w="2740" w:type="dxa"/>
            <w:vAlign w:val="center"/>
          </w:tcPr>
          <w:p w14:paraId="72AB7DF6">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1090</w:t>
            </w:r>
          </w:p>
        </w:tc>
      </w:tr>
      <w:tr w14:paraId="4FE265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58" w:type="dxa"/>
            <w:vAlign w:val="center"/>
          </w:tcPr>
          <w:p w14:paraId="7388A711">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二等木结构</w:t>
            </w:r>
          </w:p>
        </w:tc>
        <w:tc>
          <w:tcPr>
            <w:tcW w:w="1985" w:type="dxa"/>
            <w:vAlign w:val="center"/>
          </w:tcPr>
          <w:p w14:paraId="3494A640">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2200</w:t>
            </w:r>
          </w:p>
        </w:tc>
        <w:tc>
          <w:tcPr>
            <w:tcW w:w="3260" w:type="dxa"/>
            <w:vAlign w:val="center"/>
          </w:tcPr>
          <w:p w14:paraId="6C1117F4">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3800-2200x60%=2480</w:t>
            </w:r>
          </w:p>
        </w:tc>
        <w:tc>
          <w:tcPr>
            <w:tcW w:w="2740" w:type="dxa"/>
            <w:vAlign w:val="center"/>
          </w:tcPr>
          <w:p w14:paraId="16883D56">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1240</w:t>
            </w:r>
          </w:p>
        </w:tc>
      </w:tr>
      <w:tr w14:paraId="49BF51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58" w:type="dxa"/>
            <w:vAlign w:val="center"/>
          </w:tcPr>
          <w:p w14:paraId="6FCE692F">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三等木结构</w:t>
            </w:r>
          </w:p>
        </w:tc>
        <w:tc>
          <w:tcPr>
            <w:tcW w:w="1985" w:type="dxa"/>
            <w:vAlign w:val="center"/>
          </w:tcPr>
          <w:p w14:paraId="03652FE7">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2000</w:t>
            </w:r>
          </w:p>
        </w:tc>
        <w:tc>
          <w:tcPr>
            <w:tcW w:w="3260" w:type="dxa"/>
            <w:vAlign w:val="center"/>
          </w:tcPr>
          <w:p w14:paraId="5857236D">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3800-2000x60%=2600</w:t>
            </w:r>
          </w:p>
        </w:tc>
        <w:tc>
          <w:tcPr>
            <w:tcW w:w="2740" w:type="dxa"/>
            <w:vAlign w:val="center"/>
          </w:tcPr>
          <w:p w14:paraId="61DC9C28">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1300</w:t>
            </w:r>
          </w:p>
        </w:tc>
      </w:tr>
      <w:tr w14:paraId="03F874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58" w:type="dxa"/>
            <w:vAlign w:val="center"/>
          </w:tcPr>
          <w:p w14:paraId="61B1BE9C">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土木结构</w:t>
            </w:r>
          </w:p>
        </w:tc>
        <w:tc>
          <w:tcPr>
            <w:tcW w:w="1985" w:type="dxa"/>
            <w:vAlign w:val="center"/>
          </w:tcPr>
          <w:p w14:paraId="5FA8E280">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1800</w:t>
            </w:r>
          </w:p>
        </w:tc>
        <w:tc>
          <w:tcPr>
            <w:tcW w:w="3260" w:type="dxa"/>
            <w:vAlign w:val="center"/>
          </w:tcPr>
          <w:p w14:paraId="123B5A7E">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3800-1800x60%=2720</w:t>
            </w:r>
          </w:p>
        </w:tc>
        <w:tc>
          <w:tcPr>
            <w:tcW w:w="2740" w:type="dxa"/>
            <w:vAlign w:val="center"/>
          </w:tcPr>
          <w:p w14:paraId="5175F57D">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1360</w:t>
            </w:r>
          </w:p>
        </w:tc>
      </w:tr>
      <w:tr w14:paraId="5FCB94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4" w:hRule="atLeast"/>
          <w:jc w:val="center"/>
        </w:trPr>
        <w:tc>
          <w:tcPr>
            <w:tcW w:w="10243" w:type="dxa"/>
            <w:gridSpan w:val="4"/>
            <w:vAlign w:val="center"/>
          </w:tcPr>
          <w:p w14:paraId="77FDEFCD">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备注：被</w:t>
            </w:r>
            <w:r>
              <w:rPr>
                <w:rFonts w:hint="eastAsia" w:ascii="仿宋_GB2312" w:hAnsi="仿宋_GB2312" w:eastAsia="仿宋_GB2312" w:cs="仿宋_GB2312"/>
                <w:sz w:val="28"/>
                <w:szCs w:val="28"/>
                <w:lang w:eastAsia="zh-CN"/>
              </w:rPr>
              <w:t>征收</w:t>
            </w:r>
            <w:r>
              <w:rPr>
                <w:rFonts w:hint="eastAsia" w:ascii="仿宋_GB2312" w:hAnsi="仿宋_GB2312" w:eastAsia="仿宋_GB2312" w:cs="仿宋_GB2312"/>
                <w:sz w:val="28"/>
                <w:szCs w:val="28"/>
              </w:rPr>
              <w:t>房屋成新率按每使用5年折扣5%计算，不足5年的按5年计算，成新率最低不低于60%</w:t>
            </w:r>
          </w:p>
        </w:tc>
      </w:tr>
    </w:tbl>
    <w:p w14:paraId="7A8069FD">
      <w:pPr>
        <w:spacing w:line="480" w:lineRule="exact"/>
        <w:ind w:firstLine="200"/>
        <w:jc w:val="left"/>
        <w:rPr>
          <w:rFonts w:hint="eastAsia" w:ascii="仿宋_GB2312" w:hAnsi="仿宋_GB2312" w:eastAsia="仿宋_GB2312" w:cs="仿宋_GB2312"/>
          <w:sz w:val="28"/>
          <w:szCs w:val="28"/>
        </w:rPr>
      </w:pPr>
    </w:p>
    <w:sectPr>
      <w:headerReference r:id="rId3" w:type="default"/>
      <w:footerReference r:id="rId4" w:type="default"/>
      <w:footerReference r:id="rId5" w:type="even"/>
      <w:pgSz w:w="11907" w:h="16840"/>
      <w:pgMar w:top="1135" w:right="1134" w:bottom="1134" w:left="1134" w:header="567"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18122"/>
    </w:sdtPr>
    <w:sdtContent>
      <w:p w14:paraId="0E8251CC">
        <w:pPr>
          <w:pStyle w:val="5"/>
          <w:jc w:val="center"/>
        </w:pPr>
        <w:r>
          <w:fldChar w:fldCharType="begin"/>
        </w:r>
        <w:r>
          <w:instrText xml:space="preserve"> PAGE   \* MERGEFORMAT </w:instrText>
        </w:r>
        <w:r>
          <w:fldChar w:fldCharType="separate"/>
        </w:r>
        <w:r>
          <w:rPr>
            <w:lang w:val="zh-CN"/>
          </w:rPr>
          <w:t>-</w:t>
        </w:r>
        <w:r>
          <w:t xml:space="preserve"> 11 -</w:t>
        </w:r>
        <w:r>
          <w:fldChar w:fldCharType="end"/>
        </w:r>
      </w:p>
    </w:sdtContent>
  </w:sdt>
  <w:p w14:paraId="417DB2E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CDEDA">
    <w:pPr>
      <w:pStyle w:val="5"/>
      <w:framePr w:wrap="around" w:vAnchor="text" w:hAnchor="margin" w:xAlign="center" w:y="1"/>
      <w:rPr>
        <w:rStyle w:val="10"/>
      </w:rPr>
    </w:pPr>
    <w:r>
      <w:fldChar w:fldCharType="begin"/>
    </w:r>
    <w:r>
      <w:rPr>
        <w:rStyle w:val="10"/>
      </w:rPr>
      <w:instrText xml:space="preserve">PAGE  </w:instrText>
    </w:r>
    <w:r>
      <w:fldChar w:fldCharType="end"/>
    </w:r>
  </w:p>
  <w:p w14:paraId="590777E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57CFD">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MjdhNDExZTQ4MzdhZTcwYjIwZDgwZTI2ZTZkZmUifQ=="/>
  </w:docVars>
  <w:rsids>
    <w:rsidRoot w:val="00174513"/>
    <w:rsid w:val="00000252"/>
    <w:rsid w:val="00001CD3"/>
    <w:rsid w:val="00002315"/>
    <w:rsid w:val="00002AD5"/>
    <w:rsid w:val="0000715E"/>
    <w:rsid w:val="000124F9"/>
    <w:rsid w:val="00012835"/>
    <w:rsid w:val="00016E83"/>
    <w:rsid w:val="00017534"/>
    <w:rsid w:val="00017B55"/>
    <w:rsid w:val="00020FF8"/>
    <w:rsid w:val="000227C9"/>
    <w:rsid w:val="00026416"/>
    <w:rsid w:val="00033980"/>
    <w:rsid w:val="0003505F"/>
    <w:rsid w:val="00035136"/>
    <w:rsid w:val="00035C74"/>
    <w:rsid w:val="000362BC"/>
    <w:rsid w:val="00036EF2"/>
    <w:rsid w:val="00040BC7"/>
    <w:rsid w:val="000420F8"/>
    <w:rsid w:val="00045DE4"/>
    <w:rsid w:val="00047765"/>
    <w:rsid w:val="00047D8D"/>
    <w:rsid w:val="00050048"/>
    <w:rsid w:val="000500AF"/>
    <w:rsid w:val="0005088A"/>
    <w:rsid w:val="000538D2"/>
    <w:rsid w:val="00054090"/>
    <w:rsid w:val="0005484A"/>
    <w:rsid w:val="000556DC"/>
    <w:rsid w:val="00055E3F"/>
    <w:rsid w:val="000616B8"/>
    <w:rsid w:val="00064D89"/>
    <w:rsid w:val="000764AA"/>
    <w:rsid w:val="000774B0"/>
    <w:rsid w:val="00081286"/>
    <w:rsid w:val="00084318"/>
    <w:rsid w:val="00087AC4"/>
    <w:rsid w:val="00090591"/>
    <w:rsid w:val="00091FB0"/>
    <w:rsid w:val="000A01DD"/>
    <w:rsid w:val="000A3458"/>
    <w:rsid w:val="000A7180"/>
    <w:rsid w:val="000A7758"/>
    <w:rsid w:val="000B21DC"/>
    <w:rsid w:val="000B2236"/>
    <w:rsid w:val="000B2AF0"/>
    <w:rsid w:val="000B5524"/>
    <w:rsid w:val="000B55D5"/>
    <w:rsid w:val="000B66E4"/>
    <w:rsid w:val="000C141B"/>
    <w:rsid w:val="000C1576"/>
    <w:rsid w:val="000C1840"/>
    <w:rsid w:val="000C222F"/>
    <w:rsid w:val="000C36CB"/>
    <w:rsid w:val="000C5983"/>
    <w:rsid w:val="000C64FC"/>
    <w:rsid w:val="000C6975"/>
    <w:rsid w:val="000D02DD"/>
    <w:rsid w:val="000D216A"/>
    <w:rsid w:val="000D4D24"/>
    <w:rsid w:val="000D7453"/>
    <w:rsid w:val="000E1A66"/>
    <w:rsid w:val="000E64A9"/>
    <w:rsid w:val="000E70F5"/>
    <w:rsid w:val="000F0772"/>
    <w:rsid w:val="000F16FD"/>
    <w:rsid w:val="000F2F0D"/>
    <w:rsid w:val="000F4984"/>
    <w:rsid w:val="000F55E4"/>
    <w:rsid w:val="000F6680"/>
    <w:rsid w:val="0010140F"/>
    <w:rsid w:val="00102205"/>
    <w:rsid w:val="001029DA"/>
    <w:rsid w:val="00105883"/>
    <w:rsid w:val="001109B5"/>
    <w:rsid w:val="00120BE8"/>
    <w:rsid w:val="00120C71"/>
    <w:rsid w:val="0012208E"/>
    <w:rsid w:val="00124176"/>
    <w:rsid w:val="00127FBD"/>
    <w:rsid w:val="001367F9"/>
    <w:rsid w:val="001434E7"/>
    <w:rsid w:val="00156BE4"/>
    <w:rsid w:val="001577C4"/>
    <w:rsid w:val="00157831"/>
    <w:rsid w:val="001601E1"/>
    <w:rsid w:val="0016167F"/>
    <w:rsid w:val="001627C9"/>
    <w:rsid w:val="001640CF"/>
    <w:rsid w:val="00165652"/>
    <w:rsid w:val="00170232"/>
    <w:rsid w:val="001704F0"/>
    <w:rsid w:val="001722F9"/>
    <w:rsid w:val="001743AE"/>
    <w:rsid w:val="00174513"/>
    <w:rsid w:val="0017514E"/>
    <w:rsid w:val="00175917"/>
    <w:rsid w:val="001801AA"/>
    <w:rsid w:val="001807AB"/>
    <w:rsid w:val="001819D1"/>
    <w:rsid w:val="001834F4"/>
    <w:rsid w:val="0018768B"/>
    <w:rsid w:val="001876F3"/>
    <w:rsid w:val="00191E70"/>
    <w:rsid w:val="001922C6"/>
    <w:rsid w:val="00193FE0"/>
    <w:rsid w:val="00195501"/>
    <w:rsid w:val="00197593"/>
    <w:rsid w:val="001A2076"/>
    <w:rsid w:val="001A2D85"/>
    <w:rsid w:val="001A4D73"/>
    <w:rsid w:val="001A4E42"/>
    <w:rsid w:val="001B0C41"/>
    <w:rsid w:val="001B1ED0"/>
    <w:rsid w:val="001B7AE9"/>
    <w:rsid w:val="001C0F3F"/>
    <w:rsid w:val="001C1122"/>
    <w:rsid w:val="001C7366"/>
    <w:rsid w:val="001C736E"/>
    <w:rsid w:val="001D0AAC"/>
    <w:rsid w:val="001D27BB"/>
    <w:rsid w:val="001D46C3"/>
    <w:rsid w:val="001E071C"/>
    <w:rsid w:val="001E0774"/>
    <w:rsid w:val="001E50F5"/>
    <w:rsid w:val="001E6E86"/>
    <w:rsid w:val="001F0BF8"/>
    <w:rsid w:val="001F10A7"/>
    <w:rsid w:val="001F53CB"/>
    <w:rsid w:val="001F6881"/>
    <w:rsid w:val="001F69E5"/>
    <w:rsid w:val="001F7450"/>
    <w:rsid w:val="00200650"/>
    <w:rsid w:val="0020104C"/>
    <w:rsid w:val="002035CB"/>
    <w:rsid w:val="0020417D"/>
    <w:rsid w:val="0020438D"/>
    <w:rsid w:val="00204525"/>
    <w:rsid w:val="00207EBC"/>
    <w:rsid w:val="002107AB"/>
    <w:rsid w:val="00210BF0"/>
    <w:rsid w:val="00213C43"/>
    <w:rsid w:val="002176A1"/>
    <w:rsid w:val="00217CE3"/>
    <w:rsid w:val="00223BFB"/>
    <w:rsid w:val="0023009B"/>
    <w:rsid w:val="00232AD8"/>
    <w:rsid w:val="00233787"/>
    <w:rsid w:val="002338EB"/>
    <w:rsid w:val="002363AE"/>
    <w:rsid w:val="002378E2"/>
    <w:rsid w:val="00237AD7"/>
    <w:rsid w:val="0024172A"/>
    <w:rsid w:val="00245A70"/>
    <w:rsid w:val="00247454"/>
    <w:rsid w:val="0025039D"/>
    <w:rsid w:val="002536F9"/>
    <w:rsid w:val="0025583E"/>
    <w:rsid w:val="00255842"/>
    <w:rsid w:val="002559D1"/>
    <w:rsid w:val="00256D0E"/>
    <w:rsid w:val="002625E1"/>
    <w:rsid w:val="0026464A"/>
    <w:rsid w:val="0027028C"/>
    <w:rsid w:val="0028379E"/>
    <w:rsid w:val="002863D8"/>
    <w:rsid w:val="00286C74"/>
    <w:rsid w:val="00292615"/>
    <w:rsid w:val="00293071"/>
    <w:rsid w:val="00293FF0"/>
    <w:rsid w:val="00295A3C"/>
    <w:rsid w:val="0029627E"/>
    <w:rsid w:val="0029774B"/>
    <w:rsid w:val="00297D52"/>
    <w:rsid w:val="002A10EB"/>
    <w:rsid w:val="002A296F"/>
    <w:rsid w:val="002A3EE8"/>
    <w:rsid w:val="002A4EAF"/>
    <w:rsid w:val="002A6B59"/>
    <w:rsid w:val="002A7B22"/>
    <w:rsid w:val="002B1DD0"/>
    <w:rsid w:val="002B37BE"/>
    <w:rsid w:val="002B5B76"/>
    <w:rsid w:val="002B6106"/>
    <w:rsid w:val="002B6237"/>
    <w:rsid w:val="002B6B09"/>
    <w:rsid w:val="002B7049"/>
    <w:rsid w:val="002C016F"/>
    <w:rsid w:val="002C063B"/>
    <w:rsid w:val="002C1547"/>
    <w:rsid w:val="002C2759"/>
    <w:rsid w:val="002C3301"/>
    <w:rsid w:val="002D208A"/>
    <w:rsid w:val="002D25AC"/>
    <w:rsid w:val="002D333A"/>
    <w:rsid w:val="002D3CA1"/>
    <w:rsid w:val="002D57DA"/>
    <w:rsid w:val="002D6B10"/>
    <w:rsid w:val="002E664E"/>
    <w:rsid w:val="002F15A2"/>
    <w:rsid w:val="002F199A"/>
    <w:rsid w:val="002F3086"/>
    <w:rsid w:val="002F3BF4"/>
    <w:rsid w:val="002F527C"/>
    <w:rsid w:val="002F5861"/>
    <w:rsid w:val="002F747E"/>
    <w:rsid w:val="002F74B2"/>
    <w:rsid w:val="002F78A5"/>
    <w:rsid w:val="003018C8"/>
    <w:rsid w:val="00304159"/>
    <w:rsid w:val="003103CE"/>
    <w:rsid w:val="00311230"/>
    <w:rsid w:val="003142DC"/>
    <w:rsid w:val="00314A48"/>
    <w:rsid w:val="0031663E"/>
    <w:rsid w:val="003167A4"/>
    <w:rsid w:val="00316E67"/>
    <w:rsid w:val="003177C5"/>
    <w:rsid w:val="00320AAE"/>
    <w:rsid w:val="00321375"/>
    <w:rsid w:val="00325D86"/>
    <w:rsid w:val="003263EA"/>
    <w:rsid w:val="0033012C"/>
    <w:rsid w:val="00331281"/>
    <w:rsid w:val="003318F9"/>
    <w:rsid w:val="00331CB7"/>
    <w:rsid w:val="0033392A"/>
    <w:rsid w:val="003369FA"/>
    <w:rsid w:val="00336F87"/>
    <w:rsid w:val="00340392"/>
    <w:rsid w:val="00340F0B"/>
    <w:rsid w:val="003411B8"/>
    <w:rsid w:val="00344C81"/>
    <w:rsid w:val="00344F21"/>
    <w:rsid w:val="003476A1"/>
    <w:rsid w:val="00351D72"/>
    <w:rsid w:val="00351DF6"/>
    <w:rsid w:val="003527D1"/>
    <w:rsid w:val="00356603"/>
    <w:rsid w:val="003570C2"/>
    <w:rsid w:val="0036069F"/>
    <w:rsid w:val="00366761"/>
    <w:rsid w:val="00372F48"/>
    <w:rsid w:val="00377514"/>
    <w:rsid w:val="00377AF3"/>
    <w:rsid w:val="00381E13"/>
    <w:rsid w:val="00384C38"/>
    <w:rsid w:val="0038694C"/>
    <w:rsid w:val="00386C97"/>
    <w:rsid w:val="003877F4"/>
    <w:rsid w:val="00393A6A"/>
    <w:rsid w:val="00396EFD"/>
    <w:rsid w:val="003A16D5"/>
    <w:rsid w:val="003A3F36"/>
    <w:rsid w:val="003A4AAA"/>
    <w:rsid w:val="003A6CDA"/>
    <w:rsid w:val="003A7160"/>
    <w:rsid w:val="003A7F17"/>
    <w:rsid w:val="003B0756"/>
    <w:rsid w:val="003B28FF"/>
    <w:rsid w:val="003C0AD7"/>
    <w:rsid w:val="003C18D7"/>
    <w:rsid w:val="003C413B"/>
    <w:rsid w:val="003C49B1"/>
    <w:rsid w:val="003D07D2"/>
    <w:rsid w:val="003D1391"/>
    <w:rsid w:val="003D2E2B"/>
    <w:rsid w:val="003D41E0"/>
    <w:rsid w:val="003D5455"/>
    <w:rsid w:val="003D584B"/>
    <w:rsid w:val="003D66FB"/>
    <w:rsid w:val="003E013F"/>
    <w:rsid w:val="003E2124"/>
    <w:rsid w:val="003E21C3"/>
    <w:rsid w:val="003E4169"/>
    <w:rsid w:val="003E4CA9"/>
    <w:rsid w:val="003E5BC1"/>
    <w:rsid w:val="003F054E"/>
    <w:rsid w:val="003F4980"/>
    <w:rsid w:val="003F52F3"/>
    <w:rsid w:val="003F55DF"/>
    <w:rsid w:val="003F5BA1"/>
    <w:rsid w:val="004014C2"/>
    <w:rsid w:val="00401725"/>
    <w:rsid w:val="0040270E"/>
    <w:rsid w:val="00404444"/>
    <w:rsid w:val="00404B60"/>
    <w:rsid w:val="00405486"/>
    <w:rsid w:val="00405E11"/>
    <w:rsid w:val="004072A7"/>
    <w:rsid w:val="00407F04"/>
    <w:rsid w:val="00412560"/>
    <w:rsid w:val="00413240"/>
    <w:rsid w:val="0041554C"/>
    <w:rsid w:val="00415851"/>
    <w:rsid w:val="0041760E"/>
    <w:rsid w:val="00421764"/>
    <w:rsid w:val="00424CC9"/>
    <w:rsid w:val="00427B1D"/>
    <w:rsid w:val="00427E9E"/>
    <w:rsid w:val="004340CB"/>
    <w:rsid w:val="00434801"/>
    <w:rsid w:val="0044006C"/>
    <w:rsid w:val="00442C51"/>
    <w:rsid w:val="00442D5E"/>
    <w:rsid w:val="00447A6F"/>
    <w:rsid w:val="00454FD1"/>
    <w:rsid w:val="00457FD3"/>
    <w:rsid w:val="0046405F"/>
    <w:rsid w:val="0046578B"/>
    <w:rsid w:val="00466D9C"/>
    <w:rsid w:val="00467382"/>
    <w:rsid w:val="00471112"/>
    <w:rsid w:val="00473500"/>
    <w:rsid w:val="00473591"/>
    <w:rsid w:val="0047547A"/>
    <w:rsid w:val="00481E3A"/>
    <w:rsid w:val="00485537"/>
    <w:rsid w:val="00486333"/>
    <w:rsid w:val="004866D4"/>
    <w:rsid w:val="0049166A"/>
    <w:rsid w:val="004921D8"/>
    <w:rsid w:val="00492710"/>
    <w:rsid w:val="004935B2"/>
    <w:rsid w:val="00493F7D"/>
    <w:rsid w:val="004970E3"/>
    <w:rsid w:val="004977BE"/>
    <w:rsid w:val="004A10E6"/>
    <w:rsid w:val="004A11C8"/>
    <w:rsid w:val="004B1F6E"/>
    <w:rsid w:val="004B492E"/>
    <w:rsid w:val="004B5F51"/>
    <w:rsid w:val="004C0028"/>
    <w:rsid w:val="004C0DB5"/>
    <w:rsid w:val="004C0F63"/>
    <w:rsid w:val="004C2EDB"/>
    <w:rsid w:val="004C31E5"/>
    <w:rsid w:val="004C63EC"/>
    <w:rsid w:val="004D06C0"/>
    <w:rsid w:val="004D1304"/>
    <w:rsid w:val="004D1869"/>
    <w:rsid w:val="004D46EC"/>
    <w:rsid w:val="004D5103"/>
    <w:rsid w:val="004D58B9"/>
    <w:rsid w:val="004E4C55"/>
    <w:rsid w:val="004E7FD4"/>
    <w:rsid w:val="004F07B2"/>
    <w:rsid w:val="004F3F97"/>
    <w:rsid w:val="004F4042"/>
    <w:rsid w:val="004F4CA8"/>
    <w:rsid w:val="004F6381"/>
    <w:rsid w:val="004F6F6F"/>
    <w:rsid w:val="005015B9"/>
    <w:rsid w:val="005045CC"/>
    <w:rsid w:val="00505168"/>
    <w:rsid w:val="005058A0"/>
    <w:rsid w:val="00515D12"/>
    <w:rsid w:val="005229BF"/>
    <w:rsid w:val="00524F54"/>
    <w:rsid w:val="005273A0"/>
    <w:rsid w:val="00532E9C"/>
    <w:rsid w:val="00533357"/>
    <w:rsid w:val="00536ABF"/>
    <w:rsid w:val="00540BD5"/>
    <w:rsid w:val="00540BDC"/>
    <w:rsid w:val="005427EB"/>
    <w:rsid w:val="005429A7"/>
    <w:rsid w:val="0054373C"/>
    <w:rsid w:val="00547E97"/>
    <w:rsid w:val="00551818"/>
    <w:rsid w:val="005638E8"/>
    <w:rsid w:val="00565AB6"/>
    <w:rsid w:val="00566611"/>
    <w:rsid w:val="00566F47"/>
    <w:rsid w:val="00567394"/>
    <w:rsid w:val="0057006C"/>
    <w:rsid w:val="005731EA"/>
    <w:rsid w:val="00574CB2"/>
    <w:rsid w:val="0057738F"/>
    <w:rsid w:val="0059683A"/>
    <w:rsid w:val="00597926"/>
    <w:rsid w:val="005A2177"/>
    <w:rsid w:val="005A6729"/>
    <w:rsid w:val="005B34CC"/>
    <w:rsid w:val="005B3513"/>
    <w:rsid w:val="005B4EDD"/>
    <w:rsid w:val="005B656A"/>
    <w:rsid w:val="005C02CB"/>
    <w:rsid w:val="005C29C5"/>
    <w:rsid w:val="005C393D"/>
    <w:rsid w:val="005C44D1"/>
    <w:rsid w:val="005C463A"/>
    <w:rsid w:val="005C5609"/>
    <w:rsid w:val="005C64CA"/>
    <w:rsid w:val="005D0CDB"/>
    <w:rsid w:val="005D1B64"/>
    <w:rsid w:val="005D1D0F"/>
    <w:rsid w:val="005D2CC8"/>
    <w:rsid w:val="005D316D"/>
    <w:rsid w:val="005E54FE"/>
    <w:rsid w:val="005E7190"/>
    <w:rsid w:val="005E7F08"/>
    <w:rsid w:val="005F0E2D"/>
    <w:rsid w:val="00604954"/>
    <w:rsid w:val="006059F7"/>
    <w:rsid w:val="0060607A"/>
    <w:rsid w:val="006147A1"/>
    <w:rsid w:val="00614C8B"/>
    <w:rsid w:val="0061608C"/>
    <w:rsid w:val="006170B6"/>
    <w:rsid w:val="0062110C"/>
    <w:rsid w:val="00622198"/>
    <w:rsid w:val="00624809"/>
    <w:rsid w:val="00626374"/>
    <w:rsid w:val="00627EC6"/>
    <w:rsid w:val="00632F03"/>
    <w:rsid w:val="00642A98"/>
    <w:rsid w:val="006430EB"/>
    <w:rsid w:val="00646412"/>
    <w:rsid w:val="00652BA2"/>
    <w:rsid w:val="00653A23"/>
    <w:rsid w:val="00656A92"/>
    <w:rsid w:val="00661887"/>
    <w:rsid w:val="00661C5F"/>
    <w:rsid w:val="00670285"/>
    <w:rsid w:val="00672A6B"/>
    <w:rsid w:val="006742D6"/>
    <w:rsid w:val="00677CE0"/>
    <w:rsid w:val="00680DD0"/>
    <w:rsid w:val="00682C3F"/>
    <w:rsid w:val="006871A6"/>
    <w:rsid w:val="0069008E"/>
    <w:rsid w:val="006926CF"/>
    <w:rsid w:val="00692B9E"/>
    <w:rsid w:val="00693EE7"/>
    <w:rsid w:val="0069411D"/>
    <w:rsid w:val="0069513D"/>
    <w:rsid w:val="00696904"/>
    <w:rsid w:val="00697816"/>
    <w:rsid w:val="006A1283"/>
    <w:rsid w:val="006A3496"/>
    <w:rsid w:val="006A510F"/>
    <w:rsid w:val="006A5A89"/>
    <w:rsid w:val="006A66A8"/>
    <w:rsid w:val="006A6D05"/>
    <w:rsid w:val="006A702F"/>
    <w:rsid w:val="006B0CA2"/>
    <w:rsid w:val="006B2033"/>
    <w:rsid w:val="006B31EC"/>
    <w:rsid w:val="006B453D"/>
    <w:rsid w:val="006B6266"/>
    <w:rsid w:val="006C0B77"/>
    <w:rsid w:val="006C12E0"/>
    <w:rsid w:val="006C256D"/>
    <w:rsid w:val="006C2E36"/>
    <w:rsid w:val="006C400B"/>
    <w:rsid w:val="006D0B56"/>
    <w:rsid w:val="006D2088"/>
    <w:rsid w:val="006D2B48"/>
    <w:rsid w:val="006D3394"/>
    <w:rsid w:val="006E1B6D"/>
    <w:rsid w:val="006E4085"/>
    <w:rsid w:val="006E5370"/>
    <w:rsid w:val="006E66BD"/>
    <w:rsid w:val="006E7C42"/>
    <w:rsid w:val="006F0325"/>
    <w:rsid w:val="006F0D0A"/>
    <w:rsid w:val="006F61C2"/>
    <w:rsid w:val="0070078C"/>
    <w:rsid w:val="0071179B"/>
    <w:rsid w:val="00711C7E"/>
    <w:rsid w:val="0071272E"/>
    <w:rsid w:val="00714260"/>
    <w:rsid w:val="00714953"/>
    <w:rsid w:val="00717443"/>
    <w:rsid w:val="00726AFF"/>
    <w:rsid w:val="00732DC0"/>
    <w:rsid w:val="00733267"/>
    <w:rsid w:val="00740761"/>
    <w:rsid w:val="00740A85"/>
    <w:rsid w:val="00741FB9"/>
    <w:rsid w:val="00743DC3"/>
    <w:rsid w:val="00744516"/>
    <w:rsid w:val="007455E5"/>
    <w:rsid w:val="00745B45"/>
    <w:rsid w:val="0074782E"/>
    <w:rsid w:val="0075127D"/>
    <w:rsid w:val="00754DD4"/>
    <w:rsid w:val="007558AC"/>
    <w:rsid w:val="00757AF6"/>
    <w:rsid w:val="0076070B"/>
    <w:rsid w:val="0076088E"/>
    <w:rsid w:val="00763F6E"/>
    <w:rsid w:val="00764980"/>
    <w:rsid w:val="00766C8C"/>
    <w:rsid w:val="0077278D"/>
    <w:rsid w:val="007738B1"/>
    <w:rsid w:val="00774960"/>
    <w:rsid w:val="00781131"/>
    <w:rsid w:val="00781C33"/>
    <w:rsid w:val="00781DCD"/>
    <w:rsid w:val="007852C7"/>
    <w:rsid w:val="007876B0"/>
    <w:rsid w:val="0079151F"/>
    <w:rsid w:val="00791AF9"/>
    <w:rsid w:val="00792110"/>
    <w:rsid w:val="0079793A"/>
    <w:rsid w:val="007A13FF"/>
    <w:rsid w:val="007A3E39"/>
    <w:rsid w:val="007A68ED"/>
    <w:rsid w:val="007B3431"/>
    <w:rsid w:val="007B36C6"/>
    <w:rsid w:val="007C43FE"/>
    <w:rsid w:val="007D1EB1"/>
    <w:rsid w:val="007D2BE1"/>
    <w:rsid w:val="007D38C4"/>
    <w:rsid w:val="007D4C1E"/>
    <w:rsid w:val="007D67EA"/>
    <w:rsid w:val="007E13C2"/>
    <w:rsid w:val="007E1A71"/>
    <w:rsid w:val="007E2299"/>
    <w:rsid w:val="007E29C4"/>
    <w:rsid w:val="007E2ECB"/>
    <w:rsid w:val="007E5753"/>
    <w:rsid w:val="007F2EF7"/>
    <w:rsid w:val="007F3A32"/>
    <w:rsid w:val="007F3B8E"/>
    <w:rsid w:val="007F453B"/>
    <w:rsid w:val="007F51E3"/>
    <w:rsid w:val="00802C7B"/>
    <w:rsid w:val="00803AD3"/>
    <w:rsid w:val="0081113B"/>
    <w:rsid w:val="00813E4B"/>
    <w:rsid w:val="00814998"/>
    <w:rsid w:val="00821E0A"/>
    <w:rsid w:val="008246F2"/>
    <w:rsid w:val="0082475A"/>
    <w:rsid w:val="00825773"/>
    <w:rsid w:val="00826F4C"/>
    <w:rsid w:val="00827B5C"/>
    <w:rsid w:val="00830C29"/>
    <w:rsid w:val="00831FD7"/>
    <w:rsid w:val="008334A5"/>
    <w:rsid w:val="00835536"/>
    <w:rsid w:val="008359ED"/>
    <w:rsid w:val="00843645"/>
    <w:rsid w:val="008436DD"/>
    <w:rsid w:val="008448A3"/>
    <w:rsid w:val="008449AB"/>
    <w:rsid w:val="0084641B"/>
    <w:rsid w:val="00846CFF"/>
    <w:rsid w:val="00847104"/>
    <w:rsid w:val="0085019D"/>
    <w:rsid w:val="00850EE2"/>
    <w:rsid w:val="00851A18"/>
    <w:rsid w:val="00854ECD"/>
    <w:rsid w:val="00857735"/>
    <w:rsid w:val="00862AC5"/>
    <w:rsid w:val="008632BA"/>
    <w:rsid w:val="00866FCE"/>
    <w:rsid w:val="00871102"/>
    <w:rsid w:val="008722C2"/>
    <w:rsid w:val="0087277D"/>
    <w:rsid w:val="00872B82"/>
    <w:rsid w:val="00873078"/>
    <w:rsid w:val="00873696"/>
    <w:rsid w:val="0087412D"/>
    <w:rsid w:val="00875F56"/>
    <w:rsid w:val="00877C81"/>
    <w:rsid w:val="008828A1"/>
    <w:rsid w:val="0088497C"/>
    <w:rsid w:val="00891796"/>
    <w:rsid w:val="00892B30"/>
    <w:rsid w:val="0089327C"/>
    <w:rsid w:val="008945FC"/>
    <w:rsid w:val="00897597"/>
    <w:rsid w:val="00897B96"/>
    <w:rsid w:val="008A348F"/>
    <w:rsid w:val="008A34FC"/>
    <w:rsid w:val="008B25C3"/>
    <w:rsid w:val="008B29D9"/>
    <w:rsid w:val="008B4912"/>
    <w:rsid w:val="008B5333"/>
    <w:rsid w:val="008B6331"/>
    <w:rsid w:val="008B7658"/>
    <w:rsid w:val="008C07F8"/>
    <w:rsid w:val="008C221B"/>
    <w:rsid w:val="008C39F2"/>
    <w:rsid w:val="008C5AEC"/>
    <w:rsid w:val="008C6C85"/>
    <w:rsid w:val="008C6E17"/>
    <w:rsid w:val="008C6EAE"/>
    <w:rsid w:val="008D01EC"/>
    <w:rsid w:val="008D1846"/>
    <w:rsid w:val="008D4615"/>
    <w:rsid w:val="008D766F"/>
    <w:rsid w:val="008D7AB2"/>
    <w:rsid w:val="008D7D7B"/>
    <w:rsid w:val="008E1794"/>
    <w:rsid w:val="008E28A2"/>
    <w:rsid w:val="008E7803"/>
    <w:rsid w:val="008E7BDA"/>
    <w:rsid w:val="008F1BF8"/>
    <w:rsid w:val="008F3C56"/>
    <w:rsid w:val="008F593A"/>
    <w:rsid w:val="008F6F8F"/>
    <w:rsid w:val="00900353"/>
    <w:rsid w:val="00901265"/>
    <w:rsid w:val="0090799B"/>
    <w:rsid w:val="00907E63"/>
    <w:rsid w:val="009144A0"/>
    <w:rsid w:val="009150BB"/>
    <w:rsid w:val="00915825"/>
    <w:rsid w:val="009244DF"/>
    <w:rsid w:val="00924622"/>
    <w:rsid w:val="00925B7B"/>
    <w:rsid w:val="00926895"/>
    <w:rsid w:val="009273DD"/>
    <w:rsid w:val="00927A12"/>
    <w:rsid w:val="0093146C"/>
    <w:rsid w:val="00933AFF"/>
    <w:rsid w:val="00934BF5"/>
    <w:rsid w:val="00936736"/>
    <w:rsid w:val="0094333B"/>
    <w:rsid w:val="00944607"/>
    <w:rsid w:val="00947816"/>
    <w:rsid w:val="009506B1"/>
    <w:rsid w:val="00952829"/>
    <w:rsid w:val="009545DB"/>
    <w:rsid w:val="009568C8"/>
    <w:rsid w:val="00957375"/>
    <w:rsid w:val="00960ACE"/>
    <w:rsid w:val="009617F9"/>
    <w:rsid w:val="00964815"/>
    <w:rsid w:val="00965E3F"/>
    <w:rsid w:val="009700A6"/>
    <w:rsid w:val="009721E6"/>
    <w:rsid w:val="00975F93"/>
    <w:rsid w:val="009765B4"/>
    <w:rsid w:val="00981756"/>
    <w:rsid w:val="00984814"/>
    <w:rsid w:val="0098512B"/>
    <w:rsid w:val="00986982"/>
    <w:rsid w:val="009879DC"/>
    <w:rsid w:val="00990192"/>
    <w:rsid w:val="00990891"/>
    <w:rsid w:val="00990BCB"/>
    <w:rsid w:val="00993322"/>
    <w:rsid w:val="00993654"/>
    <w:rsid w:val="00993BFA"/>
    <w:rsid w:val="00997D31"/>
    <w:rsid w:val="009A4E95"/>
    <w:rsid w:val="009B0F54"/>
    <w:rsid w:val="009C01CE"/>
    <w:rsid w:val="009C0705"/>
    <w:rsid w:val="009C0A83"/>
    <w:rsid w:val="009C4853"/>
    <w:rsid w:val="009C6943"/>
    <w:rsid w:val="009C720E"/>
    <w:rsid w:val="009D2022"/>
    <w:rsid w:val="009D2B00"/>
    <w:rsid w:val="009D47EE"/>
    <w:rsid w:val="009D52C5"/>
    <w:rsid w:val="009D6EB0"/>
    <w:rsid w:val="009E0F6B"/>
    <w:rsid w:val="009E48D9"/>
    <w:rsid w:val="009F40A1"/>
    <w:rsid w:val="009F416E"/>
    <w:rsid w:val="009F5EB1"/>
    <w:rsid w:val="00A00D17"/>
    <w:rsid w:val="00A02C54"/>
    <w:rsid w:val="00A0483B"/>
    <w:rsid w:val="00A12D84"/>
    <w:rsid w:val="00A15137"/>
    <w:rsid w:val="00A15A50"/>
    <w:rsid w:val="00A15A7D"/>
    <w:rsid w:val="00A15EDD"/>
    <w:rsid w:val="00A2081F"/>
    <w:rsid w:val="00A21B22"/>
    <w:rsid w:val="00A21F31"/>
    <w:rsid w:val="00A2232C"/>
    <w:rsid w:val="00A22614"/>
    <w:rsid w:val="00A25394"/>
    <w:rsid w:val="00A27CF7"/>
    <w:rsid w:val="00A31325"/>
    <w:rsid w:val="00A31DB4"/>
    <w:rsid w:val="00A31DD8"/>
    <w:rsid w:val="00A330A1"/>
    <w:rsid w:val="00A350E1"/>
    <w:rsid w:val="00A362C2"/>
    <w:rsid w:val="00A40854"/>
    <w:rsid w:val="00A4453F"/>
    <w:rsid w:val="00A448E0"/>
    <w:rsid w:val="00A501CA"/>
    <w:rsid w:val="00A5069A"/>
    <w:rsid w:val="00A508FE"/>
    <w:rsid w:val="00A51ED0"/>
    <w:rsid w:val="00A552D6"/>
    <w:rsid w:val="00A557C1"/>
    <w:rsid w:val="00A6082A"/>
    <w:rsid w:val="00A625E4"/>
    <w:rsid w:val="00A6498D"/>
    <w:rsid w:val="00A64CC7"/>
    <w:rsid w:val="00A65913"/>
    <w:rsid w:val="00A66104"/>
    <w:rsid w:val="00A7082F"/>
    <w:rsid w:val="00A71B3C"/>
    <w:rsid w:val="00A73DB1"/>
    <w:rsid w:val="00A76692"/>
    <w:rsid w:val="00A77B5B"/>
    <w:rsid w:val="00A80055"/>
    <w:rsid w:val="00A80317"/>
    <w:rsid w:val="00A8079C"/>
    <w:rsid w:val="00A81C02"/>
    <w:rsid w:val="00A83120"/>
    <w:rsid w:val="00A849D0"/>
    <w:rsid w:val="00A8619E"/>
    <w:rsid w:val="00A91A98"/>
    <w:rsid w:val="00A93429"/>
    <w:rsid w:val="00A94170"/>
    <w:rsid w:val="00AA305A"/>
    <w:rsid w:val="00AA361D"/>
    <w:rsid w:val="00AA3AEB"/>
    <w:rsid w:val="00AA4F6D"/>
    <w:rsid w:val="00AB1BD8"/>
    <w:rsid w:val="00AB37C5"/>
    <w:rsid w:val="00AB59F9"/>
    <w:rsid w:val="00AC041A"/>
    <w:rsid w:val="00AC37EF"/>
    <w:rsid w:val="00AD004B"/>
    <w:rsid w:val="00AD070D"/>
    <w:rsid w:val="00AD1BEA"/>
    <w:rsid w:val="00AD6892"/>
    <w:rsid w:val="00AE00B4"/>
    <w:rsid w:val="00AE066A"/>
    <w:rsid w:val="00AE219D"/>
    <w:rsid w:val="00AE4A4A"/>
    <w:rsid w:val="00AE7726"/>
    <w:rsid w:val="00AF14FA"/>
    <w:rsid w:val="00AF173C"/>
    <w:rsid w:val="00AF4FC4"/>
    <w:rsid w:val="00AF5FE4"/>
    <w:rsid w:val="00B0024F"/>
    <w:rsid w:val="00B01845"/>
    <w:rsid w:val="00B03B97"/>
    <w:rsid w:val="00B055FE"/>
    <w:rsid w:val="00B06227"/>
    <w:rsid w:val="00B1082C"/>
    <w:rsid w:val="00B12F30"/>
    <w:rsid w:val="00B13552"/>
    <w:rsid w:val="00B2095F"/>
    <w:rsid w:val="00B22AF4"/>
    <w:rsid w:val="00B23186"/>
    <w:rsid w:val="00B2381E"/>
    <w:rsid w:val="00B23AF4"/>
    <w:rsid w:val="00B32F94"/>
    <w:rsid w:val="00B34F71"/>
    <w:rsid w:val="00B365D7"/>
    <w:rsid w:val="00B37C69"/>
    <w:rsid w:val="00B40082"/>
    <w:rsid w:val="00B40205"/>
    <w:rsid w:val="00B4162A"/>
    <w:rsid w:val="00B41B59"/>
    <w:rsid w:val="00B41BA6"/>
    <w:rsid w:val="00B45835"/>
    <w:rsid w:val="00B52474"/>
    <w:rsid w:val="00B526CD"/>
    <w:rsid w:val="00B53E8E"/>
    <w:rsid w:val="00B543F7"/>
    <w:rsid w:val="00B56FB2"/>
    <w:rsid w:val="00B57D71"/>
    <w:rsid w:val="00B61EEC"/>
    <w:rsid w:val="00B6678E"/>
    <w:rsid w:val="00B746A9"/>
    <w:rsid w:val="00B765C3"/>
    <w:rsid w:val="00B77068"/>
    <w:rsid w:val="00B77EC3"/>
    <w:rsid w:val="00B96C37"/>
    <w:rsid w:val="00BA1571"/>
    <w:rsid w:val="00BB2B6D"/>
    <w:rsid w:val="00BB34F6"/>
    <w:rsid w:val="00BB3E15"/>
    <w:rsid w:val="00BB3E2C"/>
    <w:rsid w:val="00BB4944"/>
    <w:rsid w:val="00BB54D8"/>
    <w:rsid w:val="00BB5F9D"/>
    <w:rsid w:val="00BD15B7"/>
    <w:rsid w:val="00BD30BD"/>
    <w:rsid w:val="00BD31FD"/>
    <w:rsid w:val="00BE0D7E"/>
    <w:rsid w:val="00BE158D"/>
    <w:rsid w:val="00BE1880"/>
    <w:rsid w:val="00BE1CEE"/>
    <w:rsid w:val="00BE38A5"/>
    <w:rsid w:val="00BE5A4E"/>
    <w:rsid w:val="00BF15EB"/>
    <w:rsid w:val="00BF17B7"/>
    <w:rsid w:val="00BF2513"/>
    <w:rsid w:val="00BF270C"/>
    <w:rsid w:val="00BF2F2D"/>
    <w:rsid w:val="00BF2FB7"/>
    <w:rsid w:val="00BF4717"/>
    <w:rsid w:val="00BF583F"/>
    <w:rsid w:val="00BF7A23"/>
    <w:rsid w:val="00C00404"/>
    <w:rsid w:val="00C00DDB"/>
    <w:rsid w:val="00C01119"/>
    <w:rsid w:val="00C0615B"/>
    <w:rsid w:val="00C07B5F"/>
    <w:rsid w:val="00C1398D"/>
    <w:rsid w:val="00C14468"/>
    <w:rsid w:val="00C15EA7"/>
    <w:rsid w:val="00C1766B"/>
    <w:rsid w:val="00C20F4F"/>
    <w:rsid w:val="00C23B6F"/>
    <w:rsid w:val="00C267EE"/>
    <w:rsid w:val="00C30758"/>
    <w:rsid w:val="00C3261F"/>
    <w:rsid w:val="00C32C81"/>
    <w:rsid w:val="00C34336"/>
    <w:rsid w:val="00C34A17"/>
    <w:rsid w:val="00C37563"/>
    <w:rsid w:val="00C41477"/>
    <w:rsid w:val="00C41530"/>
    <w:rsid w:val="00C4409A"/>
    <w:rsid w:val="00C45AD7"/>
    <w:rsid w:val="00C46FE0"/>
    <w:rsid w:val="00C51816"/>
    <w:rsid w:val="00C62DDA"/>
    <w:rsid w:val="00C637AA"/>
    <w:rsid w:val="00C64B7C"/>
    <w:rsid w:val="00C64C4A"/>
    <w:rsid w:val="00C661F5"/>
    <w:rsid w:val="00C66FAD"/>
    <w:rsid w:val="00C71261"/>
    <w:rsid w:val="00C72205"/>
    <w:rsid w:val="00C75E8F"/>
    <w:rsid w:val="00C77392"/>
    <w:rsid w:val="00C83A24"/>
    <w:rsid w:val="00C83D28"/>
    <w:rsid w:val="00C87818"/>
    <w:rsid w:val="00C927EF"/>
    <w:rsid w:val="00C93064"/>
    <w:rsid w:val="00C94F26"/>
    <w:rsid w:val="00C95CCC"/>
    <w:rsid w:val="00C96D78"/>
    <w:rsid w:val="00C97354"/>
    <w:rsid w:val="00C97DD7"/>
    <w:rsid w:val="00C97FC9"/>
    <w:rsid w:val="00CA04B8"/>
    <w:rsid w:val="00CA50A6"/>
    <w:rsid w:val="00CA7F5B"/>
    <w:rsid w:val="00CB2E47"/>
    <w:rsid w:val="00CB4BE5"/>
    <w:rsid w:val="00CC1047"/>
    <w:rsid w:val="00CC7C4D"/>
    <w:rsid w:val="00CD03F8"/>
    <w:rsid w:val="00CD0B2D"/>
    <w:rsid w:val="00CD607D"/>
    <w:rsid w:val="00CD73DB"/>
    <w:rsid w:val="00CD7C70"/>
    <w:rsid w:val="00CE03F0"/>
    <w:rsid w:val="00CE32CB"/>
    <w:rsid w:val="00CE3704"/>
    <w:rsid w:val="00CF074A"/>
    <w:rsid w:val="00CF2FF5"/>
    <w:rsid w:val="00CF5247"/>
    <w:rsid w:val="00CF7600"/>
    <w:rsid w:val="00D06EA5"/>
    <w:rsid w:val="00D14A90"/>
    <w:rsid w:val="00D15408"/>
    <w:rsid w:val="00D16843"/>
    <w:rsid w:val="00D16A92"/>
    <w:rsid w:val="00D2225B"/>
    <w:rsid w:val="00D2548A"/>
    <w:rsid w:val="00D3106D"/>
    <w:rsid w:val="00D350C2"/>
    <w:rsid w:val="00D43FF1"/>
    <w:rsid w:val="00D45018"/>
    <w:rsid w:val="00D45E64"/>
    <w:rsid w:val="00D46638"/>
    <w:rsid w:val="00D509B5"/>
    <w:rsid w:val="00D51A51"/>
    <w:rsid w:val="00D52812"/>
    <w:rsid w:val="00D536A0"/>
    <w:rsid w:val="00D65D4B"/>
    <w:rsid w:val="00D66A96"/>
    <w:rsid w:val="00D72397"/>
    <w:rsid w:val="00D724F0"/>
    <w:rsid w:val="00D76934"/>
    <w:rsid w:val="00D77FB9"/>
    <w:rsid w:val="00D81C98"/>
    <w:rsid w:val="00D90F75"/>
    <w:rsid w:val="00D91014"/>
    <w:rsid w:val="00D95B18"/>
    <w:rsid w:val="00D96D7F"/>
    <w:rsid w:val="00D973A4"/>
    <w:rsid w:val="00DA2CB3"/>
    <w:rsid w:val="00DA7450"/>
    <w:rsid w:val="00DA7E98"/>
    <w:rsid w:val="00DB0B23"/>
    <w:rsid w:val="00DB0E30"/>
    <w:rsid w:val="00DB1585"/>
    <w:rsid w:val="00DB24B1"/>
    <w:rsid w:val="00DB5530"/>
    <w:rsid w:val="00DC2D14"/>
    <w:rsid w:val="00DC554C"/>
    <w:rsid w:val="00DD0C31"/>
    <w:rsid w:val="00DD0DE6"/>
    <w:rsid w:val="00DD4A5F"/>
    <w:rsid w:val="00DE29F0"/>
    <w:rsid w:val="00DF0F98"/>
    <w:rsid w:val="00DF2B26"/>
    <w:rsid w:val="00DF2E25"/>
    <w:rsid w:val="00DF45D5"/>
    <w:rsid w:val="00DF5252"/>
    <w:rsid w:val="00DF5440"/>
    <w:rsid w:val="00DF7DDF"/>
    <w:rsid w:val="00E0084C"/>
    <w:rsid w:val="00E00880"/>
    <w:rsid w:val="00E10403"/>
    <w:rsid w:val="00E11BC4"/>
    <w:rsid w:val="00E124B0"/>
    <w:rsid w:val="00E13BA7"/>
    <w:rsid w:val="00E14F4B"/>
    <w:rsid w:val="00E1529F"/>
    <w:rsid w:val="00E16710"/>
    <w:rsid w:val="00E16CBE"/>
    <w:rsid w:val="00E174A7"/>
    <w:rsid w:val="00E21489"/>
    <w:rsid w:val="00E22442"/>
    <w:rsid w:val="00E22AB9"/>
    <w:rsid w:val="00E246A1"/>
    <w:rsid w:val="00E24CE7"/>
    <w:rsid w:val="00E265E5"/>
    <w:rsid w:val="00E31AFC"/>
    <w:rsid w:val="00E31F6C"/>
    <w:rsid w:val="00E323C3"/>
    <w:rsid w:val="00E33D8B"/>
    <w:rsid w:val="00E405B9"/>
    <w:rsid w:val="00E425D7"/>
    <w:rsid w:val="00E50A61"/>
    <w:rsid w:val="00E50DCE"/>
    <w:rsid w:val="00E51C23"/>
    <w:rsid w:val="00E557C6"/>
    <w:rsid w:val="00E55823"/>
    <w:rsid w:val="00E564DB"/>
    <w:rsid w:val="00E62A69"/>
    <w:rsid w:val="00E656A8"/>
    <w:rsid w:val="00E6642F"/>
    <w:rsid w:val="00E679BB"/>
    <w:rsid w:val="00E70B00"/>
    <w:rsid w:val="00E72447"/>
    <w:rsid w:val="00E724E0"/>
    <w:rsid w:val="00E74464"/>
    <w:rsid w:val="00E8179E"/>
    <w:rsid w:val="00E84294"/>
    <w:rsid w:val="00E87A78"/>
    <w:rsid w:val="00E90A1B"/>
    <w:rsid w:val="00E91B2C"/>
    <w:rsid w:val="00E926CB"/>
    <w:rsid w:val="00E93415"/>
    <w:rsid w:val="00E93659"/>
    <w:rsid w:val="00E96530"/>
    <w:rsid w:val="00E96C29"/>
    <w:rsid w:val="00E975DC"/>
    <w:rsid w:val="00EA1315"/>
    <w:rsid w:val="00EA4625"/>
    <w:rsid w:val="00EA48AC"/>
    <w:rsid w:val="00EA651A"/>
    <w:rsid w:val="00EA7356"/>
    <w:rsid w:val="00EA7B06"/>
    <w:rsid w:val="00EB57F2"/>
    <w:rsid w:val="00EB5EBC"/>
    <w:rsid w:val="00EB6CC1"/>
    <w:rsid w:val="00EC1C61"/>
    <w:rsid w:val="00EC4B0A"/>
    <w:rsid w:val="00EC5174"/>
    <w:rsid w:val="00EC6020"/>
    <w:rsid w:val="00EC6824"/>
    <w:rsid w:val="00EE25D1"/>
    <w:rsid w:val="00EE6AF6"/>
    <w:rsid w:val="00EF01E8"/>
    <w:rsid w:val="00EF2C40"/>
    <w:rsid w:val="00EF696D"/>
    <w:rsid w:val="00F0158C"/>
    <w:rsid w:val="00F04BCD"/>
    <w:rsid w:val="00F055A6"/>
    <w:rsid w:val="00F063FE"/>
    <w:rsid w:val="00F067FC"/>
    <w:rsid w:val="00F06E80"/>
    <w:rsid w:val="00F13962"/>
    <w:rsid w:val="00F15C5C"/>
    <w:rsid w:val="00F17DCF"/>
    <w:rsid w:val="00F20BCB"/>
    <w:rsid w:val="00F21E90"/>
    <w:rsid w:val="00F22AC8"/>
    <w:rsid w:val="00F2689A"/>
    <w:rsid w:val="00F30989"/>
    <w:rsid w:val="00F315CC"/>
    <w:rsid w:val="00F35B05"/>
    <w:rsid w:val="00F404A5"/>
    <w:rsid w:val="00F42278"/>
    <w:rsid w:val="00F42E08"/>
    <w:rsid w:val="00F4744B"/>
    <w:rsid w:val="00F53582"/>
    <w:rsid w:val="00F57D0A"/>
    <w:rsid w:val="00F627C9"/>
    <w:rsid w:val="00F67DA9"/>
    <w:rsid w:val="00F707CD"/>
    <w:rsid w:val="00F718F0"/>
    <w:rsid w:val="00F73914"/>
    <w:rsid w:val="00F8126F"/>
    <w:rsid w:val="00F8189E"/>
    <w:rsid w:val="00F8383A"/>
    <w:rsid w:val="00F86CFE"/>
    <w:rsid w:val="00F87BE2"/>
    <w:rsid w:val="00F90587"/>
    <w:rsid w:val="00F91E95"/>
    <w:rsid w:val="00F92EAE"/>
    <w:rsid w:val="00F9501E"/>
    <w:rsid w:val="00F96B20"/>
    <w:rsid w:val="00FA28CC"/>
    <w:rsid w:val="00FA2DB6"/>
    <w:rsid w:val="00FA475D"/>
    <w:rsid w:val="00FB5C9E"/>
    <w:rsid w:val="00FB63C5"/>
    <w:rsid w:val="00FB7222"/>
    <w:rsid w:val="00FC0CF6"/>
    <w:rsid w:val="00FC3606"/>
    <w:rsid w:val="00FC398E"/>
    <w:rsid w:val="00FC470A"/>
    <w:rsid w:val="00FC7E98"/>
    <w:rsid w:val="00FD0173"/>
    <w:rsid w:val="00FD01DC"/>
    <w:rsid w:val="00FD6E41"/>
    <w:rsid w:val="00FE71C1"/>
    <w:rsid w:val="00FF0B46"/>
    <w:rsid w:val="00FF0C64"/>
    <w:rsid w:val="00FF28B1"/>
    <w:rsid w:val="00FF3DCC"/>
    <w:rsid w:val="00FF53CA"/>
    <w:rsid w:val="01B72B02"/>
    <w:rsid w:val="01E649CC"/>
    <w:rsid w:val="02A017EB"/>
    <w:rsid w:val="036B04DA"/>
    <w:rsid w:val="03784B75"/>
    <w:rsid w:val="04567999"/>
    <w:rsid w:val="04570A00"/>
    <w:rsid w:val="04A47AA2"/>
    <w:rsid w:val="04EC7A94"/>
    <w:rsid w:val="05731AE4"/>
    <w:rsid w:val="05B56B1F"/>
    <w:rsid w:val="062C7D0E"/>
    <w:rsid w:val="079D780F"/>
    <w:rsid w:val="07A82A53"/>
    <w:rsid w:val="07DF6E25"/>
    <w:rsid w:val="085E2939"/>
    <w:rsid w:val="086D1ECC"/>
    <w:rsid w:val="08876E0C"/>
    <w:rsid w:val="08B0361C"/>
    <w:rsid w:val="09364F71"/>
    <w:rsid w:val="09526A4B"/>
    <w:rsid w:val="096C4800"/>
    <w:rsid w:val="09732A37"/>
    <w:rsid w:val="0A054DF5"/>
    <w:rsid w:val="0A3F30D6"/>
    <w:rsid w:val="0A782765"/>
    <w:rsid w:val="0ADA1ACF"/>
    <w:rsid w:val="0AF57810"/>
    <w:rsid w:val="0B001D80"/>
    <w:rsid w:val="0B9A3CD8"/>
    <w:rsid w:val="0BA83B8D"/>
    <w:rsid w:val="0BE659E2"/>
    <w:rsid w:val="0C1536A9"/>
    <w:rsid w:val="0C2C7CE5"/>
    <w:rsid w:val="0C604B8E"/>
    <w:rsid w:val="0CCE1881"/>
    <w:rsid w:val="0CD64AE5"/>
    <w:rsid w:val="0D59650A"/>
    <w:rsid w:val="0E073F9F"/>
    <w:rsid w:val="0E2530CF"/>
    <w:rsid w:val="0E4C1304"/>
    <w:rsid w:val="0E70565D"/>
    <w:rsid w:val="0EFA10CA"/>
    <w:rsid w:val="0F7B09D9"/>
    <w:rsid w:val="104874ED"/>
    <w:rsid w:val="11E062DC"/>
    <w:rsid w:val="12044671"/>
    <w:rsid w:val="128F315C"/>
    <w:rsid w:val="12D97276"/>
    <w:rsid w:val="131F7DCA"/>
    <w:rsid w:val="136B6CF9"/>
    <w:rsid w:val="142B2BA6"/>
    <w:rsid w:val="14FD0081"/>
    <w:rsid w:val="14FE33E9"/>
    <w:rsid w:val="15602E0D"/>
    <w:rsid w:val="15D820CD"/>
    <w:rsid w:val="15DC4779"/>
    <w:rsid w:val="163F3909"/>
    <w:rsid w:val="16497855"/>
    <w:rsid w:val="165C52AF"/>
    <w:rsid w:val="16BC14A9"/>
    <w:rsid w:val="170109E5"/>
    <w:rsid w:val="190E4405"/>
    <w:rsid w:val="196C044B"/>
    <w:rsid w:val="1A1523B4"/>
    <w:rsid w:val="1A7A564A"/>
    <w:rsid w:val="1A886C3E"/>
    <w:rsid w:val="1AA41EDE"/>
    <w:rsid w:val="1AB72692"/>
    <w:rsid w:val="1B3B1888"/>
    <w:rsid w:val="1B94077A"/>
    <w:rsid w:val="1BA210E4"/>
    <w:rsid w:val="1BA30291"/>
    <w:rsid w:val="1C1015D3"/>
    <w:rsid w:val="1C960232"/>
    <w:rsid w:val="1CA4195D"/>
    <w:rsid w:val="1CD47372"/>
    <w:rsid w:val="1D0833B1"/>
    <w:rsid w:val="1D1815C5"/>
    <w:rsid w:val="1E745644"/>
    <w:rsid w:val="1ED176BA"/>
    <w:rsid w:val="1F567B56"/>
    <w:rsid w:val="1F772958"/>
    <w:rsid w:val="2016010E"/>
    <w:rsid w:val="21D222C1"/>
    <w:rsid w:val="21ED33C6"/>
    <w:rsid w:val="21F05DEE"/>
    <w:rsid w:val="224832AB"/>
    <w:rsid w:val="22751E0F"/>
    <w:rsid w:val="23295AC0"/>
    <w:rsid w:val="237B786D"/>
    <w:rsid w:val="23DD3FFC"/>
    <w:rsid w:val="240F1CAE"/>
    <w:rsid w:val="249302AE"/>
    <w:rsid w:val="255C2922"/>
    <w:rsid w:val="25A93349"/>
    <w:rsid w:val="26561FAE"/>
    <w:rsid w:val="26893370"/>
    <w:rsid w:val="277B5726"/>
    <w:rsid w:val="277F117F"/>
    <w:rsid w:val="27D033A2"/>
    <w:rsid w:val="29055A21"/>
    <w:rsid w:val="290610F8"/>
    <w:rsid w:val="29A827F8"/>
    <w:rsid w:val="2AD60B74"/>
    <w:rsid w:val="2BA73F17"/>
    <w:rsid w:val="2C467D36"/>
    <w:rsid w:val="2CC22E51"/>
    <w:rsid w:val="2D303A38"/>
    <w:rsid w:val="2D3B4F25"/>
    <w:rsid w:val="2D484855"/>
    <w:rsid w:val="2D853062"/>
    <w:rsid w:val="2E360A87"/>
    <w:rsid w:val="2E732C48"/>
    <w:rsid w:val="2EFF7055"/>
    <w:rsid w:val="2F6F0769"/>
    <w:rsid w:val="300D4FF6"/>
    <w:rsid w:val="31624B27"/>
    <w:rsid w:val="31704DC4"/>
    <w:rsid w:val="31A41CE7"/>
    <w:rsid w:val="327473BA"/>
    <w:rsid w:val="328B26BF"/>
    <w:rsid w:val="335D1C2E"/>
    <w:rsid w:val="342B03C8"/>
    <w:rsid w:val="34D2149A"/>
    <w:rsid w:val="3675583C"/>
    <w:rsid w:val="37A448AE"/>
    <w:rsid w:val="38761E6D"/>
    <w:rsid w:val="38887C3C"/>
    <w:rsid w:val="38997BA9"/>
    <w:rsid w:val="38FA6036"/>
    <w:rsid w:val="3A91364F"/>
    <w:rsid w:val="3B0858EB"/>
    <w:rsid w:val="3B79103F"/>
    <w:rsid w:val="3BA85595"/>
    <w:rsid w:val="3BD46AC3"/>
    <w:rsid w:val="3BFC1B45"/>
    <w:rsid w:val="3CA22709"/>
    <w:rsid w:val="3CBB1467"/>
    <w:rsid w:val="3D2B7973"/>
    <w:rsid w:val="3DFB0E5C"/>
    <w:rsid w:val="3F616339"/>
    <w:rsid w:val="3F6566C3"/>
    <w:rsid w:val="3F9202DE"/>
    <w:rsid w:val="403F424B"/>
    <w:rsid w:val="409E30DB"/>
    <w:rsid w:val="41C91677"/>
    <w:rsid w:val="41CD7C4D"/>
    <w:rsid w:val="41F50A60"/>
    <w:rsid w:val="42802CD1"/>
    <w:rsid w:val="43007A75"/>
    <w:rsid w:val="4354300D"/>
    <w:rsid w:val="43A228B0"/>
    <w:rsid w:val="43E055AB"/>
    <w:rsid w:val="4457691D"/>
    <w:rsid w:val="44672E4B"/>
    <w:rsid w:val="44776A25"/>
    <w:rsid w:val="451E52AB"/>
    <w:rsid w:val="45272D2B"/>
    <w:rsid w:val="453B2F34"/>
    <w:rsid w:val="4591245D"/>
    <w:rsid w:val="45C92A57"/>
    <w:rsid w:val="460177C8"/>
    <w:rsid w:val="463E4FCC"/>
    <w:rsid w:val="4680598F"/>
    <w:rsid w:val="468D2F67"/>
    <w:rsid w:val="471F6159"/>
    <w:rsid w:val="47520E87"/>
    <w:rsid w:val="47586CBD"/>
    <w:rsid w:val="47A05125"/>
    <w:rsid w:val="47A97116"/>
    <w:rsid w:val="47E5088D"/>
    <w:rsid w:val="48BC4D68"/>
    <w:rsid w:val="490A07CD"/>
    <w:rsid w:val="49856E4E"/>
    <w:rsid w:val="49B1589D"/>
    <w:rsid w:val="49C3230F"/>
    <w:rsid w:val="4A735C60"/>
    <w:rsid w:val="4B1118A2"/>
    <w:rsid w:val="4B606BED"/>
    <w:rsid w:val="4BD45E05"/>
    <w:rsid w:val="4C5729EE"/>
    <w:rsid w:val="4CEA538C"/>
    <w:rsid w:val="4D9B3A0F"/>
    <w:rsid w:val="4DC6562D"/>
    <w:rsid w:val="4DCE22C2"/>
    <w:rsid w:val="4F1C7096"/>
    <w:rsid w:val="50A769AE"/>
    <w:rsid w:val="50ED5A38"/>
    <w:rsid w:val="512E6E12"/>
    <w:rsid w:val="51563F70"/>
    <w:rsid w:val="51A87CD5"/>
    <w:rsid w:val="51E60B29"/>
    <w:rsid w:val="52735D74"/>
    <w:rsid w:val="52C700B1"/>
    <w:rsid w:val="53AF465B"/>
    <w:rsid w:val="53DE278E"/>
    <w:rsid w:val="5489542B"/>
    <w:rsid w:val="54BB0A54"/>
    <w:rsid w:val="55747599"/>
    <w:rsid w:val="55836B3F"/>
    <w:rsid w:val="55873535"/>
    <w:rsid w:val="560C600B"/>
    <w:rsid w:val="564F2AB3"/>
    <w:rsid w:val="56A25779"/>
    <w:rsid w:val="56EC15B1"/>
    <w:rsid w:val="56FB2CE5"/>
    <w:rsid w:val="56FE1E90"/>
    <w:rsid w:val="5702449F"/>
    <w:rsid w:val="57335A1F"/>
    <w:rsid w:val="57D4531A"/>
    <w:rsid w:val="57E13636"/>
    <w:rsid w:val="57F6160C"/>
    <w:rsid w:val="586167B4"/>
    <w:rsid w:val="58CF48AA"/>
    <w:rsid w:val="58F42062"/>
    <w:rsid w:val="59D5546B"/>
    <w:rsid w:val="5A10629F"/>
    <w:rsid w:val="5A190236"/>
    <w:rsid w:val="5AA31EC3"/>
    <w:rsid w:val="5AC4010E"/>
    <w:rsid w:val="5B7D7713"/>
    <w:rsid w:val="5BED07B4"/>
    <w:rsid w:val="5D8579FD"/>
    <w:rsid w:val="5DFF57E7"/>
    <w:rsid w:val="5EB304CE"/>
    <w:rsid w:val="5EDA7FE7"/>
    <w:rsid w:val="5EF14C0B"/>
    <w:rsid w:val="5EF77B4F"/>
    <w:rsid w:val="5EF83CA3"/>
    <w:rsid w:val="5EFB052E"/>
    <w:rsid w:val="5F292E8F"/>
    <w:rsid w:val="5F4D3766"/>
    <w:rsid w:val="5F787EAA"/>
    <w:rsid w:val="5FA23A48"/>
    <w:rsid w:val="5FBE6F13"/>
    <w:rsid w:val="5FEF51AE"/>
    <w:rsid w:val="60CE1F18"/>
    <w:rsid w:val="60F45A49"/>
    <w:rsid w:val="61031BCB"/>
    <w:rsid w:val="6275253B"/>
    <w:rsid w:val="628D6E2A"/>
    <w:rsid w:val="62F70A86"/>
    <w:rsid w:val="63001924"/>
    <w:rsid w:val="640517D4"/>
    <w:rsid w:val="641337ED"/>
    <w:rsid w:val="641B59E0"/>
    <w:rsid w:val="64D814FF"/>
    <w:rsid w:val="66C90DD7"/>
    <w:rsid w:val="66DB167B"/>
    <w:rsid w:val="67B176E6"/>
    <w:rsid w:val="67BC5ABE"/>
    <w:rsid w:val="67D139C5"/>
    <w:rsid w:val="682C4250"/>
    <w:rsid w:val="684A16C8"/>
    <w:rsid w:val="68560A5F"/>
    <w:rsid w:val="685C5990"/>
    <w:rsid w:val="68D33C67"/>
    <w:rsid w:val="68F21C3B"/>
    <w:rsid w:val="6A0D623A"/>
    <w:rsid w:val="6A3D4A8B"/>
    <w:rsid w:val="6A8F216B"/>
    <w:rsid w:val="6A9D2061"/>
    <w:rsid w:val="6AE94662"/>
    <w:rsid w:val="6B535E21"/>
    <w:rsid w:val="6B984E61"/>
    <w:rsid w:val="6BE06330"/>
    <w:rsid w:val="6BF66BD9"/>
    <w:rsid w:val="6C6326E9"/>
    <w:rsid w:val="6C6B6C28"/>
    <w:rsid w:val="6C823BC8"/>
    <w:rsid w:val="6C993854"/>
    <w:rsid w:val="6CA937E6"/>
    <w:rsid w:val="6D4B78C3"/>
    <w:rsid w:val="6D5649B1"/>
    <w:rsid w:val="6DB94EF9"/>
    <w:rsid w:val="6E0D1085"/>
    <w:rsid w:val="6E0F59F3"/>
    <w:rsid w:val="6E8B3420"/>
    <w:rsid w:val="6E8F2A8B"/>
    <w:rsid w:val="6E937F29"/>
    <w:rsid w:val="6EA80453"/>
    <w:rsid w:val="6EC12877"/>
    <w:rsid w:val="712F5B8F"/>
    <w:rsid w:val="71612B50"/>
    <w:rsid w:val="718C6CEE"/>
    <w:rsid w:val="7233274E"/>
    <w:rsid w:val="725C7B07"/>
    <w:rsid w:val="72B21859"/>
    <w:rsid w:val="733A019C"/>
    <w:rsid w:val="738F08A5"/>
    <w:rsid w:val="74404752"/>
    <w:rsid w:val="753C3846"/>
    <w:rsid w:val="758D6E5A"/>
    <w:rsid w:val="75EE3772"/>
    <w:rsid w:val="760522E9"/>
    <w:rsid w:val="762868CF"/>
    <w:rsid w:val="76565452"/>
    <w:rsid w:val="76741E18"/>
    <w:rsid w:val="774237E0"/>
    <w:rsid w:val="7824464A"/>
    <w:rsid w:val="783D660A"/>
    <w:rsid w:val="78A31478"/>
    <w:rsid w:val="78AA0A59"/>
    <w:rsid w:val="793E1255"/>
    <w:rsid w:val="7964316A"/>
    <w:rsid w:val="79FB5FB1"/>
    <w:rsid w:val="7A6413DB"/>
    <w:rsid w:val="7A8052AB"/>
    <w:rsid w:val="7AAA133F"/>
    <w:rsid w:val="7ABF30EF"/>
    <w:rsid w:val="7B672330"/>
    <w:rsid w:val="7B8514B1"/>
    <w:rsid w:val="7B8735FB"/>
    <w:rsid w:val="7C363147"/>
    <w:rsid w:val="7C3C00F2"/>
    <w:rsid w:val="7CDE6834"/>
    <w:rsid w:val="7CFB46C6"/>
    <w:rsid w:val="7D200398"/>
    <w:rsid w:val="7D9B33F8"/>
    <w:rsid w:val="7DD4550E"/>
    <w:rsid w:val="7E4E7AB8"/>
    <w:rsid w:val="7E55167C"/>
    <w:rsid w:val="7E8D6377"/>
    <w:rsid w:val="7EB725C7"/>
    <w:rsid w:val="7EED983B"/>
    <w:rsid w:val="7F955FCD"/>
    <w:rsid w:val="FEDD00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3"/>
    <w:semiHidden/>
    <w:qFormat/>
    <w:uiPriority w:val="0"/>
    <w:rPr>
      <w:sz w:val="18"/>
      <w:szCs w:val="18"/>
    </w:rPr>
  </w:style>
  <w:style w:type="paragraph" w:customStyle="1" w:styleId="3">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4">
    <w:name w:val="Date"/>
    <w:basedOn w:val="1"/>
    <w:next w:val="1"/>
    <w:link w:val="11"/>
    <w:qFormat/>
    <w:uiPriority w:val="0"/>
    <w:pPr>
      <w:ind w:left="100" w:leftChars="2500"/>
    </w:p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customStyle="1" w:styleId="11">
    <w:name w:val="日期 Char"/>
    <w:link w:val="4"/>
    <w:qFormat/>
    <w:uiPriority w:val="0"/>
    <w:rPr>
      <w:kern w:val="2"/>
      <w:sz w:val="21"/>
      <w:szCs w:val="24"/>
    </w:rPr>
  </w:style>
  <w:style w:type="character" w:customStyle="1" w:styleId="12">
    <w:name w:val="页眉 Char"/>
    <w:link w:val="6"/>
    <w:qFormat/>
    <w:uiPriority w:val="99"/>
    <w:rPr>
      <w:kern w:val="2"/>
      <w:sz w:val="18"/>
      <w:szCs w:val="18"/>
    </w:rPr>
  </w:style>
  <w:style w:type="character" w:customStyle="1" w:styleId="13">
    <w:name w:val="页脚 Char"/>
    <w:basedOn w:val="9"/>
    <w:link w:val="5"/>
    <w:qFormat/>
    <w:uiPriority w:val="99"/>
    <w:rPr>
      <w:kern w:val="2"/>
      <w:sz w:val="18"/>
      <w:szCs w:val="18"/>
    </w:rPr>
  </w:style>
  <w:style w:type="paragraph" w:styleId="14">
    <w:name w:val="List Paragraph"/>
    <w:basedOn w:val="1"/>
    <w:qFormat/>
    <w:uiPriority w:val="99"/>
    <w:pPr>
      <w:ind w:firstLine="420" w:firstLineChars="200"/>
    </w:p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11</Pages>
  <Words>4058</Words>
  <Characters>4318</Characters>
  <Lines>63</Lines>
  <Paragraphs>17</Paragraphs>
  <TotalTime>159</TotalTime>
  <ScaleCrop>false</ScaleCrop>
  <LinksUpToDate>false</LinksUpToDate>
  <CharactersWithSpaces>4318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2022-01-25T09:41:00Z</dcterms:created>
  <dc:creator>Microsoft</dc:creator>
  <cp:lastModifiedBy>Administrator</cp:lastModifiedBy>
  <cp:lastPrinted>2024-10-23T17:53:00Z</cp:lastPrinted>
  <dcterms:modified xsi:type="dcterms:W3CDTF">2024-12-11T02:39:03Z</dcterms:modified>
  <dc:title>致广大“福平铁路（仓山段）项目”房屋被征收人一封信</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257B506A453B44B6AED58685B3429225_13</vt:lpwstr>
  </property>
</Properties>
</file>