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14:paraId="199E7B3A">
      <w:pPr>
        <w:widowControl/>
        <w:overflowPunct w:val="0"/>
        <w:autoSpaceDE w:val="0"/>
        <w:autoSpaceDN w:val="0"/>
        <w:jc w:val="center"/>
        <w:rPr>
          <w:sz w:val="32"/>
          <w:szCs w:val="32"/>
        </w:rPr>
      </w:pPr>
    </w:p>
    <w:p w14:paraId="453BE576">
      <w:pPr>
        <w:widowControl/>
        <w:overflowPunct w:val="0"/>
        <w:autoSpaceDE w:val="0"/>
        <w:autoSpaceDN w:val="0"/>
        <w:jc w:val="center"/>
        <w:rPr>
          <w:sz w:val="84"/>
          <w:szCs w:val="84"/>
        </w:rPr>
      </w:pPr>
    </w:p>
    <w:p w14:paraId="7E6FEC51">
      <w:pPr>
        <w:widowControl/>
        <w:overflowPunct w:val="0"/>
        <w:autoSpaceDE w:val="0"/>
        <w:autoSpaceDN w:val="0"/>
        <w:jc w:val="center"/>
        <w:rPr>
          <w:sz w:val="84"/>
          <w:szCs w:val="84"/>
        </w:rPr>
      </w:pPr>
    </w:p>
    <w:p w14:paraId="58C55CAE">
      <w:pPr>
        <w:widowControl/>
        <w:overflowPunct w:val="0"/>
        <w:autoSpaceDE w:val="0"/>
        <w:autoSpaceDN w:val="0"/>
        <w:jc w:val="center"/>
        <w:rPr>
          <w:rFonts w:ascii="方正小标宋简体" w:eastAsia="方正小标宋简体"/>
          <w:sz w:val="84"/>
          <w:szCs w:val="84"/>
        </w:rPr>
      </w:pPr>
      <w:r>
        <w:rPr>
          <w:rFonts w:ascii="方正小标宋简体" w:eastAsia="方正小标宋简体" w:hint="eastAsia"/>
          <w:sz w:val="84"/>
          <w:szCs w:val="84"/>
        </w:rPr>
        <w:t>2024</w:t>
      </w:r>
      <w:r>
        <w:rPr>
          <w:rFonts w:ascii="方正小标宋简体" w:eastAsia="方正小标宋简体"/>
          <w:sz w:val="84"/>
          <w:u w:color="auto"/>
        </w:rPr>
        <w:t>年度</w:t>
      </w:r>
    </w:p>
    <w:p w14:paraId="5E87FCE2">
      <w:pPr>
        <w:widowControl/>
        <w:overflowPunct w:val="0"/>
        <w:autoSpaceDE w:val="0"/>
        <w:autoSpaceDN w:val="0"/>
        <w:jc w:val="center"/>
        <w:rPr>
          <w:rFonts w:ascii="方正小标宋简体" w:eastAsia="方正小标宋简体"/>
          <w:sz w:val="84"/>
          <w:szCs w:val="84"/>
        </w:rPr>
      </w:pPr>
      <w:r>
        <w:rPr>
          <w:rFonts w:ascii="方正小标宋简体" w:eastAsia="方正小标宋简体" w:hint="eastAsia"/>
          <w:sz w:val="84"/>
          <w:szCs w:val="84"/>
        </w:rPr>
        <w:t>福州市马尾第一中学</w:t>
      </w:r>
    </w:p>
    <w:p w14:paraId="01AE6677">
      <w:pPr>
        <w:widowControl/>
        <w:overflowPunct w:val="0"/>
        <w:autoSpaceDE w:val="0"/>
        <w:autoSpaceDN w:val="0"/>
        <w:jc w:val="center"/>
        <w:rPr>
          <w:rFonts w:ascii="方正小标宋简体" w:eastAsia="方正小标宋简体"/>
          <w:sz w:val="84"/>
          <w:szCs w:val="84"/>
        </w:rPr>
      </w:pPr>
      <w:r>
        <w:rPr>
          <w:rFonts w:ascii="方正小标宋简体" w:eastAsia="方正小标宋简体"/>
          <w:sz w:val="84"/>
          <w:u w:color="auto"/>
        </w:rPr>
        <w:t>决算</w:t>
      </w:r>
    </w:p>
    <w:p w14:paraId="0D03B292">
      <w:pPr>
        <w:widowControl/>
        <w:spacing w:line="240" w:lineRule="auto"/>
        <w:jc w:val="left"/>
        <w:rPr>
          <w:rFonts w:ascii="方正小标宋简体" w:eastAsia="方正小标宋简体"/>
          <w:sz w:val="84"/>
          <w:szCs w:val="84"/>
        </w:rPr>
      </w:pPr>
      <w:r>
        <w:rPr>
          <w:rFonts w:ascii="方正小标宋简体" w:eastAsia="方正小标宋简体"/>
          <w:sz w:val="84"/>
          <w:szCs w:val="84"/>
        </w:rPr>
        <w:br w:type="page"/>
      </w:r>
    </w:p>
    <w:p w14:paraId="0750F5BD">
      <w:pPr>
        <w:pStyle w:val="BodyText"/>
        <w:overflowPunct w:val="0"/>
        <w:rPr>
          <w:rFonts w:ascii="方正小标宋简体" w:eastAsia="方正小标宋简体" w:hAnsiTheme="majorEastAsia"/>
          <w:sz w:val="44"/>
          <w:lang w:eastAsia="zh-CN"/>
        </w:rPr>
        <w:sectPr>
          <w:headerReference w:type="even" r:id="rId8"/>
          <w:headerReference w:type="default" r:id="rId9"/>
          <w:footerReference w:type="even" r:id="rId10"/>
          <w:footerReference w:type="default" r:id="rId11"/>
          <w:type w:val="continuous"/>
          <w:pgSz w:w="11906" w:h="16838"/>
          <w:pgMar w:top="1440" w:right="1800" w:bottom="1440" w:left="1800" w:header="851" w:footer="992" w:gutter="0"/>
          <w:pgNumType w:start="1"/>
          <w:cols w:num="1" w:space="425"/>
          <w:docGrid w:type="lines" w:linePitch="312" w:charSpace="0"/>
        </w:sectPr>
      </w:pPr>
    </w:p>
    <w:p w14:paraId="68D8E09E">
      <w:pPr>
        <w:pStyle w:val="BodyText"/>
        <w:overflowPunct w:val="0"/>
        <w:jc w:val="center"/>
        <w:rPr>
          <w:rFonts w:ascii="方正小标宋简体" w:eastAsia="方正小标宋简体" w:hAnsiTheme="majorEastAsia"/>
          <w:sz w:val="44"/>
          <w:lang w:eastAsia="zh-CN"/>
        </w:rPr>
      </w:pPr>
      <w:r>
        <w:rPr>
          <w:rFonts w:ascii="方正小标宋简体" w:eastAsia="方正小标宋简体" w:hAnsiTheme="majorEastAsia" w:hint="eastAsia"/>
          <w:sz w:val="44"/>
          <w:lang w:eastAsia="zh-CN"/>
        </w:rPr>
        <w:t>目录</w:t>
      </w:r>
    </w:p>
    <w:p w14:paraId="4CA4500A">
      <w:pPr>
        <w:pStyle w:val="BodyText"/>
        <w:overflowPunct w:val="0"/>
        <w:rPr>
          <w:rFonts w:asciiTheme="majorEastAsia" w:eastAsiaTheme="majorEastAsia" w:hAnsiTheme="majorEastAsia"/>
          <w:sz w:val="36"/>
          <w:lang w:eastAsia="zh-CN"/>
        </w:rPr>
      </w:pPr>
    </w:p>
    <w:p w14:paraId="75FDE9F1">
      <w:pPr>
        <w:pStyle w:val="TOC1"/>
        <w:tabs>
          <w:tab w:val="right" w:leader="dot" w:pos="8296"/>
        </w:tabs>
        <w:rPr>
          <w:rFonts w:asciiTheme="minorHAnsi" w:hAnsiTheme="minorHAnsi"/>
          <w:noProof/>
          <w:sz w:val="22"/>
        </w:rPr>
      </w:pPr>
      <w:r>
        <w:rPr>
          <w:rFonts w:ascii="宋体" w:eastAsia="宋体" w:hAnsi="宋体" w:cs="宋体"/>
          <w:kern w:val="0"/>
          <w:sz w:val="36"/>
          <w:szCs w:val="36"/>
        </w:rPr>
        <w:fldChar w:fldCharType="begin"/>
      </w:r>
      <w:r>
        <w:rPr>
          <w:rFonts w:ascii="宋体" w:eastAsia="宋体" w:hAnsi="宋体" w:cs="宋体"/>
          <w:kern w:val="0"/>
          <w:sz w:val="36"/>
          <w:szCs w:val="36"/>
        </w:rPr>
        <w:instrText xml:space="preserve">TOC \o "1-3" \h \u </w:instrText>
      </w:r>
      <w:r>
        <w:rPr>
          <w:rFonts w:ascii="宋体" w:eastAsia="宋体" w:hAnsi="宋体" w:cs="宋体"/>
          <w:kern w:val="0"/>
          <w:sz w:val="36"/>
          <w:szCs w:val="36"/>
        </w:rPr>
        <w:fldChar w:fldCharType="separate"/>
      </w:r>
      <w:hyperlink w:anchor="_Toc256000000" w:history="1">
        <w:r>
          <w:rPr>
            <w:rStyle w:val="Hyperlink"/>
            <w:rFonts w:ascii="黑体" w:eastAsia="黑体" w:hAnsi="黑体" w:hint="eastAsia"/>
            <w:lang w:eastAsia="zh-CN"/>
          </w:rPr>
          <w:t>第一部分</w:t>
        </w:r>
        <w:r>
          <w:tab/>
        </w:r>
        <w:r>
          <w:fldChar w:fldCharType="begin"/>
        </w:r>
        <w:r>
          <w:instrText xml:space="preserve"> PAGEREF _Toc256000000 \h </w:instrText>
        </w:r>
        <w:r>
          <w:fldChar w:fldCharType="separate"/>
        </w:r>
        <w:r>
          <w:t>1</w:t>
        </w:r>
        <w:r>
          <w:fldChar w:fldCharType="end"/>
        </w:r>
      </w:hyperlink>
    </w:p>
    <w:p>
      <w:pPr>
        <w:pStyle w:val="TOC1"/>
        <w:tabs>
          <w:tab w:val="right" w:leader="dot" w:pos="8296"/>
        </w:tabs>
        <w:rPr>
          <w:rFonts w:asciiTheme="minorHAnsi" w:hAnsiTheme="minorHAnsi"/>
          <w:noProof/>
          <w:sz w:val="22"/>
        </w:rPr>
      </w:pPr>
      <w:hyperlink w:anchor="_Toc256000001" w:history="1">
        <w:r>
          <w:rPr>
            <w:rStyle w:val="Hyperlink"/>
            <w:rFonts w:ascii="黑体" w:eastAsia="黑体" w:hAnsi="黑体" w:cs="黑体" w:hint="eastAsia"/>
            <w:bCs/>
            <w:lang w:eastAsia="zh-CN"/>
          </w:rPr>
          <w:t>单位</w:t>
        </w:r>
        <w:r>
          <w:rPr>
            <w:rStyle w:val="Hyperlink"/>
            <w:rFonts w:ascii="黑体" w:eastAsia="黑体" w:hAnsi="黑体" w:cs="黑体"/>
          </w:rPr>
          <w:t>概况</w:t>
        </w:r>
        <w:r>
          <w:tab/>
        </w:r>
        <w:r>
          <w:fldChar w:fldCharType="begin"/>
        </w:r>
        <w:r>
          <w:instrText xml:space="preserve"> PAGEREF _Toc256000001 \h </w:instrText>
        </w:r>
        <w:r>
          <w:fldChar w:fldCharType="separate"/>
        </w:r>
        <w:r>
          <w:t>1</w:t>
        </w:r>
        <w:r>
          <w:fldChar w:fldCharType="end"/>
        </w:r>
      </w:hyperlink>
    </w:p>
    <w:p>
      <w:pPr>
        <w:pStyle w:val="TOC2"/>
        <w:tabs>
          <w:tab w:val="right" w:leader="dot" w:pos="8296"/>
        </w:tabs>
        <w:rPr>
          <w:rFonts w:asciiTheme="minorHAnsi" w:hAnsiTheme="minorHAnsi"/>
          <w:noProof/>
          <w:sz w:val="22"/>
        </w:rPr>
      </w:pPr>
      <w:hyperlink w:anchor="_Toc256000002" w:history="1">
        <w:r>
          <w:rPr>
            <w:rStyle w:val="Hyperlink"/>
            <w:rFonts w:ascii="黑体" w:eastAsia="黑体" w:hAnsi="黑体" w:hint="eastAsia"/>
          </w:rPr>
          <w:t>一、</w:t>
        </w:r>
        <w:r>
          <w:rPr>
            <w:rStyle w:val="Hyperlink"/>
            <w:rFonts w:ascii="黑体" w:eastAsia="黑体" w:hAnsi="黑体" w:cs="黑体" w:hint="eastAsia"/>
            <w:bCs/>
          </w:rPr>
          <w:t>单位</w:t>
        </w:r>
        <w:r>
          <w:rPr>
            <w:rStyle w:val="Hyperlink"/>
            <w:rFonts w:ascii="黑体" w:eastAsia="黑体" w:hAnsi="黑体" w:hint="eastAsia"/>
          </w:rPr>
          <w:t>主要职责</w:t>
        </w:r>
        <w:r>
          <w:tab/>
        </w:r>
        <w:r>
          <w:fldChar w:fldCharType="begin"/>
        </w:r>
        <w:r>
          <w:instrText xml:space="preserve"> PAGEREF _Toc256000002 \h </w:instrText>
        </w:r>
        <w:r>
          <w:fldChar w:fldCharType="separate"/>
        </w:r>
        <w:r>
          <w:t>2</w:t>
        </w:r>
        <w:r>
          <w:fldChar w:fldCharType="end"/>
        </w:r>
      </w:hyperlink>
    </w:p>
    <w:p>
      <w:pPr>
        <w:pStyle w:val="TOC2"/>
        <w:tabs>
          <w:tab w:val="right" w:leader="dot" w:pos="8296"/>
        </w:tabs>
        <w:rPr>
          <w:rFonts w:asciiTheme="minorHAnsi" w:hAnsiTheme="minorHAnsi"/>
          <w:noProof/>
          <w:sz w:val="22"/>
        </w:rPr>
      </w:pPr>
      <w:hyperlink w:anchor="_Toc256000003" w:history="1">
        <w:r>
          <w:rPr>
            <w:rStyle w:val="Hyperlink"/>
            <w:rFonts w:ascii="黑体" w:eastAsia="黑体" w:hAnsi="黑体" w:hint="eastAsia"/>
          </w:rPr>
          <w:t>二、</w:t>
        </w:r>
        <w:r>
          <w:rPr>
            <w:rStyle w:val="Hyperlink"/>
            <w:rFonts w:ascii="黑体" w:eastAsia="黑体" w:hAnsi="黑体" w:hint="eastAsia"/>
          </w:rPr>
          <w:t>单位基本情况</w:t>
        </w:r>
        <w:r>
          <w:tab/>
        </w:r>
        <w:r>
          <w:fldChar w:fldCharType="begin"/>
        </w:r>
        <w:r>
          <w:instrText xml:space="preserve"> PAGEREF _Toc256000003 \h </w:instrText>
        </w:r>
        <w:r>
          <w:fldChar w:fldCharType="separate"/>
        </w:r>
        <w:r>
          <w:t>2</w:t>
        </w:r>
        <w:r>
          <w:fldChar w:fldCharType="end"/>
        </w:r>
      </w:hyperlink>
    </w:p>
    <w:p>
      <w:pPr>
        <w:pStyle w:val="TOC2"/>
        <w:tabs>
          <w:tab w:val="right" w:leader="dot" w:pos="8296"/>
        </w:tabs>
        <w:rPr>
          <w:rFonts w:asciiTheme="minorHAnsi" w:hAnsiTheme="minorHAnsi"/>
          <w:noProof/>
          <w:sz w:val="22"/>
        </w:rPr>
      </w:pPr>
      <w:hyperlink w:anchor="_Toc256000004" w:history="1">
        <w:r>
          <w:rPr>
            <w:rStyle w:val="Hyperlink"/>
            <w:rFonts w:ascii="黑体" w:eastAsia="黑体" w:hAnsi="黑体" w:hint="eastAsia"/>
          </w:rPr>
          <w:t>三、</w:t>
        </w:r>
        <w:r>
          <w:rPr>
            <w:rStyle w:val="Hyperlink"/>
            <w:rFonts w:ascii="黑体" w:eastAsia="黑体" w:hAnsi="黑体"/>
          </w:rPr>
          <w:t>单位</w:t>
        </w:r>
        <w:r>
          <w:rPr>
            <w:rStyle w:val="Hyperlink"/>
            <w:rFonts w:ascii="黑体" w:eastAsia="黑体" w:hAnsi="黑体"/>
          </w:rPr>
          <w:t>主要工作总结</w:t>
        </w:r>
        <w:r>
          <w:tab/>
        </w:r>
        <w:r>
          <w:fldChar w:fldCharType="begin"/>
        </w:r>
        <w:r>
          <w:instrText xml:space="preserve"> PAGEREF _Toc256000004 \h </w:instrText>
        </w:r>
        <w:r>
          <w:fldChar w:fldCharType="separate"/>
        </w:r>
        <w:r>
          <w:t>2</w:t>
        </w:r>
        <w:r>
          <w:fldChar w:fldCharType="end"/>
        </w:r>
      </w:hyperlink>
    </w:p>
    <w:p>
      <w:pPr>
        <w:pStyle w:val="TOC1"/>
        <w:tabs>
          <w:tab w:val="right" w:leader="dot" w:pos="8296"/>
        </w:tabs>
        <w:rPr>
          <w:rFonts w:asciiTheme="minorHAnsi" w:hAnsiTheme="minorHAnsi"/>
          <w:noProof/>
          <w:sz w:val="22"/>
        </w:rPr>
      </w:pPr>
      <w:hyperlink w:anchor="_Toc256000005" w:history="1">
        <w:r>
          <w:rPr>
            <w:rStyle w:val="Hyperlink"/>
            <w:rFonts w:ascii="黑体" w:eastAsia="黑体" w:hAnsi="黑体" w:hint="eastAsia"/>
            <w:lang w:eastAsia="zh-CN"/>
          </w:rPr>
          <w:t>第二部分</w:t>
        </w:r>
        <w:r>
          <w:tab/>
        </w:r>
        <w:r>
          <w:fldChar w:fldCharType="begin"/>
        </w:r>
        <w:r>
          <w:instrText xml:space="preserve"> PAGEREF _Toc256000005 \h </w:instrText>
        </w:r>
        <w:r>
          <w:fldChar w:fldCharType="separate"/>
        </w:r>
        <w:r>
          <w:t>4</w:t>
        </w:r>
        <w:r>
          <w:fldChar w:fldCharType="end"/>
        </w:r>
      </w:hyperlink>
    </w:p>
    <w:p>
      <w:pPr>
        <w:pStyle w:val="TOC1"/>
        <w:tabs>
          <w:tab w:val="right" w:leader="dot" w:pos="8296"/>
        </w:tabs>
        <w:rPr>
          <w:rFonts w:asciiTheme="minorHAnsi" w:hAnsiTheme="minorHAnsi"/>
          <w:noProof/>
          <w:sz w:val="22"/>
        </w:rPr>
      </w:pPr>
      <w:hyperlink w:anchor="_Toc256000006" w:history="1">
        <w:r>
          <w:rPr>
            <w:rStyle w:val="Hyperlink"/>
            <w:rFonts w:ascii="黑体" w:eastAsia="黑体" w:hAnsi="黑体" w:cs="黑体" w:hint="eastAsia"/>
            <w:bCs/>
            <w:lang w:eastAsia="zh-CN"/>
          </w:rPr>
          <w:t>2024</w:t>
        </w:r>
        <w:r>
          <w:rPr>
            <w:rStyle w:val="Hyperlink"/>
            <w:rFonts w:ascii="黑体" w:eastAsia="黑体" w:hAnsi="黑体" w:cs="黑体" w:hint="eastAsia"/>
            <w:bCs/>
          </w:rPr>
          <w:t>年度</w:t>
        </w:r>
        <w:r>
          <w:rPr>
            <w:rStyle w:val="Hyperlink"/>
            <w:rFonts w:ascii="黑体" w:eastAsia="黑体" w:hAnsi="黑体" w:cs="黑体" w:hint="eastAsia"/>
            <w:bCs/>
          </w:rPr>
          <w:t>单位</w:t>
        </w:r>
        <w:r>
          <w:rPr>
            <w:rStyle w:val="Hyperlink"/>
            <w:rFonts w:ascii="黑体" w:eastAsia="黑体" w:hAnsi="黑体" w:hint="eastAsia"/>
            <w:lang w:eastAsia="zh-CN"/>
          </w:rPr>
          <w:t>决算表</w:t>
        </w:r>
        <w:r>
          <w:tab/>
        </w:r>
        <w:r>
          <w:fldChar w:fldCharType="begin"/>
        </w:r>
        <w:r>
          <w:instrText xml:space="preserve"> PAGEREF _Toc256000006 \h </w:instrText>
        </w:r>
        <w:r>
          <w:fldChar w:fldCharType="separate"/>
        </w:r>
        <w:r>
          <w:t>4</w:t>
        </w:r>
        <w:r>
          <w:fldChar w:fldCharType="end"/>
        </w:r>
      </w:hyperlink>
    </w:p>
    <w:p>
      <w:pPr>
        <w:pStyle w:val="TOC2"/>
        <w:tabs>
          <w:tab w:val="right" w:leader="dot" w:pos="8296"/>
        </w:tabs>
        <w:rPr>
          <w:rFonts w:asciiTheme="minorHAnsi" w:hAnsiTheme="minorHAnsi"/>
          <w:noProof/>
          <w:sz w:val="22"/>
        </w:rPr>
      </w:pPr>
      <w:hyperlink w:anchor="_Toc256000007" w:history="1">
        <w:r>
          <w:rPr>
            <w:rStyle w:val="Hyperlink"/>
            <w:rFonts w:ascii="黑体" w:eastAsia="黑体" w:hAnsi="仿宋" w:hint="eastAsia"/>
          </w:rPr>
          <w:t>一、收入支出决算总表</w:t>
        </w:r>
        <w:r>
          <w:tab/>
        </w:r>
        <w:r>
          <w:fldChar w:fldCharType="begin"/>
        </w:r>
        <w:r>
          <w:instrText xml:space="preserve"> PAGEREF _Toc256000007 \h </w:instrText>
        </w:r>
        <w:r>
          <w:fldChar w:fldCharType="separate"/>
        </w:r>
        <w:r>
          <w:t>5</w:t>
        </w:r>
        <w:r>
          <w:fldChar w:fldCharType="end"/>
        </w:r>
      </w:hyperlink>
    </w:p>
    <w:p>
      <w:pPr>
        <w:pStyle w:val="TOC2"/>
        <w:tabs>
          <w:tab w:val="right" w:leader="dot" w:pos="8296"/>
        </w:tabs>
        <w:rPr>
          <w:rFonts w:asciiTheme="minorHAnsi" w:hAnsiTheme="minorHAnsi"/>
          <w:noProof/>
          <w:sz w:val="22"/>
        </w:rPr>
      </w:pPr>
      <w:hyperlink w:anchor="_Toc256000008" w:history="1">
        <w:r>
          <w:rPr>
            <w:rStyle w:val="Hyperlink"/>
            <w:rFonts w:ascii="黑体" w:eastAsia="黑体" w:hAnsi="仿宋" w:hint="eastAsia"/>
          </w:rPr>
          <w:t>二、收入决算表</w:t>
        </w:r>
        <w:r>
          <w:tab/>
        </w:r>
        <w:r>
          <w:fldChar w:fldCharType="begin"/>
        </w:r>
        <w:r>
          <w:instrText xml:space="preserve"> PAGEREF _Toc256000008 \h </w:instrText>
        </w:r>
        <w:r>
          <w:fldChar w:fldCharType="separate"/>
        </w:r>
        <w:r>
          <w:t>7</w:t>
        </w:r>
        <w:r>
          <w:fldChar w:fldCharType="end"/>
        </w:r>
      </w:hyperlink>
    </w:p>
    <w:p>
      <w:pPr>
        <w:pStyle w:val="TOC2"/>
        <w:tabs>
          <w:tab w:val="right" w:leader="dot" w:pos="8296"/>
        </w:tabs>
        <w:rPr>
          <w:rFonts w:asciiTheme="minorHAnsi" w:hAnsiTheme="minorHAnsi"/>
          <w:noProof/>
          <w:sz w:val="22"/>
        </w:rPr>
      </w:pPr>
      <w:hyperlink w:anchor="_Toc256000009" w:history="1">
        <w:r>
          <w:rPr>
            <w:rStyle w:val="Hyperlink"/>
            <w:rFonts w:ascii="黑体" w:eastAsia="黑体" w:hAnsi="仿宋" w:hint="eastAsia"/>
          </w:rPr>
          <w:t>三、支出决算表</w:t>
        </w:r>
        <w:r>
          <w:tab/>
        </w:r>
        <w:r>
          <w:fldChar w:fldCharType="begin"/>
        </w:r>
        <w:r>
          <w:instrText xml:space="preserve"> PAGEREF _Toc256000009 \h </w:instrText>
        </w:r>
        <w:r>
          <w:fldChar w:fldCharType="separate"/>
        </w:r>
        <w:r>
          <w:t>9</w:t>
        </w:r>
        <w:r>
          <w:fldChar w:fldCharType="end"/>
        </w:r>
      </w:hyperlink>
    </w:p>
    <w:p>
      <w:pPr>
        <w:pStyle w:val="TOC2"/>
        <w:tabs>
          <w:tab w:val="right" w:leader="dot" w:pos="8296"/>
        </w:tabs>
        <w:rPr>
          <w:rFonts w:asciiTheme="minorHAnsi" w:hAnsiTheme="minorHAnsi"/>
          <w:noProof/>
          <w:sz w:val="22"/>
        </w:rPr>
      </w:pPr>
      <w:hyperlink w:anchor="_Toc256000010" w:history="1">
        <w:r>
          <w:rPr>
            <w:rStyle w:val="Hyperlink"/>
            <w:rFonts w:ascii="黑体" w:eastAsia="黑体" w:hAnsi="仿宋" w:hint="eastAsia"/>
          </w:rPr>
          <w:t>四、财政拨款收入支出决算总表</w:t>
        </w:r>
        <w:r>
          <w:tab/>
        </w:r>
        <w:r>
          <w:fldChar w:fldCharType="begin"/>
        </w:r>
        <w:r>
          <w:instrText xml:space="preserve"> PAGEREF _Toc256000010 \h </w:instrText>
        </w:r>
        <w:r>
          <w:fldChar w:fldCharType="separate"/>
        </w:r>
        <w:r>
          <w:t>11</w:t>
        </w:r>
        <w:r>
          <w:fldChar w:fldCharType="end"/>
        </w:r>
      </w:hyperlink>
    </w:p>
    <w:p>
      <w:pPr>
        <w:pStyle w:val="TOC2"/>
        <w:tabs>
          <w:tab w:val="right" w:leader="dot" w:pos="8296"/>
        </w:tabs>
        <w:rPr>
          <w:rFonts w:asciiTheme="minorHAnsi" w:hAnsiTheme="minorHAnsi"/>
          <w:noProof/>
          <w:sz w:val="22"/>
        </w:rPr>
      </w:pPr>
      <w:hyperlink w:anchor="_Toc256000011" w:history="1">
        <w:r>
          <w:rPr>
            <w:rStyle w:val="Hyperlink"/>
            <w:rFonts w:ascii="黑体" w:eastAsia="黑体" w:hAnsi="仿宋" w:hint="eastAsia"/>
          </w:rPr>
          <w:t>五、一般公共预算财政拨款支出决算表</w:t>
        </w:r>
        <w:r>
          <w:tab/>
        </w:r>
        <w:r>
          <w:fldChar w:fldCharType="begin"/>
        </w:r>
        <w:r>
          <w:instrText xml:space="preserve"> PAGEREF _Toc256000011 \h </w:instrText>
        </w:r>
        <w:r>
          <w:fldChar w:fldCharType="separate"/>
        </w:r>
        <w:r>
          <w:t>14</w:t>
        </w:r>
        <w:r>
          <w:fldChar w:fldCharType="end"/>
        </w:r>
      </w:hyperlink>
    </w:p>
    <w:p>
      <w:pPr>
        <w:pStyle w:val="TOC2"/>
        <w:tabs>
          <w:tab w:val="right" w:leader="dot" w:pos="8296"/>
        </w:tabs>
        <w:rPr>
          <w:rFonts w:asciiTheme="minorHAnsi" w:hAnsiTheme="minorHAnsi"/>
          <w:noProof/>
          <w:sz w:val="22"/>
        </w:rPr>
      </w:pPr>
      <w:hyperlink w:anchor="_Toc256000012" w:history="1">
        <w:r>
          <w:rPr>
            <w:rStyle w:val="Hyperlink"/>
            <w:rFonts w:ascii="黑体" w:eastAsia="黑体" w:hAnsi="仿宋" w:hint="eastAsia"/>
          </w:rPr>
          <w:t>六、一般公共预算财政拨款基本支出决算表</w:t>
        </w:r>
        <w:r>
          <w:tab/>
        </w:r>
        <w:r>
          <w:fldChar w:fldCharType="begin"/>
        </w:r>
        <w:r>
          <w:instrText xml:space="preserve"> PAGEREF _Toc256000012 \h </w:instrText>
        </w:r>
        <w:r>
          <w:fldChar w:fldCharType="separate"/>
        </w:r>
        <w:r>
          <w:t>16</w:t>
        </w:r>
        <w:r>
          <w:fldChar w:fldCharType="end"/>
        </w:r>
      </w:hyperlink>
    </w:p>
    <w:p>
      <w:pPr>
        <w:pStyle w:val="TOC2"/>
        <w:tabs>
          <w:tab w:val="right" w:leader="dot" w:pos="8296"/>
        </w:tabs>
        <w:rPr>
          <w:rFonts w:asciiTheme="minorHAnsi" w:hAnsiTheme="minorHAnsi"/>
          <w:noProof/>
          <w:sz w:val="22"/>
        </w:rPr>
      </w:pPr>
      <w:hyperlink w:anchor="_Toc256000013" w:history="1">
        <w:r>
          <w:rPr>
            <w:rStyle w:val="Hyperlink"/>
            <w:rFonts w:ascii="黑体" w:eastAsia="黑体" w:hAnsi="仿宋" w:hint="eastAsia"/>
          </w:rPr>
          <w:t>七、一般公共预算财政拨款“三公”经费支出决算表</w:t>
        </w:r>
        <w:r>
          <w:tab/>
        </w:r>
        <w:r>
          <w:fldChar w:fldCharType="begin"/>
        </w:r>
        <w:r>
          <w:instrText xml:space="preserve"> PAGEREF _Toc256000013 \h </w:instrText>
        </w:r>
        <w:r>
          <w:fldChar w:fldCharType="separate"/>
        </w:r>
        <w:r>
          <w:t>19</w:t>
        </w:r>
        <w:r>
          <w:fldChar w:fldCharType="end"/>
        </w:r>
      </w:hyperlink>
    </w:p>
    <w:p>
      <w:pPr>
        <w:pStyle w:val="TOC2"/>
        <w:tabs>
          <w:tab w:val="right" w:leader="dot" w:pos="8296"/>
        </w:tabs>
        <w:rPr>
          <w:rFonts w:asciiTheme="minorHAnsi" w:hAnsiTheme="minorHAnsi"/>
          <w:noProof/>
          <w:sz w:val="22"/>
        </w:rPr>
      </w:pPr>
      <w:hyperlink w:anchor="_Toc256000014" w:history="1">
        <w:r>
          <w:rPr>
            <w:rStyle w:val="Hyperlink"/>
            <w:rFonts w:ascii="黑体" w:eastAsia="黑体" w:hAnsi="仿宋" w:hint="eastAsia"/>
          </w:rPr>
          <w:t>八、政府性基金预算财政拨款收入支出决算表</w:t>
        </w:r>
        <w:r>
          <w:tab/>
        </w:r>
        <w:r>
          <w:fldChar w:fldCharType="begin"/>
        </w:r>
        <w:r>
          <w:instrText xml:space="preserve"> PAGEREF _Toc256000014 \h </w:instrText>
        </w:r>
        <w:r>
          <w:fldChar w:fldCharType="separate"/>
        </w:r>
        <w:r>
          <w:t>20</w:t>
        </w:r>
        <w:r>
          <w:fldChar w:fldCharType="end"/>
        </w:r>
      </w:hyperlink>
    </w:p>
    <w:p>
      <w:pPr>
        <w:pStyle w:val="TOC2"/>
        <w:tabs>
          <w:tab w:val="right" w:leader="dot" w:pos="8296"/>
        </w:tabs>
        <w:rPr>
          <w:rFonts w:asciiTheme="minorHAnsi" w:hAnsiTheme="minorHAnsi"/>
          <w:noProof/>
          <w:sz w:val="22"/>
        </w:rPr>
      </w:pPr>
      <w:hyperlink w:anchor="_Toc256000015" w:history="1">
        <w:r>
          <w:rPr>
            <w:rStyle w:val="Hyperlink"/>
            <w:rFonts w:ascii="黑体" w:eastAsia="黑体" w:hAnsi="仿宋" w:hint="eastAsia"/>
          </w:rPr>
          <w:t>九、国有资本经营预算财政拨款支出决算表</w:t>
        </w:r>
        <w:r>
          <w:tab/>
        </w:r>
        <w:r>
          <w:fldChar w:fldCharType="begin"/>
        </w:r>
        <w:r>
          <w:instrText xml:space="preserve"> PAGEREF _Toc256000015 \h </w:instrText>
        </w:r>
        <w:r>
          <w:fldChar w:fldCharType="separate"/>
        </w:r>
        <w:r>
          <w:t>21</w:t>
        </w:r>
        <w:r>
          <w:fldChar w:fldCharType="end"/>
        </w:r>
      </w:hyperlink>
    </w:p>
    <w:p>
      <w:pPr>
        <w:pStyle w:val="TOC1"/>
        <w:tabs>
          <w:tab w:val="right" w:leader="dot" w:pos="8296"/>
        </w:tabs>
        <w:rPr>
          <w:rFonts w:asciiTheme="minorHAnsi" w:hAnsiTheme="minorHAnsi"/>
          <w:noProof/>
          <w:sz w:val="22"/>
        </w:rPr>
      </w:pPr>
      <w:hyperlink w:anchor="_Toc256000016" w:history="1">
        <w:r>
          <w:rPr>
            <w:rStyle w:val="Hyperlink"/>
            <w:rFonts w:ascii="黑体" w:eastAsia="黑体" w:hAnsi="黑体" w:hint="eastAsia"/>
            <w:lang w:eastAsia="zh-CN"/>
          </w:rPr>
          <w:t>第三部分</w:t>
        </w:r>
        <w:r>
          <w:tab/>
        </w:r>
        <w:r>
          <w:fldChar w:fldCharType="begin"/>
        </w:r>
        <w:r>
          <w:instrText xml:space="preserve"> PAGEREF _Toc256000016 \h </w:instrText>
        </w:r>
        <w:r>
          <w:fldChar w:fldCharType="separate"/>
        </w:r>
        <w:r>
          <w:t>22</w:t>
        </w:r>
        <w:r>
          <w:fldChar w:fldCharType="end"/>
        </w:r>
      </w:hyperlink>
    </w:p>
    <w:p>
      <w:pPr>
        <w:pStyle w:val="TOC1"/>
        <w:tabs>
          <w:tab w:val="right" w:leader="dot" w:pos="8296"/>
        </w:tabs>
        <w:rPr>
          <w:rFonts w:asciiTheme="minorHAnsi" w:hAnsiTheme="minorHAnsi"/>
          <w:noProof/>
          <w:sz w:val="22"/>
        </w:rPr>
      </w:pPr>
      <w:hyperlink w:anchor="_Toc256000017" w:history="1">
        <w:r>
          <w:rPr>
            <w:rStyle w:val="Hyperlink"/>
            <w:rFonts w:ascii="黑体" w:eastAsia="黑体" w:hAnsi="黑体" w:cs="黑体" w:hint="eastAsia"/>
            <w:bCs/>
          </w:rPr>
          <w:t>2024</w:t>
        </w:r>
        <w:r>
          <w:rPr>
            <w:rStyle w:val="Hyperlink"/>
            <w:rFonts w:ascii="黑体" w:eastAsia="黑体" w:hAnsi="黑体" w:cs="黑体"/>
          </w:rPr>
          <w:t>年度</w:t>
        </w:r>
        <w:r>
          <w:rPr>
            <w:rStyle w:val="Hyperlink"/>
            <w:rFonts w:ascii="黑体" w:eastAsia="黑体" w:hAnsi="黑体" w:cs="黑体" w:hint="eastAsia"/>
            <w:bCs/>
          </w:rPr>
          <w:t>单位</w:t>
        </w:r>
        <w:r>
          <w:rPr>
            <w:rStyle w:val="Hyperlink"/>
            <w:rFonts w:ascii="黑体" w:eastAsia="黑体" w:hAnsi="黑体" w:hint="eastAsia"/>
          </w:rPr>
          <w:t>决算情况说明</w:t>
        </w:r>
        <w:r>
          <w:tab/>
        </w:r>
        <w:r>
          <w:fldChar w:fldCharType="begin"/>
        </w:r>
        <w:r>
          <w:instrText xml:space="preserve"> PAGEREF _Toc256000017 \h </w:instrText>
        </w:r>
        <w:r>
          <w:fldChar w:fldCharType="separate"/>
        </w:r>
        <w:r>
          <w:t>22</w:t>
        </w:r>
        <w:r>
          <w:fldChar w:fldCharType="end"/>
        </w:r>
      </w:hyperlink>
    </w:p>
    <w:p>
      <w:pPr>
        <w:pStyle w:val="TOC2"/>
        <w:tabs>
          <w:tab w:val="right" w:leader="dot" w:pos="8296"/>
        </w:tabs>
        <w:rPr>
          <w:rFonts w:asciiTheme="minorHAnsi" w:hAnsiTheme="minorHAnsi"/>
          <w:noProof/>
          <w:sz w:val="22"/>
        </w:rPr>
      </w:pPr>
      <w:hyperlink w:anchor="_Toc256000018" w:history="1">
        <w:r>
          <w:rPr>
            <w:rStyle w:val="Hyperlink"/>
            <w:rFonts w:ascii="黑体" w:eastAsia="黑体" w:hAnsi="黑体" w:hint="eastAsia"/>
          </w:rPr>
          <w:t>一、收入支出决算总体情况说明</w:t>
        </w:r>
        <w:r>
          <w:tab/>
        </w:r>
        <w:r>
          <w:fldChar w:fldCharType="begin"/>
        </w:r>
        <w:r>
          <w:instrText xml:space="preserve"> PAGEREF _Toc256000018 \h </w:instrText>
        </w:r>
        <w:r>
          <w:fldChar w:fldCharType="separate"/>
        </w:r>
        <w:r>
          <w:t>23</w:t>
        </w:r>
        <w:r>
          <w:fldChar w:fldCharType="end"/>
        </w:r>
      </w:hyperlink>
    </w:p>
    <w:p>
      <w:pPr>
        <w:pStyle w:val="TOC2"/>
        <w:tabs>
          <w:tab w:val="right" w:leader="dot" w:pos="8296"/>
        </w:tabs>
        <w:rPr>
          <w:rFonts w:asciiTheme="minorHAnsi" w:hAnsiTheme="minorHAnsi"/>
          <w:noProof/>
          <w:sz w:val="22"/>
        </w:rPr>
      </w:pPr>
      <w:hyperlink w:anchor="_Toc256000019" w:history="1">
        <w:r>
          <w:rPr>
            <w:rStyle w:val="Hyperlink"/>
            <w:rFonts w:ascii="黑体" w:eastAsia="黑体" w:hAnsi="黑体" w:hint="eastAsia"/>
          </w:rPr>
          <w:t>二、</w:t>
        </w:r>
        <w:r>
          <w:rPr>
            <w:rStyle w:val="Hyperlink"/>
            <w:rFonts w:ascii="黑体" w:eastAsia="黑体" w:cs="黑体" w:hint="eastAsia"/>
          </w:rPr>
          <w:t>财政拨款收入支出决算总体情况说明</w:t>
        </w:r>
        <w:r>
          <w:tab/>
        </w:r>
        <w:r>
          <w:fldChar w:fldCharType="begin"/>
        </w:r>
        <w:r>
          <w:instrText xml:space="preserve"> PAGEREF _Toc256000019 \h </w:instrText>
        </w:r>
        <w:r>
          <w:fldChar w:fldCharType="separate"/>
        </w:r>
        <w:r>
          <w:t>24</w:t>
        </w:r>
        <w:r>
          <w:fldChar w:fldCharType="end"/>
        </w:r>
      </w:hyperlink>
    </w:p>
    <w:p>
      <w:pPr>
        <w:pStyle w:val="TOC2"/>
        <w:tabs>
          <w:tab w:val="right" w:leader="dot" w:pos="8296"/>
        </w:tabs>
        <w:rPr>
          <w:rFonts w:asciiTheme="minorHAnsi" w:hAnsiTheme="minorHAnsi"/>
          <w:noProof/>
          <w:sz w:val="22"/>
        </w:rPr>
      </w:pPr>
      <w:hyperlink w:anchor="_Toc256000020" w:history="1">
        <w:r>
          <w:rPr>
            <w:rStyle w:val="Hyperlink"/>
            <w:rFonts w:ascii="黑体" w:eastAsia="黑体" w:hAnsi="黑体" w:hint="eastAsia"/>
          </w:rPr>
          <w:t>三、一般公共预算拨款支出决算情况说明</w:t>
        </w:r>
        <w:r>
          <w:tab/>
        </w:r>
        <w:r>
          <w:fldChar w:fldCharType="begin"/>
        </w:r>
        <w:r>
          <w:instrText xml:space="preserve"> PAGEREF _Toc256000020 \h </w:instrText>
        </w:r>
        <w:r>
          <w:fldChar w:fldCharType="separate"/>
        </w:r>
        <w:r>
          <w:t>24</w:t>
        </w:r>
        <w:r>
          <w:fldChar w:fldCharType="end"/>
        </w:r>
      </w:hyperlink>
    </w:p>
    <w:p>
      <w:pPr>
        <w:pStyle w:val="TOC2"/>
        <w:tabs>
          <w:tab w:val="right" w:leader="dot" w:pos="8296"/>
        </w:tabs>
        <w:rPr>
          <w:rFonts w:asciiTheme="minorHAnsi" w:hAnsiTheme="minorHAnsi"/>
          <w:noProof/>
          <w:sz w:val="22"/>
        </w:rPr>
      </w:pPr>
      <w:hyperlink w:anchor="_Toc256000021" w:history="1">
        <w:r>
          <w:rPr>
            <w:rStyle w:val="Hyperlink"/>
            <w:rFonts w:ascii="黑体" w:eastAsia="黑体" w:hAnsi="黑体" w:cs="仿宋_GB2312" w:hint="eastAsia"/>
            <w:bCs/>
          </w:rPr>
          <w:t>四、政府性基金预算财政拨款支出决算情况说明</w:t>
        </w:r>
        <w:r>
          <w:tab/>
        </w:r>
        <w:r>
          <w:fldChar w:fldCharType="begin"/>
        </w:r>
        <w:r>
          <w:instrText xml:space="preserve"> PAGEREF _Toc256000021 \h </w:instrText>
        </w:r>
        <w:r>
          <w:fldChar w:fldCharType="separate"/>
        </w:r>
        <w:r>
          <w:t>26</w:t>
        </w:r>
        <w:r>
          <w:fldChar w:fldCharType="end"/>
        </w:r>
      </w:hyperlink>
    </w:p>
    <w:p>
      <w:pPr>
        <w:pStyle w:val="TOC2"/>
        <w:tabs>
          <w:tab w:val="right" w:leader="dot" w:pos="8296"/>
        </w:tabs>
        <w:rPr>
          <w:rFonts w:asciiTheme="minorHAnsi" w:hAnsiTheme="minorHAnsi"/>
          <w:noProof/>
          <w:sz w:val="22"/>
        </w:rPr>
      </w:pPr>
      <w:hyperlink w:anchor="_Toc256000022" w:history="1">
        <w:r>
          <w:rPr>
            <w:rStyle w:val="Hyperlink"/>
            <w:rFonts w:ascii="黑体" w:eastAsia="黑体" w:hAnsi="黑体" w:cs="仿宋_GB2312" w:hint="eastAsia"/>
            <w:bCs/>
          </w:rPr>
          <w:t>五、国有资本经营预算财政拨款支出决算情况说明</w:t>
        </w:r>
        <w:r>
          <w:tab/>
        </w:r>
        <w:r>
          <w:fldChar w:fldCharType="begin"/>
        </w:r>
        <w:r>
          <w:instrText xml:space="preserve"> PAGEREF _Toc256000022 \h </w:instrText>
        </w:r>
        <w:r>
          <w:fldChar w:fldCharType="separate"/>
        </w:r>
        <w:r>
          <w:t>26</w:t>
        </w:r>
        <w:r>
          <w:fldChar w:fldCharType="end"/>
        </w:r>
      </w:hyperlink>
    </w:p>
    <w:p>
      <w:pPr>
        <w:pStyle w:val="TOC2"/>
        <w:tabs>
          <w:tab w:val="right" w:leader="dot" w:pos="8296"/>
        </w:tabs>
        <w:rPr>
          <w:rFonts w:asciiTheme="minorHAnsi" w:hAnsiTheme="minorHAnsi"/>
          <w:noProof/>
          <w:sz w:val="22"/>
        </w:rPr>
      </w:pPr>
      <w:hyperlink w:anchor="_Toc256000023" w:history="1">
        <w:r>
          <w:rPr>
            <w:rStyle w:val="Hyperlink"/>
            <w:rFonts w:ascii="黑体" w:eastAsia="黑体" w:hAnsi="黑体" w:cs="仿宋_GB2312" w:hint="eastAsia"/>
          </w:rPr>
          <w:t>六、一般公共预算财政拨款基本支出决算情况说明</w:t>
        </w:r>
        <w:r>
          <w:tab/>
        </w:r>
        <w:r>
          <w:fldChar w:fldCharType="begin"/>
        </w:r>
        <w:r>
          <w:instrText xml:space="preserve"> PAGEREF _Toc256000023 \h </w:instrText>
        </w:r>
        <w:r>
          <w:fldChar w:fldCharType="separate"/>
        </w:r>
        <w:r>
          <w:t>26</w:t>
        </w:r>
        <w:r>
          <w:fldChar w:fldCharType="end"/>
        </w:r>
      </w:hyperlink>
    </w:p>
    <w:p>
      <w:pPr>
        <w:pStyle w:val="TOC2"/>
        <w:tabs>
          <w:tab w:val="right" w:leader="dot" w:pos="8296"/>
        </w:tabs>
        <w:rPr>
          <w:rFonts w:asciiTheme="minorHAnsi" w:hAnsiTheme="minorHAnsi"/>
          <w:noProof/>
          <w:sz w:val="22"/>
        </w:rPr>
      </w:pPr>
      <w:hyperlink w:anchor="_Toc256000024" w:history="1">
        <w:r>
          <w:rPr>
            <w:rStyle w:val="Hyperlink"/>
            <w:rFonts w:ascii="黑体" w:eastAsia="黑体" w:hAnsi="黑体" w:cs="仿宋_GB2312" w:hint="eastAsia"/>
            <w:bCs/>
          </w:rPr>
          <w:t>七、</w:t>
        </w:r>
        <w:r>
          <w:rPr>
            <w:rStyle w:val="Hyperlink"/>
            <w:rFonts w:ascii="黑体" w:eastAsia="黑体" w:hAnsi="黑体" w:hint="eastAsia"/>
          </w:rPr>
          <w:t>一般公共预算拨款</w:t>
        </w:r>
        <w:r>
          <w:rPr>
            <w:rStyle w:val="Hyperlink"/>
            <w:rFonts w:ascii="黑体" w:eastAsia="黑体" w:hAnsi="黑体" w:cs="仿宋_GB2312" w:hint="eastAsia"/>
            <w:bCs/>
          </w:rPr>
          <w:t>“三公”经费支出决算情况说明</w:t>
        </w:r>
        <w:r>
          <w:tab/>
        </w:r>
        <w:r>
          <w:fldChar w:fldCharType="begin"/>
        </w:r>
        <w:r>
          <w:instrText xml:space="preserve"> PAGEREF _Toc256000024 \h </w:instrText>
        </w:r>
        <w:r>
          <w:fldChar w:fldCharType="separate"/>
        </w:r>
        <w:r>
          <w:t>27</w:t>
        </w:r>
        <w:r>
          <w:fldChar w:fldCharType="end"/>
        </w:r>
      </w:hyperlink>
    </w:p>
    <w:p>
      <w:pPr>
        <w:pStyle w:val="TOC2"/>
        <w:tabs>
          <w:tab w:val="right" w:leader="dot" w:pos="8296"/>
        </w:tabs>
        <w:rPr>
          <w:rFonts w:asciiTheme="minorHAnsi" w:hAnsiTheme="minorHAnsi"/>
          <w:noProof/>
          <w:sz w:val="22"/>
        </w:rPr>
      </w:pPr>
      <w:hyperlink w:anchor="_Toc256000025" w:history="1">
        <w:r>
          <w:rPr>
            <w:rStyle w:val="Hyperlink"/>
            <w:rFonts w:ascii="黑体" w:eastAsia="黑体" w:hAnsi="黑体" w:hint="eastAsia"/>
          </w:rPr>
          <w:t>八、预算绩效情况说明</w:t>
        </w:r>
        <w:r>
          <w:tab/>
        </w:r>
        <w:r>
          <w:fldChar w:fldCharType="begin"/>
        </w:r>
        <w:r>
          <w:instrText xml:space="preserve"> PAGEREF _Toc256000025 \h </w:instrText>
        </w:r>
        <w:r>
          <w:fldChar w:fldCharType="separate"/>
        </w:r>
        <w:r>
          <w:t>28</w:t>
        </w:r>
        <w:r>
          <w:fldChar w:fldCharType="end"/>
        </w:r>
      </w:hyperlink>
    </w:p>
    <w:p>
      <w:pPr>
        <w:pStyle w:val="TOC2"/>
        <w:tabs>
          <w:tab w:val="right" w:leader="dot" w:pos="8296"/>
        </w:tabs>
        <w:rPr>
          <w:rFonts w:asciiTheme="minorHAnsi" w:hAnsiTheme="minorHAnsi"/>
          <w:noProof/>
          <w:sz w:val="22"/>
        </w:rPr>
      </w:pPr>
      <w:hyperlink w:anchor="_Toc256000026" w:history="1">
        <w:r>
          <w:rPr>
            <w:rStyle w:val="Hyperlink"/>
            <w:rFonts w:ascii="黑体" w:eastAsia="黑体" w:hAnsi="黑体" w:hint="eastAsia"/>
          </w:rPr>
          <w:t>九、其他重要事项说明</w:t>
        </w:r>
        <w:r>
          <w:tab/>
        </w:r>
        <w:r>
          <w:fldChar w:fldCharType="begin"/>
        </w:r>
        <w:r>
          <w:instrText xml:space="preserve"> PAGEREF _Toc256000026 \h </w:instrText>
        </w:r>
        <w:r>
          <w:fldChar w:fldCharType="separate"/>
        </w:r>
        <w:r>
          <w:t>28</w:t>
        </w:r>
        <w:r>
          <w:fldChar w:fldCharType="end"/>
        </w:r>
      </w:hyperlink>
    </w:p>
    <w:p>
      <w:pPr>
        <w:pStyle w:val="TOC1"/>
        <w:tabs>
          <w:tab w:val="right" w:leader="dot" w:pos="8296"/>
        </w:tabs>
        <w:rPr>
          <w:rFonts w:asciiTheme="minorHAnsi" w:hAnsiTheme="minorHAnsi"/>
          <w:noProof/>
          <w:sz w:val="22"/>
        </w:rPr>
      </w:pPr>
      <w:hyperlink w:anchor="_Toc256000027" w:history="1">
        <w:r>
          <w:rPr>
            <w:rStyle w:val="Hyperlink"/>
            <w:rFonts w:ascii="黑体" w:eastAsia="黑体" w:hAnsi="黑体" w:hint="eastAsia"/>
          </w:rPr>
          <w:t>第四部分</w:t>
        </w:r>
        <w:r>
          <w:tab/>
        </w:r>
        <w:r>
          <w:fldChar w:fldCharType="begin"/>
        </w:r>
        <w:r>
          <w:instrText xml:space="preserve"> PAGEREF _Toc256000027 \h </w:instrText>
        </w:r>
        <w:r>
          <w:fldChar w:fldCharType="separate"/>
        </w:r>
        <w:r>
          <w:t>30</w:t>
        </w:r>
        <w:r>
          <w:fldChar w:fldCharType="end"/>
        </w:r>
      </w:hyperlink>
    </w:p>
    <w:p>
      <w:pPr>
        <w:pStyle w:val="TOC1"/>
        <w:tabs>
          <w:tab w:val="right" w:leader="dot" w:pos="8296"/>
        </w:tabs>
        <w:rPr>
          <w:rFonts w:asciiTheme="minorHAnsi" w:hAnsiTheme="minorHAnsi"/>
          <w:noProof/>
          <w:sz w:val="22"/>
        </w:rPr>
      </w:pPr>
      <w:hyperlink w:anchor="_Toc256000028" w:history="1">
        <w:r>
          <w:rPr>
            <w:rStyle w:val="Hyperlink"/>
            <w:rFonts w:ascii="黑体" w:eastAsia="黑体" w:hAnsi="黑体" w:hint="eastAsia"/>
          </w:rPr>
          <w:t>名词解释</w:t>
        </w:r>
        <w:r>
          <w:tab/>
        </w:r>
        <w:r>
          <w:fldChar w:fldCharType="begin"/>
        </w:r>
        <w:r>
          <w:instrText xml:space="preserve"> PAGEREF _Toc256000028 \h </w:instrText>
        </w:r>
        <w:r>
          <w:fldChar w:fldCharType="separate"/>
        </w:r>
        <w:r>
          <w:t>30</w:t>
        </w:r>
        <w:r>
          <w:fldChar w:fldCharType="end"/>
        </w:r>
      </w:hyperlink>
    </w:p>
    <w:p>
      <w:pPr>
        <w:pStyle w:val="TOC1"/>
        <w:tabs>
          <w:tab w:val="right" w:leader="dot" w:pos="8296"/>
        </w:tabs>
        <w:rPr>
          <w:rFonts w:asciiTheme="minorHAnsi" w:hAnsiTheme="minorHAnsi"/>
          <w:noProof/>
          <w:sz w:val="22"/>
        </w:rPr>
      </w:pPr>
      <w:hyperlink w:anchor="_Toc256000029" w:history="1">
        <w:r>
          <w:rPr>
            <w:rStyle w:val="Hyperlink"/>
            <w:rFonts w:ascii="黑体" w:eastAsia="黑体" w:hAnsi="黑体" w:hint="eastAsia"/>
          </w:rPr>
          <w:t>第五部分</w:t>
        </w:r>
        <w:r>
          <w:tab/>
        </w:r>
        <w:r>
          <w:fldChar w:fldCharType="begin"/>
        </w:r>
        <w:r>
          <w:instrText xml:space="preserve"> PAGEREF _Toc256000029 \h </w:instrText>
        </w:r>
        <w:r>
          <w:fldChar w:fldCharType="separate"/>
        </w:r>
        <w:r>
          <w:t>33</w:t>
        </w:r>
        <w:r>
          <w:fldChar w:fldCharType="end"/>
        </w:r>
      </w:hyperlink>
    </w:p>
    <w:p>
      <w:pPr>
        <w:pStyle w:val="TOC2"/>
        <w:tabs>
          <w:tab w:val="right" w:leader="dot" w:pos="8296"/>
        </w:tabs>
        <w:rPr>
          <w:rFonts w:asciiTheme="minorHAnsi" w:hAnsiTheme="minorHAnsi"/>
          <w:noProof/>
          <w:sz w:val="22"/>
        </w:rPr>
      </w:pPr>
      <w:hyperlink w:anchor="_Toc256000030" w:history="1">
        <w:r>
          <w:rPr>
            <w:rStyle w:val="Hyperlink"/>
            <w:rFonts w:ascii="黑体" w:eastAsia="黑体" w:hAnsi="黑体" w:hint="eastAsia"/>
          </w:rPr>
          <w:t>附件</w:t>
        </w:r>
        <w:r>
          <w:tab/>
        </w:r>
        <w:r>
          <w:fldChar w:fldCharType="begin"/>
        </w:r>
        <w:r>
          <w:instrText xml:space="preserve"> PAGEREF _Toc256000030 \h </w:instrText>
        </w:r>
        <w:r>
          <w:fldChar w:fldCharType="separate"/>
        </w:r>
        <w:r>
          <w:t>33</w:t>
        </w:r>
        <w:r>
          <w:fldChar w:fldCharType="end"/>
        </w:r>
      </w:hyperlink>
    </w:p>
    <w:p>
      <w:pPr>
        <w:overflowPunct w:val="0"/>
        <w:autoSpaceDE w:val="0"/>
        <w:autoSpaceDN w:val="0"/>
        <w:jc w:val="left"/>
        <w:rPr>
          <w:rFonts w:ascii="黑体" w:eastAsia="黑体" w:hAnsi="黑体"/>
          <w:sz w:val="36"/>
          <w:szCs w:val="36"/>
        </w:rPr>
        <w:sectPr>
          <w:footerReference w:type="default" r:id="rId12"/>
          <w:type w:val="continuous"/>
          <w:pgSz w:w="11906" w:h="16838"/>
          <w:pgMar w:top="1440" w:right="1800" w:bottom="1440" w:left="1800" w:header="851" w:footer="992" w:gutter="0"/>
          <w:pgNumType w:start="1"/>
          <w:cols w:num="1" w:space="425"/>
          <w:docGrid w:type="lines" w:linePitch="312" w:charSpace="0"/>
        </w:sectPr>
      </w:pPr>
      <w:r>
        <w:rPr>
          <w:rFonts w:ascii="宋体" w:eastAsia="宋体" w:hAnsi="宋体" w:cs="宋体"/>
          <w:kern w:val="0"/>
          <w:szCs w:val="36"/>
        </w:rPr>
        <w:fldChar w:fldCharType="end"/>
      </w:r>
    </w:p>
    <w:p w14:paraId="16F96685">
      <w:pPr>
        <w:pStyle w:val="BodyText"/>
        <w:overflowPunct w:val="0"/>
        <w:jc w:val="both"/>
        <w:rPr>
          <w:rFonts w:ascii="黑体" w:eastAsia="黑体" w:hAnsi="黑体"/>
          <w:sz w:val="36"/>
          <w:szCs w:val="36"/>
          <w:lang w:eastAsia="zh-CN"/>
        </w:rPr>
        <w:sectPr>
          <w:footerReference w:type="default" r:id="rId13"/>
          <w:type w:val="continuous"/>
          <w:pgSz w:w="11906" w:h="16838"/>
          <w:pgMar w:top="1440" w:right="1800" w:bottom="1440" w:left="1800" w:header="851" w:footer="992" w:gutter="0"/>
          <w:pgNumType w:start="1"/>
          <w:cols w:num="1" w:space="425"/>
          <w:docGrid w:type="lines" w:linePitch="312" w:charSpace="0"/>
        </w:sectPr>
      </w:pPr>
    </w:p>
    <w:p w14:paraId="4882F832">
      <w:pPr>
        <w:pStyle w:val="BodyText"/>
        <w:overflowPunct w:val="0"/>
        <w:jc w:val="both"/>
        <w:rPr>
          <w:rFonts w:ascii="黑体" w:eastAsia="黑体" w:hAnsi="黑体"/>
          <w:sz w:val="36"/>
          <w:szCs w:val="36"/>
          <w:lang w:eastAsia="zh-CN"/>
        </w:rPr>
      </w:pPr>
    </w:p>
    <w:p w14:paraId="3877EC18">
      <w:pPr>
        <w:pStyle w:val="BodyText"/>
        <w:overflowPunct w:val="0"/>
        <w:jc w:val="both"/>
        <w:rPr>
          <w:rFonts w:ascii="黑体" w:eastAsia="黑体" w:hAnsi="黑体"/>
          <w:sz w:val="36"/>
          <w:szCs w:val="36"/>
          <w:lang w:eastAsia="zh-CN"/>
        </w:rPr>
      </w:pPr>
    </w:p>
    <w:p w14:paraId="1F10B105">
      <w:pPr>
        <w:pStyle w:val="BodyText"/>
        <w:overflowPunct w:val="0"/>
        <w:jc w:val="center"/>
        <w:rPr>
          <w:rFonts w:ascii="黑体" w:eastAsia="黑体" w:hAnsi="黑体"/>
          <w:sz w:val="36"/>
          <w:szCs w:val="36"/>
          <w:lang w:eastAsia="zh-CN"/>
        </w:rPr>
      </w:pPr>
    </w:p>
    <w:p w14:paraId="615865D1">
      <w:pPr>
        <w:pStyle w:val="BodyText"/>
        <w:overflowPunct w:val="0"/>
        <w:jc w:val="center"/>
        <w:rPr>
          <w:rFonts w:ascii="黑体" w:eastAsia="黑体" w:hAnsi="黑体"/>
          <w:sz w:val="36"/>
          <w:szCs w:val="36"/>
          <w:lang w:eastAsia="zh-CN"/>
        </w:rPr>
      </w:pPr>
    </w:p>
    <w:p w14:paraId="26162C99">
      <w:pPr>
        <w:pStyle w:val="BodyText"/>
        <w:overflowPunct w:val="0"/>
        <w:jc w:val="center"/>
        <w:rPr>
          <w:rFonts w:ascii="黑体" w:eastAsia="黑体" w:hAnsi="黑体"/>
          <w:sz w:val="36"/>
          <w:szCs w:val="36"/>
          <w:lang w:eastAsia="zh-CN"/>
        </w:rPr>
      </w:pPr>
    </w:p>
    <w:p w14:paraId="520832E9">
      <w:pPr>
        <w:pStyle w:val="BodyText"/>
        <w:overflowPunct w:val="0"/>
        <w:jc w:val="both"/>
        <w:rPr>
          <w:rFonts w:ascii="黑体" w:eastAsia="黑体" w:hAnsi="黑体"/>
          <w:sz w:val="36"/>
          <w:szCs w:val="36"/>
          <w:lang w:eastAsia="zh-CN"/>
        </w:rPr>
      </w:pPr>
    </w:p>
    <w:p w14:paraId="5F8B4429">
      <w:pPr>
        <w:pStyle w:val="BodyText"/>
        <w:overflowPunct w:val="0"/>
        <w:jc w:val="both"/>
        <w:rPr>
          <w:rFonts w:ascii="黑体" w:eastAsia="黑体" w:hAnsi="黑体"/>
          <w:sz w:val="36"/>
          <w:szCs w:val="36"/>
          <w:lang w:eastAsia="zh-CN"/>
        </w:rPr>
      </w:pPr>
    </w:p>
    <w:p w14:paraId="1F143403">
      <w:pPr>
        <w:pStyle w:val="BodyText"/>
        <w:overflowPunct w:val="0"/>
        <w:jc w:val="both"/>
        <w:rPr>
          <w:rFonts w:ascii="黑体" w:eastAsia="黑体" w:hAnsi="黑体"/>
          <w:sz w:val="36"/>
          <w:szCs w:val="36"/>
          <w:lang w:eastAsia="zh-CN"/>
        </w:rPr>
      </w:pPr>
    </w:p>
    <w:p w14:paraId="20A4126A">
      <w:pPr>
        <w:pStyle w:val="BodyText"/>
        <w:overflowPunct w:val="0"/>
        <w:jc w:val="both"/>
        <w:rPr>
          <w:rFonts w:ascii="黑体" w:eastAsia="黑体" w:hAnsi="黑体"/>
          <w:sz w:val="36"/>
          <w:szCs w:val="36"/>
          <w:lang w:eastAsia="zh-CN"/>
        </w:rPr>
      </w:pPr>
    </w:p>
    <w:p w14:paraId="619FBD11">
      <w:pPr>
        <w:pStyle w:val="BodyText"/>
        <w:overflowPunct w:val="0"/>
        <w:outlineLvl w:val="0"/>
        <w:rPr>
          <w:rFonts w:ascii="黑体" w:eastAsia="黑体" w:hAnsi="黑体"/>
          <w:sz w:val="56"/>
          <w:szCs w:val="36"/>
          <w:lang w:eastAsia="zh-CN"/>
        </w:rPr>
      </w:pPr>
      <w:bookmarkStart w:id="0" w:name="_Toc256000000"/>
      <w:r>
        <w:rPr>
          <w:rFonts w:ascii="黑体" w:eastAsia="黑体" w:hAnsi="黑体" w:hint="eastAsia"/>
          <w:sz w:val="56"/>
          <w:szCs w:val="36"/>
          <w:lang w:eastAsia="zh-CN"/>
        </w:rPr>
        <w:t>第一部分</w:t>
      </w:r>
      <w:bookmarkEnd w:id="0"/>
    </w:p>
    <w:p w14:paraId="1478771D">
      <w:pPr>
        <w:pStyle w:val="BodyText"/>
        <w:overflowPunct w:val="0"/>
        <w:jc w:val="center"/>
        <w:outlineLvl w:val="0"/>
        <w:rPr>
          <w:rFonts w:ascii="黑体" w:eastAsia="黑体" w:hAnsi="黑体"/>
          <w:sz w:val="56"/>
          <w:szCs w:val="36"/>
          <w:lang w:eastAsia="zh-CN"/>
        </w:rPr>
      </w:pPr>
      <w:bookmarkStart w:id="1" w:name="_Toc256000001"/>
      <w:r>
        <w:rPr>
          <w:rFonts w:ascii="黑体" w:eastAsia="黑体" w:hAnsi="黑体" w:cs="黑体" w:hint="eastAsia"/>
          <w:bCs/>
          <w:sz w:val="56"/>
          <w:lang w:eastAsia="zh-CN"/>
        </w:rPr>
        <w:t>单位</w:t>
      </w:r>
      <w:r>
        <w:rPr>
          <w:rFonts w:ascii="黑体" w:eastAsia="黑体" w:hAnsi="黑体" w:cs="黑体"/>
          <w:sz w:val="56"/>
          <w:u w:color="auto"/>
        </w:rPr>
        <w:t>概况</w:t>
      </w:r>
      <w:bookmarkEnd w:id="1"/>
    </w:p>
    <w:p w14:paraId="0FAC28CB">
      <w:pPr>
        <w:overflowPunct w:val="0"/>
        <w:autoSpaceDE w:val="0"/>
        <w:autoSpaceDN w:val="0"/>
        <w:jc w:val="center"/>
        <w:rPr>
          <w:rFonts w:ascii="黑体" w:eastAsia="黑体" w:hAnsi="黑体"/>
          <w:sz w:val="36"/>
          <w:szCs w:val="36"/>
        </w:rPr>
      </w:pPr>
    </w:p>
    <w:p w14:paraId="6273ADD8">
      <w:pPr>
        <w:widowControl/>
        <w:overflowPunct w:val="0"/>
        <w:autoSpaceDE w:val="0"/>
        <w:autoSpaceDN w:val="0"/>
        <w:spacing w:line="240" w:lineRule="auto"/>
        <w:jc w:val="left"/>
        <w:rPr>
          <w:rFonts w:ascii="黑体" w:eastAsia="黑体" w:hAnsi="黑体"/>
          <w:sz w:val="32"/>
          <w:szCs w:val="32"/>
        </w:rPr>
      </w:pPr>
      <w:r>
        <w:rPr>
          <w:rFonts w:ascii="黑体" w:eastAsia="黑体" w:hAnsi="黑体"/>
          <w:sz w:val="32"/>
          <w:szCs w:val="32"/>
        </w:rPr>
        <w:br w:type="page"/>
      </w:r>
    </w:p>
    <w:p w14:paraId="2EC7EB06">
      <w:pPr>
        <w:suppressAutoHyphens/>
        <w:wordWrap w:val="0"/>
        <w:topLinePunct/>
        <w:spacing w:line="600" w:lineRule="exact"/>
        <w:ind w:firstLine="640" w:firstLineChars="200"/>
        <w:outlineLvl w:val="1"/>
        <w:rPr>
          <w:rFonts w:ascii="黑体" w:eastAsia="黑体" w:hAnsi="黑体"/>
          <w:sz w:val="32"/>
          <w:szCs w:val="32"/>
        </w:rPr>
      </w:pPr>
      <w:bookmarkStart w:id="2" w:name="_Toc256000002"/>
      <w:r>
        <w:rPr>
          <w:rFonts w:ascii="黑体" w:eastAsia="黑体" w:hAnsi="黑体" w:hint="eastAsia"/>
          <w:sz w:val="32"/>
          <w:szCs w:val="32"/>
        </w:rPr>
        <w:t>一、</w:t>
      </w:r>
      <w:r>
        <w:rPr>
          <w:rFonts w:ascii="黑体" w:eastAsia="黑体" w:hAnsi="黑体" w:cs="黑体" w:hint="eastAsia"/>
          <w:bCs/>
          <w:sz w:val="32"/>
          <w:szCs w:val="32"/>
        </w:rPr>
        <w:t>单位</w:t>
      </w:r>
      <w:r>
        <w:rPr>
          <w:rFonts w:ascii="黑体" w:eastAsia="黑体" w:hAnsi="黑体" w:hint="eastAsia"/>
          <w:sz w:val="32"/>
          <w:szCs w:val="32"/>
        </w:rPr>
        <w:t>主要职责</w:t>
      </w:r>
      <w:bookmarkEnd w:id="2"/>
    </w:p>
    <w:p w14:paraId="16840D60">
      <w:pPr>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hint="eastAsia"/>
          <w:sz w:val="32"/>
          <w:szCs w:val="32"/>
        </w:rPr>
        <w:t>福州市马尾第一中学</w:t>
      </w:r>
      <w:r>
        <w:rPr>
          <w:rFonts w:ascii="仿宋" w:eastAsia="仿宋" w:hAnsi="仿宋"/>
          <w:sz w:val="32"/>
          <w:u w:color="auto"/>
        </w:rPr>
        <w:t>单位</w:t>
      </w:r>
      <w:r>
        <w:rPr>
          <w:rFonts w:ascii="仿宋" w:eastAsia="仿宋" w:hAnsi="仿宋"/>
          <w:sz w:val="32"/>
          <w:u w:color="auto"/>
        </w:rPr>
        <w:t>的主要职责是：</w:t>
      </w:r>
      <w:r>
        <w:rPr>
          <w:rFonts w:ascii="仿宋" w:eastAsia="仿宋" w:hAnsi="仿宋" w:cs="仿宋"/>
          <w:sz w:val="32"/>
          <w:u w:color="auto"/>
        </w:rPr>
        <w:t>研究拟定全校教育发展计划，贯彻执行党和国家的教育方针、政策、法规。</w:t>
      </w:r>
    </w:p>
    <w:p w14:paraId="2909407D">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 w:hint="eastAsia"/>
          <w:sz w:val="32"/>
          <w:szCs w:val="32"/>
        </w:rPr>
        <w:t>（一）</w:t>
      </w:r>
      <w:r>
        <w:rPr>
          <w:rFonts w:ascii="仿宋" w:eastAsia="仿宋" w:hAnsi="仿宋" w:cs="仿宋"/>
          <w:sz w:val="32"/>
          <w:u w:color="auto"/>
        </w:rPr>
        <w:t>研究拟定学校发展规划和年度计划。</w:t>
      </w:r>
    </w:p>
    <w:p>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 w:hint="eastAsia"/>
          <w:sz w:val="32"/>
          <w:szCs w:val="32"/>
        </w:rPr>
        <w:t>（二）</w:t>
      </w:r>
      <w:r>
        <w:rPr>
          <w:rFonts w:ascii="仿宋" w:eastAsia="仿宋" w:hAnsi="仿宋" w:cs="仿宋"/>
          <w:sz w:val="32"/>
          <w:u w:color="auto"/>
        </w:rPr>
        <w:t>管理和指导学校基础教育工作，夯实义务教育成果。</w:t>
      </w:r>
    </w:p>
    <w:p>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 w:hint="eastAsia"/>
          <w:sz w:val="32"/>
          <w:szCs w:val="32"/>
        </w:rPr>
        <w:t>（三）</w:t>
      </w:r>
      <w:r>
        <w:rPr>
          <w:rFonts w:ascii="仿宋" w:eastAsia="仿宋" w:hAnsi="仿宋" w:cs="仿宋"/>
          <w:sz w:val="32"/>
          <w:u w:color="auto"/>
        </w:rPr>
        <w:t>坚持以教学为中心，不断研究和改进教学方法，不断提高教学质量水平。</w:t>
      </w:r>
    </w:p>
    <w:p w14:paraId="56605F2F">
      <w:pPr>
        <w:suppressAutoHyphens/>
        <w:kinsoku w:val="0"/>
        <w:overflowPunct w:val="0"/>
        <w:autoSpaceDE w:val="0"/>
        <w:autoSpaceDN w:val="0"/>
        <w:spacing w:line="600" w:lineRule="exact"/>
        <w:ind w:firstLine="640" w:firstLineChars="200"/>
        <w:outlineLvl w:val="1"/>
        <w:rPr>
          <w:rFonts w:ascii="黑体" w:eastAsia="黑体" w:hAnsi="黑体"/>
          <w:sz w:val="32"/>
          <w:szCs w:val="32"/>
        </w:rPr>
      </w:pPr>
      <w:bookmarkStart w:id="3" w:name="_Toc9762"/>
      <w:bookmarkStart w:id="4" w:name="_Toc256000003"/>
      <w:r>
        <w:rPr>
          <w:rFonts w:ascii="黑体" w:eastAsia="黑体" w:hAnsi="黑体" w:hint="eastAsia"/>
          <w:sz w:val="32"/>
          <w:szCs w:val="32"/>
        </w:rPr>
        <w:t>二、</w:t>
      </w:r>
      <w:bookmarkEnd w:id="3"/>
      <w:r>
        <w:rPr>
          <w:rFonts w:ascii="黑体" w:eastAsia="黑体" w:hAnsi="黑体" w:hint="eastAsia"/>
          <w:sz w:val="32"/>
          <w:szCs w:val="32"/>
        </w:rPr>
        <w:t>单位基本情况</w:t>
      </w:r>
      <w:bookmarkEnd w:id="4"/>
    </w:p>
    <w:p w14:paraId="0633021A">
      <w:pPr>
        <w:tabs>
          <w:tab w:val="left" w:pos="7513"/>
        </w:tabs>
        <w:suppressAutoHyphens/>
        <w:kinsoku w:val="0"/>
        <w:overflowPunct w:val="0"/>
        <w:autoSpaceDE w:val="0"/>
        <w:autoSpaceDN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
          <w:sz w:val="32"/>
        </w:rPr>
        <w:t>从</w:t>
      </w:r>
      <w:r>
        <w:rPr>
          <w:rFonts w:ascii="仿宋" w:eastAsia="仿宋" w:hAnsi="仿宋" w:cs="仿宋" w:hint="eastAsia"/>
          <w:sz w:val="32"/>
        </w:rPr>
        <w:t>决算</w:t>
      </w:r>
      <w:r>
        <w:rPr>
          <w:rFonts w:ascii="仿宋" w:eastAsia="仿宋" w:hAnsi="仿宋" w:cs="仿宋"/>
          <w:sz w:val="32"/>
        </w:rPr>
        <w:t>单位构成看，</w:t>
      </w:r>
      <w:r>
        <w:rPr>
          <w:rFonts w:ascii="仿宋" w:eastAsia="仿宋" w:hAnsi="仿宋" w:hint="eastAsia"/>
          <w:sz w:val="32"/>
          <w:szCs w:val="32"/>
        </w:rPr>
        <w:t>本单位</w:t>
      </w:r>
      <w:r>
        <w:rPr>
          <w:rFonts w:ascii="仿宋" w:eastAsia="仿宋" w:hAnsi="仿宋"/>
          <w:sz w:val="32"/>
          <w:u w:color="auto"/>
        </w:rPr>
        <w:t>包括</w:t>
      </w:r>
      <w:r>
        <w:rPr>
          <w:rFonts w:ascii="仿宋" w:eastAsia="仿宋" w:hAnsi="仿宋"/>
          <w:sz w:val="32"/>
          <w:u w:color="auto"/>
        </w:rPr>
        <w:t>0</w:t>
      </w:r>
      <w:r>
        <w:rPr>
          <w:rFonts w:ascii="仿宋" w:eastAsia="仿宋" w:hAnsi="仿宋"/>
          <w:sz w:val="32"/>
          <w:u w:color="auto"/>
        </w:rPr>
        <w:t>个内设机构，</w:t>
      </w:r>
      <w:r>
        <w:rPr>
          <w:rFonts w:ascii="仿宋" w:eastAsia="仿宋" w:hAnsi="仿宋" w:cs="仿宋"/>
          <w:sz w:val="32"/>
        </w:rPr>
        <w:t>其中：列入</w:t>
      </w:r>
      <w:r>
        <w:rPr>
          <w:rFonts w:ascii="仿宋" w:eastAsia="仿宋" w:hAnsi="仿宋" w:cs="仿宋" w:hint="eastAsia"/>
          <w:sz w:val="32"/>
        </w:rPr>
        <w:t>2024</w:t>
      </w:r>
      <w:r>
        <w:rPr>
          <w:rFonts w:ascii="仿宋" w:eastAsia="仿宋" w:hAnsi="仿宋" w:cs="仿宋"/>
          <w:sz w:val="32"/>
        </w:rPr>
        <w:t>年</w:t>
      </w:r>
      <w:r>
        <w:rPr>
          <w:rFonts w:ascii="仿宋" w:eastAsia="仿宋" w:hAnsi="仿宋" w:hint="eastAsia"/>
          <w:sz w:val="32"/>
          <w:szCs w:val="32"/>
        </w:rPr>
        <w:t>决</w:t>
      </w:r>
      <w:r>
        <w:rPr>
          <w:rFonts w:ascii="仿宋" w:eastAsia="仿宋" w:hAnsi="仿宋" w:cs="仿宋"/>
          <w:sz w:val="32"/>
        </w:rPr>
        <w:t>算编制范围的单位详细情况见下表:</w:t>
      </w:r>
    </w:p>
    <w:tbl>
      <w:tblPr>
        <w:tblStyle w:val="TableNormal"/>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02"/>
        <w:gridCol w:w="1658"/>
        <w:gridCol w:w="1509"/>
      </w:tblGrid>
      <w:tr w14:paraId="06D9DE64">
        <w:tblPrEx>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002" w:type="dxa"/>
            <w:shd w:val="clear" w:color="auto" w:fill="auto"/>
            <w:vAlign w:val="center"/>
          </w:tcPr>
          <w:p w14:paraId="655051D0">
            <w:pPr>
              <w:tabs>
                <w:tab w:val="left" w:pos="7513"/>
              </w:tabs>
              <w:suppressAutoHyphens/>
              <w:kinsoku w:val="0"/>
              <w:overflowPunct w:val="0"/>
              <w:autoSpaceDE w:val="0"/>
              <w:autoSpaceDN w:val="0"/>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单位名称</w:t>
            </w:r>
          </w:p>
        </w:tc>
        <w:tc>
          <w:tcPr>
            <w:tcW w:w="1658" w:type="dxa"/>
            <w:shd w:val="clear" w:color="auto" w:fill="auto"/>
            <w:vAlign w:val="center"/>
          </w:tcPr>
          <w:p w14:paraId="3726C4C0">
            <w:pPr>
              <w:tabs>
                <w:tab w:val="left" w:pos="7513"/>
              </w:tabs>
              <w:suppressAutoHyphens/>
              <w:kinsoku w:val="0"/>
              <w:overflowPunct w:val="0"/>
              <w:autoSpaceDE w:val="0"/>
              <w:autoSpaceDN w:val="0"/>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单位性质</w:t>
            </w:r>
          </w:p>
        </w:tc>
        <w:tc>
          <w:tcPr>
            <w:tcW w:w="1509" w:type="dxa"/>
            <w:shd w:val="clear" w:color="auto" w:fill="auto"/>
            <w:vAlign w:val="center"/>
          </w:tcPr>
          <w:p w14:paraId="5EB38CD2">
            <w:pPr>
              <w:tabs>
                <w:tab w:val="left" w:pos="7513"/>
              </w:tabs>
              <w:suppressAutoHyphens/>
              <w:kinsoku w:val="0"/>
              <w:overflowPunct w:val="0"/>
              <w:autoSpaceDE w:val="0"/>
              <w:autoSpaceDN w:val="0"/>
              <w:adjustRightInd w:val="0"/>
              <w:snapToGrid w:val="0"/>
              <w:spacing w:line="600" w:lineRule="exact"/>
              <w:jc w:val="center"/>
              <w:rPr>
                <w:rFonts w:ascii="仿宋" w:eastAsia="仿宋" w:hAnsi="仿宋"/>
                <w:sz w:val="32"/>
                <w:szCs w:val="32"/>
              </w:rPr>
            </w:pPr>
            <w:r>
              <w:rPr>
                <w:rFonts w:ascii="仿宋" w:eastAsia="仿宋" w:hAnsi="仿宋" w:hint="eastAsia"/>
                <w:sz w:val="32"/>
                <w:szCs w:val="32"/>
              </w:rPr>
              <w:t>在职人数</w:t>
            </w:r>
          </w:p>
        </w:tc>
      </w:tr>
      <w:tr w14:paraId="46E84D62">
        <w:tblPrEx>
          <w:tblW w:w="8169" w:type="dxa"/>
          <w:jc w:val="center"/>
          <w:tblLayout w:type="fixed"/>
          <w:tblCellMar>
            <w:top w:w="0" w:type="dxa"/>
            <w:left w:w="108" w:type="dxa"/>
            <w:bottom w:w="0" w:type="dxa"/>
            <w:right w:w="108" w:type="dxa"/>
          </w:tblCellMar>
        </w:tblPrEx>
        <w:trPr>
          <w:jc w:val="center"/>
        </w:trPr>
        <w:tc>
          <w:tcPr>
            <w:tcW w:w="5002" w:type="dxa"/>
            <w:shd w:val="clear" w:color="auto" w:fill="auto"/>
            <w:vAlign w:val="center"/>
          </w:tcPr>
          <w:p w14:paraId="657338D6">
            <w:pPr>
              <w:suppressAutoHyphens/>
              <w:kinsoku w:val="0"/>
              <w:overflowPunct w:val="0"/>
              <w:autoSpaceDE w:val="0"/>
              <w:autoSpaceDN w:val="0"/>
              <w:spacing w:line="600" w:lineRule="exact"/>
              <w:jc w:val="center"/>
              <w:rPr>
                <w:rFonts w:ascii="仿宋" w:eastAsia="仿宋" w:hAnsi="仿宋"/>
                <w:position w:val="-1"/>
                <w:sz w:val="32"/>
              </w:rPr>
            </w:pPr>
            <w:r>
              <w:rPr>
                <w:rFonts w:ascii="仿宋" w:eastAsia="仿宋" w:hAnsi="仿宋" w:hint="eastAsia"/>
                <w:position w:val="-1"/>
                <w:sz w:val="32"/>
              </w:rPr>
              <w:t>福州市马尾第一中学</w:t>
            </w:r>
          </w:p>
        </w:tc>
        <w:tc>
          <w:tcPr>
            <w:tcW w:w="1658" w:type="dxa"/>
            <w:shd w:val="clear" w:color="auto" w:fill="auto"/>
            <w:vAlign w:val="center"/>
          </w:tcPr>
          <w:p w14:paraId="2ED7A6EE">
            <w:pPr>
              <w:suppressAutoHyphens/>
              <w:kinsoku w:val="0"/>
              <w:overflowPunct w:val="0"/>
              <w:autoSpaceDE w:val="0"/>
              <w:autoSpaceDN w:val="0"/>
              <w:spacing w:line="600" w:lineRule="exact"/>
              <w:jc w:val="center"/>
              <w:rPr>
                <w:rFonts w:ascii="仿宋" w:eastAsia="仿宋" w:hAnsi="仿宋"/>
                <w:position w:val="-1"/>
                <w:sz w:val="32"/>
              </w:rPr>
            </w:pPr>
            <w:r>
              <w:rPr>
                <w:rFonts w:ascii="仿宋" w:eastAsia="仿宋" w:hAnsi="仿宋" w:hint="eastAsia"/>
                <w:position w:val="-1"/>
                <w:sz w:val="32"/>
              </w:rPr>
              <w:t>事业单位</w:t>
            </w:r>
          </w:p>
        </w:tc>
        <w:tc>
          <w:tcPr>
            <w:tcW w:w="1509" w:type="dxa"/>
            <w:shd w:val="clear" w:color="auto" w:fill="auto"/>
            <w:vAlign w:val="center"/>
          </w:tcPr>
          <w:p w14:paraId="6139F223">
            <w:pPr>
              <w:suppressAutoHyphens/>
              <w:kinsoku w:val="0"/>
              <w:overflowPunct w:val="0"/>
              <w:autoSpaceDE w:val="0"/>
              <w:autoSpaceDN w:val="0"/>
              <w:spacing w:line="600" w:lineRule="exact"/>
              <w:jc w:val="center"/>
              <w:rPr>
                <w:rFonts w:ascii="仿宋" w:eastAsia="仿宋" w:hAnsi="仿宋"/>
                <w:position w:val="-1"/>
                <w:sz w:val="32"/>
              </w:rPr>
            </w:pPr>
            <w:r>
              <w:rPr>
                <w:rFonts w:ascii="仿宋" w:eastAsia="仿宋" w:hAnsi="仿宋" w:hint="eastAsia"/>
                <w:position w:val="-1"/>
                <w:sz w:val="32"/>
              </w:rPr>
              <w:t>214</w:t>
            </w:r>
          </w:p>
        </w:tc>
      </w:tr>
    </w:tbl>
    <w:p w14:paraId="23FF53D2">
      <w:pPr>
        <w:suppressAutoHyphens/>
        <w:wordWrap w:val="0"/>
        <w:topLinePunct/>
        <w:spacing w:line="600" w:lineRule="exact"/>
        <w:ind w:firstLine="640" w:firstLineChars="200"/>
        <w:outlineLvl w:val="1"/>
        <w:rPr>
          <w:rFonts w:ascii="黑体" w:eastAsia="黑体" w:hAnsi="黑体"/>
          <w:sz w:val="32"/>
          <w:szCs w:val="32"/>
        </w:rPr>
      </w:pPr>
      <w:bookmarkStart w:id="5" w:name="_Toc256000004"/>
      <w:r>
        <w:rPr>
          <w:rFonts w:ascii="黑体" w:eastAsia="黑体" w:hAnsi="黑体" w:hint="eastAsia"/>
          <w:sz w:val="32"/>
          <w:szCs w:val="32"/>
        </w:rPr>
        <w:t>三、</w:t>
      </w:r>
      <w:r>
        <w:rPr>
          <w:rFonts w:ascii="黑体" w:eastAsia="黑体" w:hAnsi="黑体"/>
          <w:sz w:val="32"/>
          <w:u w:color="auto"/>
        </w:rPr>
        <w:t>单位</w:t>
      </w:r>
      <w:r>
        <w:rPr>
          <w:rFonts w:ascii="黑体" w:eastAsia="黑体" w:hAnsi="黑体"/>
          <w:sz w:val="32"/>
          <w:u w:color="auto"/>
        </w:rPr>
        <w:t>主要工作总结</w:t>
      </w:r>
      <w:bookmarkEnd w:id="5"/>
    </w:p>
    <w:p w14:paraId="0CFD6B57">
      <w:pPr>
        <w:suppressAutoHyphens/>
        <w:topLinePunct/>
        <w:autoSpaceDE w:val="0"/>
        <w:spacing w:line="600" w:lineRule="exact"/>
        <w:ind w:firstLine="640" w:firstLineChars="200"/>
        <w:rPr>
          <w:rFonts w:ascii="仿宋" w:eastAsia="仿宋" w:hAnsi="仿宋"/>
          <w:sz w:val="32"/>
          <w:szCs w:val="32"/>
        </w:rPr>
      </w:pPr>
      <w:r>
        <w:rPr>
          <w:rFonts w:ascii="仿宋" w:eastAsia="仿宋" w:hAnsi="仿宋" w:cs="仿宋" w:hint="eastAsia"/>
          <w:sz w:val="32"/>
        </w:rPr>
        <w:t>2024</w:t>
      </w:r>
      <w:r>
        <w:rPr>
          <w:rFonts w:ascii="仿宋" w:eastAsia="仿宋" w:hAnsi="仿宋" w:hint="eastAsia"/>
          <w:sz w:val="32"/>
          <w:szCs w:val="32"/>
        </w:rPr>
        <w:t>年，</w:t>
      </w:r>
      <w:r>
        <w:rPr>
          <w:rFonts w:ascii="仿宋" w:eastAsia="仿宋" w:hAnsi="仿宋"/>
          <w:sz w:val="32"/>
          <w:u w:color="auto"/>
        </w:rPr>
        <w:t>福州市马尾第一中学</w:t>
      </w:r>
      <w:r>
        <w:rPr>
          <w:rFonts w:ascii="仿宋" w:eastAsia="仿宋" w:hAnsi="仿宋"/>
          <w:sz w:val="32"/>
          <w:u w:color="auto"/>
        </w:rPr>
        <w:t>单位</w:t>
      </w:r>
      <w:r>
        <w:rPr>
          <w:rFonts w:ascii="仿宋" w:eastAsia="仿宋" w:hAnsi="仿宋"/>
          <w:sz w:val="32"/>
          <w:u w:color="auto"/>
        </w:rPr>
        <w:t>主要任务是：</w:t>
      </w:r>
      <w:r>
        <w:rPr>
          <w:rFonts w:ascii="仿宋" w:eastAsia="仿宋" w:hAnsi="仿宋" w:cs="仿宋_GB2312" w:hint="eastAsia"/>
          <w:sz w:val="32"/>
          <w:szCs w:val="32"/>
        </w:rPr>
        <w:t>贯彻勤俭办校的方针，建立健全各项规章制度，加强对学校的管理</w:t>
      </w:r>
      <w:r>
        <w:rPr>
          <w:rFonts w:ascii="仿宋" w:eastAsia="仿宋" w:hAnsi="仿宋" w:hint="eastAsia"/>
          <w:sz w:val="32"/>
          <w:szCs w:val="32"/>
        </w:rPr>
        <w:t>。围绕上述任务，重点完成了以下工作：</w:t>
      </w:r>
    </w:p>
    <w:p w14:paraId="44D943D0">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_GB2312" w:hint="eastAsia"/>
          <w:sz w:val="32"/>
          <w:szCs w:val="32"/>
        </w:rPr>
        <w:t>（一）</w:t>
      </w:r>
      <w:r>
        <w:rPr>
          <w:rFonts w:ascii="仿宋" w:eastAsia="仿宋" w:hAnsi="仿宋" w:cs="仿宋"/>
          <w:sz w:val="32"/>
          <w:u w:color="auto"/>
        </w:rPr>
        <w:t>总结上年实际情况，编制的新年度预算更加切合我校实际。</w:t>
      </w:r>
    </w:p>
    <w:p>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
          <w:sz w:val="32"/>
          <w:u w:color="auto"/>
        </w:rPr>
        <w:t>积极开展教师培训，加强师资队伍建设，不断提高师资队伍建设。</w:t>
      </w:r>
    </w:p>
    <w:p>
      <w:pPr>
        <w:suppressAutoHyphens/>
        <w:topLinePunct/>
        <w:autoSpaceDE w:val="0"/>
        <w:spacing w:line="600" w:lineRule="exact"/>
        <w:ind w:firstLine="640" w:firstLineChars="200"/>
        <w:jc w:val="left"/>
        <w:rPr>
          <w:rFonts w:ascii="仿宋" w:eastAsia="仿宋" w:hAnsi="仿宋" w:cs="仿宋_GB2312"/>
          <w:sz w:val="32"/>
          <w:szCs w:val="32"/>
        </w:rPr>
      </w:pPr>
      <w:r>
        <w:rPr>
          <w:rFonts w:ascii="仿宋" w:eastAsia="仿宋" w:hAnsi="仿宋" w:cs="仿宋_GB2312" w:hint="eastAsia"/>
          <w:sz w:val="32"/>
          <w:szCs w:val="32"/>
        </w:rPr>
        <w:t>（三）</w:t>
      </w:r>
      <w:r>
        <w:rPr>
          <w:rFonts w:ascii="仿宋" w:eastAsia="仿宋" w:hAnsi="仿宋" w:cs="仿宋"/>
          <w:sz w:val="32"/>
          <w:u w:color="auto"/>
        </w:rPr>
        <w:t>努力提高后勤质量，着力改善校园环境及办学条件。</w:t>
      </w:r>
    </w:p>
    <w:p w14:paraId="3A4D57B4">
      <w:pPr>
        <w:widowControl/>
        <w:overflowPunct w:val="0"/>
        <w:autoSpaceDE w:val="0"/>
        <w:autoSpaceDN w:val="0"/>
        <w:spacing w:line="240" w:lineRule="auto"/>
        <w:jc w:val="left"/>
        <w:rPr>
          <w:rFonts w:ascii="黑体" w:eastAsia="黑体" w:hAnsi="黑体"/>
          <w:sz w:val="36"/>
          <w:szCs w:val="36"/>
        </w:rPr>
      </w:pPr>
      <w:r>
        <w:rPr>
          <w:rFonts w:ascii="黑体" w:eastAsia="黑体" w:hAnsi="黑体"/>
          <w:sz w:val="36"/>
          <w:szCs w:val="36"/>
        </w:rPr>
        <w:br w:type="page"/>
      </w:r>
    </w:p>
    <w:p w14:paraId="1AEE1661">
      <w:pPr>
        <w:pStyle w:val="BodyText"/>
        <w:overflowPunct w:val="0"/>
        <w:jc w:val="center"/>
        <w:rPr>
          <w:rFonts w:ascii="黑体" w:eastAsia="黑体" w:hAnsi="黑体"/>
          <w:sz w:val="36"/>
          <w:szCs w:val="36"/>
          <w:lang w:eastAsia="zh-CN"/>
        </w:rPr>
      </w:pPr>
    </w:p>
    <w:p w14:paraId="7DC13C35">
      <w:pPr>
        <w:pStyle w:val="BodyText"/>
        <w:overflowPunct w:val="0"/>
        <w:jc w:val="center"/>
        <w:rPr>
          <w:rFonts w:ascii="黑体" w:eastAsia="黑体" w:hAnsi="黑体"/>
          <w:sz w:val="36"/>
          <w:szCs w:val="36"/>
          <w:lang w:eastAsia="zh-CN"/>
        </w:rPr>
      </w:pPr>
    </w:p>
    <w:p w14:paraId="3C70C2C6">
      <w:pPr>
        <w:pStyle w:val="BodyText"/>
        <w:overflowPunct w:val="0"/>
        <w:jc w:val="center"/>
        <w:rPr>
          <w:rFonts w:ascii="黑体" w:eastAsia="黑体" w:hAnsi="黑体"/>
          <w:sz w:val="36"/>
          <w:szCs w:val="36"/>
          <w:lang w:eastAsia="zh-CN"/>
        </w:rPr>
      </w:pPr>
    </w:p>
    <w:p w14:paraId="1CAFAF2E">
      <w:pPr>
        <w:pStyle w:val="BodyText"/>
        <w:overflowPunct w:val="0"/>
        <w:jc w:val="center"/>
        <w:rPr>
          <w:rFonts w:ascii="黑体" w:eastAsia="黑体" w:hAnsi="黑体"/>
          <w:sz w:val="36"/>
          <w:szCs w:val="36"/>
          <w:lang w:eastAsia="zh-CN"/>
        </w:rPr>
      </w:pPr>
    </w:p>
    <w:p w14:paraId="5D02D6BE">
      <w:pPr>
        <w:pStyle w:val="BodyText"/>
        <w:overflowPunct w:val="0"/>
        <w:jc w:val="center"/>
        <w:rPr>
          <w:rFonts w:ascii="黑体" w:eastAsia="黑体" w:hAnsi="黑体"/>
          <w:sz w:val="36"/>
          <w:szCs w:val="36"/>
          <w:lang w:eastAsia="zh-CN"/>
        </w:rPr>
      </w:pPr>
    </w:p>
    <w:p w14:paraId="0DBF12B9">
      <w:pPr>
        <w:pStyle w:val="BodyText"/>
        <w:overflowPunct w:val="0"/>
        <w:jc w:val="center"/>
        <w:rPr>
          <w:rFonts w:ascii="黑体" w:eastAsia="黑体" w:hAnsi="黑体"/>
          <w:sz w:val="36"/>
          <w:szCs w:val="36"/>
          <w:lang w:eastAsia="zh-CN"/>
        </w:rPr>
      </w:pPr>
    </w:p>
    <w:p w14:paraId="62161A8A">
      <w:pPr>
        <w:pStyle w:val="BodyText"/>
        <w:overflowPunct w:val="0"/>
        <w:jc w:val="center"/>
        <w:rPr>
          <w:rFonts w:ascii="黑体" w:eastAsia="黑体" w:hAnsi="黑体"/>
          <w:sz w:val="36"/>
          <w:szCs w:val="36"/>
          <w:lang w:eastAsia="zh-CN"/>
        </w:rPr>
      </w:pPr>
    </w:p>
    <w:p w14:paraId="35F8652A">
      <w:pPr>
        <w:pStyle w:val="BodyText"/>
        <w:overflowPunct w:val="0"/>
        <w:outlineLvl w:val="0"/>
        <w:rPr>
          <w:rFonts w:ascii="黑体" w:eastAsia="黑体" w:hAnsi="黑体"/>
          <w:sz w:val="56"/>
          <w:szCs w:val="36"/>
          <w:lang w:eastAsia="zh-CN"/>
        </w:rPr>
      </w:pPr>
      <w:bookmarkStart w:id="6" w:name="_Toc256000005"/>
      <w:r>
        <w:rPr>
          <w:rFonts w:ascii="黑体" w:eastAsia="黑体" w:hAnsi="黑体" w:hint="eastAsia"/>
          <w:sz w:val="56"/>
          <w:szCs w:val="36"/>
          <w:lang w:eastAsia="zh-CN"/>
        </w:rPr>
        <w:t>第二部分</w:t>
      </w:r>
      <w:bookmarkEnd w:id="6"/>
    </w:p>
    <w:p w14:paraId="28379624">
      <w:pPr>
        <w:pStyle w:val="BodyText"/>
        <w:overflowPunct w:val="0"/>
        <w:jc w:val="center"/>
        <w:outlineLvl w:val="0"/>
        <w:rPr>
          <w:rFonts w:ascii="黑体" w:eastAsia="黑体" w:hAnsi="黑体"/>
          <w:sz w:val="56"/>
          <w:szCs w:val="36"/>
          <w:lang w:eastAsia="zh-CN"/>
        </w:rPr>
      </w:pPr>
      <w:bookmarkStart w:id="7" w:name="_Toc256000006"/>
      <w:r>
        <w:rPr>
          <w:rFonts w:ascii="黑体" w:eastAsia="黑体" w:hAnsi="黑体" w:cs="黑体" w:hint="eastAsia"/>
          <w:bCs/>
          <w:sz w:val="56"/>
          <w:lang w:eastAsia="zh-CN"/>
        </w:rPr>
        <w:t>2024</w:t>
      </w:r>
      <w:r>
        <w:rPr>
          <w:rFonts w:ascii="黑体" w:eastAsia="黑体" w:hAnsi="黑体" w:cs="黑体" w:hint="eastAsia"/>
          <w:bCs/>
          <w:sz w:val="56"/>
        </w:rPr>
        <w:t>年度</w:t>
      </w:r>
      <w:r>
        <w:rPr>
          <w:rFonts w:ascii="黑体" w:eastAsia="黑体" w:hAnsi="黑体" w:cs="黑体" w:hint="eastAsia"/>
          <w:bCs/>
          <w:sz w:val="56"/>
          <w:szCs w:val="56"/>
        </w:rPr>
        <w:t>单位</w:t>
      </w:r>
      <w:r>
        <w:rPr>
          <w:rFonts w:ascii="黑体" w:eastAsia="黑体" w:hAnsi="黑体" w:hint="eastAsia"/>
          <w:sz w:val="56"/>
          <w:szCs w:val="36"/>
          <w:lang w:eastAsia="zh-CN"/>
        </w:rPr>
        <w:t>决算表</w:t>
      </w:r>
      <w:bookmarkEnd w:id="7"/>
    </w:p>
    <w:p w14:paraId="07FAAD58">
      <w:pPr>
        <w:overflowPunct w:val="0"/>
        <w:autoSpaceDE w:val="0"/>
        <w:autoSpaceDN w:val="0"/>
        <w:jc w:val="left"/>
        <w:rPr>
          <w:rFonts w:ascii="黑体" w:eastAsia="黑体" w:hAnsi="仿宋"/>
          <w:sz w:val="32"/>
          <w:szCs w:val="32"/>
        </w:rPr>
      </w:pPr>
    </w:p>
    <w:p w14:paraId="7E75AF78">
      <w:pPr>
        <w:widowControl/>
        <w:overflowPunct w:val="0"/>
        <w:autoSpaceDE w:val="0"/>
        <w:autoSpaceDN w:val="0"/>
        <w:spacing w:line="240" w:lineRule="auto"/>
        <w:jc w:val="left"/>
        <w:rPr>
          <w:rFonts w:ascii="黑体" w:eastAsia="黑体" w:hAnsi="仿宋"/>
          <w:sz w:val="32"/>
          <w:szCs w:val="32"/>
        </w:rPr>
      </w:pPr>
      <w:r>
        <w:rPr>
          <w:rFonts w:ascii="黑体" w:eastAsia="黑体" w:hAnsi="仿宋"/>
          <w:sz w:val="32"/>
          <w:szCs w:val="32"/>
        </w:rPr>
        <w:br w:type="page"/>
      </w:r>
    </w:p>
    <w:p w14:paraId="114C97C6">
      <w:pPr>
        <w:overflowPunct w:val="0"/>
        <w:autoSpaceDE w:val="0"/>
        <w:autoSpaceDN w:val="0"/>
        <w:jc w:val="left"/>
        <w:outlineLvl w:val="1"/>
        <w:rPr>
          <w:rFonts w:ascii="黑体" w:eastAsia="黑体" w:hAnsi="仿宋"/>
          <w:sz w:val="32"/>
          <w:szCs w:val="32"/>
        </w:rPr>
      </w:pPr>
      <w:bookmarkStart w:id="8" w:name="_Toc256000007"/>
      <w:r>
        <w:rPr>
          <w:rFonts w:ascii="黑体" w:eastAsia="黑体" w:hAnsi="仿宋" w:hint="eastAsia"/>
          <w:sz w:val="32"/>
          <w:szCs w:val="32"/>
        </w:rPr>
        <w:t>一、收入支出决算总表</w:t>
      </w:r>
      <w:bookmarkEnd w:id="8"/>
    </w:p>
    <w:tbl>
      <w:tblPr>
        <w:tblStyle w:val="TableNormal"/>
        <w:tblW w:w="9640" w:type="dxa"/>
        <w:tblInd w:w="-426" w:type="dxa"/>
        <w:tblLayout w:type="fixed"/>
        <w:tblCellMar>
          <w:top w:w="0" w:type="dxa"/>
          <w:left w:w="108" w:type="dxa"/>
          <w:bottom w:w="0" w:type="dxa"/>
          <w:right w:w="108" w:type="dxa"/>
        </w:tblCellMar>
      </w:tblPr>
      <w:tblGrid>
        <w:gridCol w:w="3687"/>
        <w:gridCol w:w="1417"/>
        <w:gridCol w:w="3260"/>
        <w:gridCol w:w="1276"/>
      </w:tblGrid>
      <w:tr w14:paraId="6A3D4BE6">
        <w:tblPrEx>
          <w:tblW w:w="9640" w:type="dxa"/>
          <w:tblInd w:w="-426" w:type="dxa"/>
          <w:tblLayout w:type="fixed"/>
          <w:tblCellMar>
            <w:top w:w="0" w:type="dxa"/>
            <w:left w:w="108" w:type="dxa"/>
            <w:bottom w:w="0" w:type="dxa"/>
            <w:right w:w="108" w:type="dxa"/>
          </w:tblCellMar>
        </w:tblPrEx>
        <w:trPr>
          <w:trHeight w:val="368"/>
        </w:trPr>
        <w:tc>
          <w:tcPr>
            <w:tcW w:w="9640" w:type="dxa"/>
            <w:gridSpan w:val="4"/>
            <w:tcBorders>
              <w:top w:val="nil"/>
              <w:left w:val="nil"/>
              <w:bottom w:val="nil"/>
              <w:right w:val="nil"/>
            </w:tcBorders>
            <w:shd w:val="clear" w:color="auto" w:fill="auto"/>
            <w:noWrap/>
            <w:vAlign w:val="bottom"/>
          </w:tcPr>
          <w:p w14:paraId="3F99EDFE">
            <w:pPr>
              <w:widowControl/>
              <w:overflowPunct w:val="0"/>
              <w:autoSpaceDE w:val="0"/>
              <w:autoSpaceDN w:val="0"/>
              <w:spacing w:line="240" w:lineRule="auto"/>
              <w:jc w:val="center"/>
              <w:rPr>
                <w:rFonts w:ascii="黑体" w:eastAsia="黑体" w:hAnsi="Arial" w:cs="Arial"/>
                <w:kern w:val="0"/>
                <w:sz w:val="44"/>
                <w:szCs w:val="44"/>
              </w:rPr>
            </w:pPr>
            <w:r>
              <w:rPr>
                <w:rFonts w:ascii="黑体" w:eastAsia="黑体" w:hAnsi="Arial" w:cs="Arial" w:hint="eastAsia"/>
                <w:color w:val="000000"/>
                <w:kern w:val="0"/>
                <w:sz w:val="36"/>
                <w:szCs w:val="36"/>
              </w:rPr>
              <w:t>收入支出决算总表</w:t>
            </w:r>
          </w:p>
        </w:tc>
      </w:tr>
      <w:tr w14:paraId="05A58998">
        <w:tblPrEx>
          <w:tblW w:w="9640" w:type="dxa"/>
          <w:tblInd w:w="-426" w:type="dxa"/>
          <w:tblLayout w:type="fixed"/>
          <w:tblCellMar>
            <w:top w:w="0" w:type="dxa"/>
            <w:left w:w="108" w:type="dxa"/>
            <w:bottom w:w="0" w:type="dxa"/>
            <w:right w:w="108" w:type="dxa"/>
          </w:tblCellMar>
        </w:tblPrEx>
        <w:trPr>
          <w:trHeight w:val="178"/>
        </w:trPr>
        <w:tc>
          <w:tcPr>
            <w:tcW w:w="3687" w:type="dxa"/>
            <w:tcBorders>
              <w:top w:val="nil"/>
              <w:left w:val="nil"/>
              <w:bottom w:val="nil"/>
              <w:right w:val="nil"/>
            </w:tcBorders>
            <w:shd w:val="clear" w:color="auto" w:fill="auto"/>
            <w:noWrap/>
            <w:vAlign w:val="bottom"/>
          </w:tcPr>
          <w:p w14:paraId="535B171F">
            <w:pPr>
              <w:widowControl/>
              <w:overflowPunct w:val="0"/>
              <w:autoSpaceDE w:val="0"/>
              <w:autoSpaceDN w:val="0"/>
              <w:spacing w:line="240" w:lineRule="auto"/>
              <w:jc w:val="left"/>
              <w:rPr>
                <w:rFonts w:ascii="宋体" w:eastAsia="宋体" w:hAnsi="宋体" w:cs="Arial"/>
                <w:color w:val="000000"/>
                <w:kern w:val="0"/>
                <w:sz w:val="22"/>
              </w:rPr>
            </w:pPr>
          </w:p>
        </w:tc>
        <w:tc>
          <w:tcPr>
            <w:tcW w:w="1417" w:type="dxa"/>
            <w:tcBorders>
              <w:top w:val="nil"/>
              <w:left w:val="nil"/>
              <w:bottom w:val="nil"/>
              <w:right w:val="nil"/>
            </w:tcBorders>
            <w:shd w:val="clear" w:color="auto" w:fill="auto"/>
            <w:noWrap/>
            <w:vAlign w:val="bottom"/>
          </w:tcPr>
          <w:p w14:paraId="21B82211">
            <w:pPr>
              <w:widowControl/>
              <w:overflowPunct w:val="0"/>
              <w:autoSpaceDE w:val="0"/>
              <w:autoSpaceDN w:val="0"/>
              <w:spacing w:line="240" w:lineRule="auto"/>
              <w:jc w:val="right"/>
              <w:rPr>
                <w:rFonts w:ascii="宋体" w:eastAsia="宋体" w:hAnsi="宋体" w:cs="Arial"/>
                <w:color w:val="000000"/>
                <w:kern w:val="0"/>
                <w:sz w:val="20"/>
                <w:szCs w:val="20"/>
              </w:rPr>
            </w:pPr>
          </w:p>
        </w:tc>
        <w:tc>
          <w:tcPr>
            <w:tcW w:w="4536" w:type="dxa"/>
            <w:gridSpan w:val="2"/>
            <w:tcBorders>
              <w:top w:val="nil"/>
              <w:left w:val="nil"/>
              <w:bottom w:val="nil"/>
              <w:right w:val="nil"/>
            </w:tcBorders>
            <w:shd w:val="clear" w:color="auto" w:fill="auto"/>
            <w:noWrap/>
            <w:vAlign w:val="bottom"/>
          </w:tcPr>
          <w:p w14:paraId="596109A2">
            <w:pPr>
              <w:widowControl/>
              <w:overflowPunct w:val="0"/>
              <w:autoSpaceDE w:val="0"/>
              <w:autoSpaceDN w:val="0"/>
              <w:spacing w:line="240" w:lineRule="auto"/>
              <w:jc w:val="right"/>
              <w:rPr>
                <w:rFonts w:ascii="宋体" w:eastAsia="宋体" w:hAnsi="宋体" w:cs="Arial"/>
                <w:kern w:val="0"/>
                <w:sz w:val="20"/>
                <w:szCs w:val="20"/>
              </w:rPr>
            </w:pPr>
            <w:r>
              <w:rPr>
                <w:rFonts w:ascii="宋体" w:eastAsia="宋体" w:hAnsi="宋体" w:cs="Arial" w:hint="eastAsia"/>
                <w:kern w:val="0"/>
                <w:sz w:val="20"/>
                <w:szCs w:val="20"/>
              </w:rPr>
              <w:t>公开01表</w:t>
            </w:r>
          </w:p>
        </w:tc>
      </w:tr>
      <w:tr w14:paraId="46BC23F8">
        <w:tblPrEx>
          <w:tblW w:w="9640" w:type="dxa"/>
          <w:tblInd w:w="-426" w:type="dxa"/>
          <w:tblLayout w:type="fixed"/>
          <w:tblCellMar>
            <w:top w:w="0" w:type="dxa"/>
            <w:left w:w="108" w:type="dxa"/>
            <w:bottom w:w="0" w:type="dxa"/>
            <w:right w:w="108" w:type="dxa"/>
          </w:tblCellMar>
        </w:tblPrEx>
        <w:trPr>
          <w:trHeight w:val="300"/>
        </w:trPr>
        <w:tc>
          <w:tcPr>
            <w:tcW w:w="5104" w:type="dxa"/>
            <w:gridSpan w:val="2"/>
            <w:tcBorders>
              <w:top w:val="nil"/>
              <w:left w:val="nil"/>
              <w:bottom w:val="single" w:sz="4" w:space="0" w:color="auto"/>
              <w:right w:val="nil"/>
            </w:tcBorders>
            <w:shd w:val="clear" w:color="auto" w:fill="auto"/>
            <w:noWrap/>
            <w:vAlign w:val="bottom"/>
          </w:tcPr>
          <w:p w14:paraId="6D46A97E">
            <w:pPr>
              <w:widowControl/>
              <w:overflowPunct w:val="0"/>
              <w:autoSpaceDE w:val="0"/>
              <w:autoSpaceDN w:val="0"/>
              <w:spacing w:line="240" w:lineRule="auto"/>
              <w:jc w:val="left"/>
              <w:rPr>
                <w:rFonts w:ascii="宋体" w:eastAsia="宋体" w:hAnsi="宋体"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4536" w:type="dxa"/>
            <w:gridSpan w:val="2"/>
            <w:tcBorders>
              <w:top w:val="nil"/>
              <w:left w:val="nil"/>
              <w:bottom w:val="single" w:sz="4" w:space="0" w:color="auto"/>
              <w:right w:val="nil"/>
            </w:tcBorders>
            <w:shd w:val="clear" w:color="auto" w:fill="auto"/>
            <w:noWrap/>
            <w:vAlign w:val="bottom"/>
          </w:tcPr>
          <w:p w14:paraId="78B20A61">
            <w:pPr>
              <w:widowControl/>
              <w:overflowPunct w:val="0"/>
              <w:autoSpaceDE w:val="0"/>
              <w:autoSpaceDN w:val="0"/>
              <w:spacing w:line="240" w:lineRule="auto"/>
              <w:jc w:val="right"/>
              <w:rPr>
                <w:rFonts w:ascii="宋体" w:eastAsia="宋体" w:hAnsi="宋体" w:cs="Arial"/>
                <w:kern w:val="0"/>
                <w:sz w:val="20"/>
                <w:szCs w:val="20"/>
              </w:rPr>
            </w:pPr>
            <w:r>
              <w:rPr>
                <w:rFonts w:ascii="宋体" w:eastAsia="宋体" w:hAnsi="宋体" w:cs="Arial" w:hint="eastAsia"/>
                <w:kern w:val="0"/>
                <w:sz w:val="20"/>
                <w:szCs w:val="20"/>
              </w:rPr>
              <w:t>单位：万元</w:t>
            </w:r>
          </w:p>
        </w:tc>
      </w:tr>
      <w:tr w14:paraId="2D264703">
        <w:tblPrEx>
          <w:tblW w:w="9640" w:type="dxa"/>
          <w:tblInd w:w="-426" w:type="dxa"/>
          <w:tblLayout w:type="fixed"/>
          <w:tblCellMar>
            <w:top w:w="0" w:type="dxa"/>
            <w:left w:w="108" w:type="dxa"/>
            <w:bottom w:w="0" w:type="dxa"/>
            <w:right w:w="108" w:type="dxa"/>
          </w:tblCellMar>
        </w:tblPrEx>
        <w:trPr>
          <w:trHeight w:val="308"/>
        </w:trPr>
        <w:tc>
          <w:tcPr>
            <w:tcW w:w="51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63DF2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收入</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D58B46">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支出</w:t>
            </w:r>
          </w:p>
        </w:tc>
      </w:tr>
      <w:tr w14:paraId="43EE00A2">
        <w:tblPrEx>
          <w:tblW w:w="9640" w:type="dxa"/>
          <w:tblInd w:w="-426" w:type="dxa"/>
          <w:tblLayout w:type="fixed"/>
          <w:tblCellMar>
            <w:top w:w="0" w:type="dxa"/>
            <w:left w:w="108" w:type="dxa"/>
            <w:bottom w:w="0" w:type="dxa"/>
            <w:right w:w="108" w:type="dxa"/>
          </w:tblCellMar>
        </w:tblPrEx>
        <w:trPr>
          <w:trHeight w:val="191"/>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6A85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4A10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决算数</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61F2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项目(按支出功能分类)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3C75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决算数</w:t>
            </w:r>
          </w:p>
        </w:tc>
      </w:tr>
      <w:tr w14:paraId="6B96511F">
        <w:tblPrEx>
          <w:tblW w:w="9640" w:type="dxa"/>
          <w:tblInd w:w="-426" w:type="dxa"/>
          <w:tblLayout w:type="fixed"/>
          <w:tblCellMar>
            <w:top w:w="0" w:type="dxa"/>
            <w:left w:w="108" w:type="dxa"/>
            <w:bottom w:w="0" w:type="dxa"/>
            <w:right w:w="108" w:type="dxa"/>
          </w:tblCellMar>
        </w:tblPrEx>
        <w:trPr>
          <w:trHeight w:val="306"/>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3C687E10">
            <w:pPr>
              <w:overflowPunct w:val="0"/>
              <w:autoSpaceDE w:val="0"/>
              <w:autoSpaceDN w:val="0"/>
              <w:rPr>
                <w:rFonts w:ascii="宋体" w:eastAsia="宋体" w:hAnsi="宋体" w:cs="宋体"/>
                <w:szCs w:val="21"/>
              </w:rPr>
            </w:pPr>
            <w:r>
              <w:rPr>
                <w:rFonts w:ascii="宋体" w:eastAsia="宋体" w:hAnsi="宋体" w:cs="宋体" w:hint="eastAsia"/>
                <w:szCs w:val="21"/>
              </w:rPr>
              <w:t>一、一般公共预算财政拨款收入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BE2A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7041.84</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C3CD324">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一、一般公共服务支出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B0C54">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1.17</w:t>
            </w:r>
            <w:r>
              <w:rPr>
                <w:rFonts w:ascii="宋体" w:eastAsia="宋体" w:hAnsi="宋体" w:cs="宋体"/>
                <w:color w:val="000000"/>
                <w:u w:color="auto"/>
              </w:rPr>
              <w:t>　</w:t>
            </w:r>
          </w:p>
        </w:tc>
      </w:tr>
      <w:tr w14:paraId="07608EF6">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10D75E55">
            <w:pPr>
              <w:overflowPunct w:val="0"/>
              <w:autoSpaceDE w:val="0"/>
              <w:autoSpaceDN w:val="0"/>
              <w:rPr>
                <w:rFonts w:ascii="宋体" w:eastAsia="宋体" w:hAnsi="宋体" w:cs="宋体"/>
                <w:szCs w:val="21"/>
              </w:rPr>
            </w:pPr>
            <w:r>
              <w:rPr>
                <w:rFonts w:ascii="宋体" w:eastAsia="宋体" w:hAnsi="宋体" w:cs="宋体" w:hint="eastAsia"/>
                <w:szCs w:val="21"/>
              </w:rPr>
              <w:t>二、政府性基金预算财政拨款收入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D0C0C">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60CC370A">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二、外交支出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F17F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55C6B756">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1796F010">
            <w:pPr>
              <w:overflowPunct w:val="0"/>
              <w:autoSpaceDE w:val="0"/>
              <w:autoSpaceDN w:val="0"/>
              <w:rPr>
                <w:rFonts w:ascii="宋体" w:eastAsia="宋体" w:hAnsi="宋体" w:cs="宋体"/>
                <w:szCs w:val="21"/>
              </w:rPr>
            </w:pPr>
            <w:r>
              <w:rPr>
                <w:rFonts w:ascii="宋体" w:eastAsia="宋体" w:hAnsi="宋体" w:cs="宋体" w:hint="eastAsia"/>
                <w:szCs w:val="21"/>
              </w:rPr>
              <w:t>三、国有资本经营预算财政拨款收入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058E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2336EB70">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三、国防支出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4EA45">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3EBF796D">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2A013715">
            <w:pPr>
              <w:overflowPunct w:val="0"/>
              <w:autoSpaceDE w:val="0"/>
              <w:autoSpaceDN w:val="0"/>
              <w:rPr>
                <w:rFonts w:ascii="宋体" w:eastAsia="宋体" w:hAnsi="宋体" w:cs="宋体"/>
                <w:szCs w:val="21"/>
              </w:rPr>
            </w:pPr>
            <w:r>
              <w:rPr>
                <w:rFonts w:ascii="宋体" w:eastAsia="宋体" w:hAnsi="宋体" w:cs="宋体" w:hint="eastAsia"/>
                <w:szCs w:val="21"/>
              </w:rPr>
              <w:t>四、上级补助收入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B2BA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3D1EF60">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四、公共安全支出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2FF0E">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2A2E331A">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2C1175C1">
            <w:pPr>
              <w:overflowPunct w:val="0"/>
              <w:autoSpaceDE w:val="0"/>
              <w:autoSpaceDN w:val="0"/>
              <w:rPr>
                <w:rFonts w:ascii="宋体" w:eastAsia="宋体" w:hAnsi="宋体" w:cs="宋体"/>
                <w:szCs w:val="21"/>
              </w:rPr>
            </w:pPr>
            <w:r>
              <w:rPr>
                <w:rFonts w:ascii="宋体" w:eastAsia="宋体" w:hAnsi="宋体" w:cs="宋体" w:hint="eastAsia"/>
                <w:szCs w:val="21"/>
              </w:rPr>
              <w:t>五、事业收入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A3CAC">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35.70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620BC256">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五、教育支出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1C203">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5038.76</w:t>
            </w:r>
            <w:r>
              <w:rPr>
                <w:rFonts w:ascii="宋体" w:eastAsia="宋体" w:hAnsi="宋体" w:cs="宋体"/>
                <w:color w:val="000000"/>
                <w:u w:color="auto"/>
              </w:rPr>
              <w:t>　</w:t>
            </w:r>
          </w:p>
        </w:tc>
      </w:tr>
      <w:tr w14:paraId="1A4995A1">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7A3BEA31">
            <w:pPr>
              <w:overflowPunct w:val="0"/>
              <w:autoSpaceDE w:val="0"/>
              <w:autoSpaceDN w:val="0"/>
              <w:rPr>
                <w:rFonts w:ascii="宋体" w:eastAsia="宋体" w:hAnsi="宋体" w:cs="宋体"/>
                <w:szCs w:val="21"/>
              </w:rPr>
            </w:pPr>
            <w:r>
              <w:rPr>
                <w:rFonts w:ascii="宋体" w:eastAsia="宋体" w:hAnsi="宋体" w:cs="宋体" w:hint="eastAsia"/>
                <w:szCs w:val="21"/>
              </w:rPr>
              <w:t>六、经营收入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B1593">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FCE93D1">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六、科学技术支出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33B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190178C6">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tcPr>
          <w:p w14:paraId="69B5DB85">
            <w:pPr>
              <w:overflowPunct w:val="0"/>
              <w:autoSpaceDE w:val="0"/>
              <w:autoSpaceDN w:val="0"/>
              <w:rPr>
                <w:rFonts w:ascii="宋体" w:eastAsia="宋体" w:hAnsi="宋体" w:cs="宋体"/>
                <w:szCs w:val="21"/>
              </w:rPr>
            </w:pPr>
            <w:r>
              <w:rPr>
                <w:rFonts w:ascii="宋体" w:eastAsia="宋体" w:hAnsi="宋体" w:cs="宋体" w:hint="eastAsia"/>
                <w:szCs w:val="21"/>
              </w:rPr>
              <w:t>七、附属单位上缴收入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336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2B0D1275">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七、文化旅游体育与传媒支出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4A0FF">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59B3330C">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E0C6">
            <w:pPr>
              <w:widowControl/>
              <w:overflowPunct w:val="0"/>
              <w:autoSpaceDE w:val="0"/>
              <w:autoSpaceDN w:val="0"/>
              <w:spacing w:line="240" w:lineRule="auto"/>
              <w:jc w:val="left"/>
              <w:rPr>
                <w:rFonts w:ascii="宋体" w:eastAsia="宋体" w:hAnsi="宋体" w:cs="宋体"/>
                <w:szCs w:val="21"/>
              </w:rPr>
            </w:pPr>
            <w:r>
              <w:rPr>
                <w:rFonts w:ascii="宋体" w:eastAsia="宋体" w:hAnsi="宋体" w:cs="宋体" w:hint="eastAsia"/>
                <w:szCs w:val="21"/>
              </w:rPr>
              <w:t>八、其他收入</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9366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30B48D3">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八、社会保障和就业支出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B6EC4">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1050.44</w:t>
            </w:r>
            <w:r>
              <w:rPr>
                <w:rFonts w:ascii="宋体" w:eastAsia="宋体" w:hAnsi="宋体" w:cs="宋体"/>
                <w:color w:val="000000"/>
                <w:u w:color="auto"/>
              </w:rPr>
              <w:t>　</w:t>
            </w:r>
          </w:p>
        </w:tc>
      </w:tr>
      <w:tr w14:paraId="20D5723E">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CA26B">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334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2C9CA032">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九、卫生健康支出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98D70">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330.28</w:t>
            </w:r>
            <w:r>
              <w:rPr>
                <w:rFonts w:ascii="宋体" w:eastAsia="宋体" w:hAnsi="宋体" w:cs="宋体"/>
                <w:color w:val="000000"/>
                <w:u w:color="auto"/>
              </w:rPr>
              <w:t>　</w:t>
            </w:r>
          </w:p>
        </w:tc>
      </w:tr>
      <w:tr w14:paraId="54A4770A">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C575E">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91ED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4089E67">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十、节能环保支出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BB2D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3B4666DB">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CE83F">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A2560">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69C07C4F">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十一、城乡社区支出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BAAF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274C9831">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7ABD3">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B21E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7D6145B">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十二、农林水支出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3C00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769040DA">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9F3D7">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C908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701644A">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十三、交通运输支出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545F">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2186737B">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5192D">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2F92">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0571B58">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十四、资源勘探工业信息等支出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FD1FF">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46211D9E">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EF64B">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63D88">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7D1CED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十五、商业服务业等支出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ADFB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3F6F5509">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0155E">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055F4">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747BF017">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十六、金融支出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02438">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6F55C5AB">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338DC">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A3A43">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22BAB906">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十七、援助其他地区支出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DFE04">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525A6C68">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211B0">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ADC6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4450561E">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十八、自然资源海洋气象等支出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6D0E0">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2FD4607F">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0B021">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10A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F86423B">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十九、住房保障支出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3CFA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656.89</w:t>
            </w:r>
            <w:r>
              <w:rPr>
                <w:rFonts w:ascii="宋体" w:eastAsia="宋体" w:hAnsi="宋体" w:cs="宋体"/>
                <w:color w:val="000000"/>
                <w:u w:color="auto"/>
              </w:rPr>
              <w:t>　</w:t>
            </w:r>
          </w:p>
        </w:tc>
      </w:tr>
      <w:tr w14:paraId="5A9F48ED">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48DA">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544E">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1915B6E">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二十、粮油物资储备支出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AE7B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1E28EA9B">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9F9F7">
            <w:pPr>
              <w:widowControl/>
              <w:overflowPunct w:val="0"/>
              <w:autoSpaceDE w:val="0"/>
              <w:autoSpaceDN w:val="0"/>
              <w:spacing w:line="240" w:lineRule="auto"/>
              <w:jc w:val="left"/>
              <w:rPr>
                <w:rFonts w:ascii="宋体" w:eastAsia="宋体" w:hAnsi="宋体" w:cs="宋体"/>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1A9B1">
            <w:pPr>
              <w:widowControl/>
              <w:overflowPunct w:val="0"/>
              <w:autoSpaceDE w:val="0"/>
              <w:autoSpaceDN w:val="0"/>
              <w:spacing w:line="240" w:lineRule="auto"/>
              <w:jc w:val="right"/>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D6C5D2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二十一、国有资本经营预算支出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43E38">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6D0137D">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023B2">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7F50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695E75FA">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二十二、灾害防治及应急管理支出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0603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39454F57">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AF372">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1ED33">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32CBAAC1">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二十三、其他支出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4718E">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2E6A84AF">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EAFE">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0D65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5D936B4E">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二十四、债务还本支出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7FE68">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5C8E5BBF">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0BECE">
            <w:pPr>
              <w:widowControl/>
              <w:overflowPunct w:val="0"/>
              <w:autoSpaceDE w:val="0"/>
              <w:autoSpaceDN w:val="0"/>
              <w:spacing w:line="240" w:lineRule="auto"/>
              <w:jc w:val="center"/>
              <w:rPr>
                <w:rFonts w:ascii="宋体" w:eastAsia="宋体" w:hAnsi="宋体" w:cs="宋体"/>
                <w:b/>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C686D">
            <w:pPr>
              <w:widowControl/>
              <w:overflowPunct w:val="0"/>
              <w:autoSpaceDE w:val="0"/>
              <w:autoSpaceDN w:val="0"/>
              <w:spacing w:line="240" w:lineRule="auto"/>
              <w:jc w:val="right"/>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439418DD">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二十五、债务付息支出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348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A457BD5">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3BB86">
            <w:pPr>
              <w:widowControl/>
              <w:overflowPunct w:val="0"/>
              <w:autoSpaceDE w:val="0"/>
              <w:autoSpaceDN w:val="0"/>
              <w:spacing w:line="240" w:lineRule="auto"/>
              <w:jc w:val="center"/>
              <w:rPr>
                <w:rFonts w:ascii="宋体" w:eastAsia="宋体" w:hAnsi="宋体" w:cs="宋体"/>
                <w:b/>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3CF13">
            <w:pPr>
              <w:widowControl/>
              <w:overflowPunct w:val="0"/>
              <w:autoSpaceDE w:val="0"/>
              <w:autoSpaceDN w:val="0"/>
              <w:spacing w:line="240" w:lineRule="auto"/>
              <w:jc w:val="right"/>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12523DDF">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color w:val="000000"/>
                <w:szCs w:val="21"/>
              </w:rPr>
              <w:t>二十六、抗疫特别国债安排的支出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0F5E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380BDDB">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E1BC7">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本年收入合计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8064C">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7077.55</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BA970">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本年支出合计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5A946">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7077.55</w:t>
            </w:r>
            <w:r>
              <w:rPr>
                <w:rFonts w:ascii="宋体" w:eastAsia="宋体" w:hAnsi="宋体" w:cs="宋体"/>
                <w:color w:val="000000"/>
                <w:u w:color="auto"/>
              </w:rPr>
              <w:t>　</w:t>
            </w:r>
          </w:p>
        </w:tc>
      </w:tr>
      <w:tr w14:paraId="40AB0C5C">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42D7">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Arial" w:hint="eastAsia"/>
                <w:color w:val="000000"/>
                <w:kern w:val="0"/>
                <w:sz w:val="22"/>
              </w:rPr>
              <w:t>使用非财政拨款结余（含专用结余）</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655E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A0920">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结余分配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6745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50C473EA">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0BDA6">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年初结转和结余</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3B13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EDCE8">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年末结转和结余</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71D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37800039">
        <w:tblPrEx>
          <w:tblW w:w="9640" w:type="dxa"/>
          <w:tblInd w:w="-426" w:type="dxa"/>
          <w:tblLayout w:type="fixed"/>
          <w:tblCellMar>
            <w:top w:w="0" w:type="dxa"/>
            <w:left w:w="108" w:type="dxa"/>
            <w:bottom w:w="0" w:type="dxa"/>
            <w:right w:w="108" w:type="dxa"/>
          </w:tblCellMar>
        </w:tblPrEx>
        <w:trPr>
          <w:trHeight w:val="308"/>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C2AA6">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97B60">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7077.55</w:t>
            </w:r>
            <w:r>
              <w:rPr>
                <w:rFonts w:ascii="宋体" w:eastAsia="宋体" w:hAnsi="宋体" w:cs="宋体"/>
                <w:color w:val="000000"/>
                <w:u w:color="auto"/>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6BE9D">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77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7077.55</w:t>
            </w:r>
            <w:r>
              <w:rPr>
                <w:rFonts w:ascii="宋体" w:eastAsia="宋体" w:hAnsi="宋体" w:cs="宋体"/>
                <w:color w:val="000000"/>
                <w:u w:color="auto"/>
              </w:rPr>
              <w:t>　</w:t>
            </w:r>
          </w:p>
        </w:tc>
      </w:tr>
    </w:tbl>
    <w:p w14:paraId="176D889F">
      <w:pPr>
        <w:widowControl/>
        <w:overflowPunct w:val="0"/>
        <w:autoSpaceDE w:val="0"/>
        <w:autoSpaceDN w:val="0"/>
        <w:spacing w:line="240" w:lineRule="auto"/>
        <w:jc w:val="left"/>
        <w:rPr>
          <w:rFonts w:ascii="黑体" w:eastAsia="黑体" w:hAnsi="仿宋"/>
          <w:sz w:val="32"/>
          <w:szCs w:val="32"/>
        </w:rPr>
      </w:pPr>
      <w:r>
        <w:rPr>
          <w:rFonts w:ascii="宋体" w:eastAsia="宋体" w:hAnsi="宋体" w:cs="宋体" w:hint="eastAsia"/>
          <w:sz w:val="24"/>
          <w:szCs w:val="24"/>
        </w:rPr>
        <w:t>注：1. 本表反映单位本年度的总收支和年末结转结余情况。</w:t>
        <w:cr/>
        <w:t xml:space="preserve">    2. 本套报表金额单位转换时可能存在尾数误差。</w:t>
      </w:r>
      <w:r>
        <w:br w:type="page"/>
      </w:r>
    </w:p>
    <w:p w14:paraId="1D0DF91F">
      <w:pPr>
        <w:overflowPunct w:val="0"/>
        <w:autoSpaceDE w:val="0"/>
        <w:autoSpaceDN w:val="0"/>
        <w:jc w:val="left"/>
        <w:outlineLvl w:val="1"/>
        <w:rPr>
          <w:rFonts w:ascii="黑体" w:eastAsia="黑体" w:hAnsi="仿宋"/>
          <w:sz w:val="32"/>
          <w:szCs w:val="32"/>
        </w:rPr>
        <w:sectPr>
          <w:footerReference w:type="default" r:id="rId14"/>
          <w:pgSz w:w="11906" w:h="16838"/>
          <w:pgMar w:top="1440" w:right="1800" w:bottom="1440" w:left="1800" w:header="851" w:footer="992" w:gutter="0"/>
          <w:pgNumType w:start="1"/>
          <w:cols w:num="1" w:space="425"/>
          <w:docGrid w:type="lines" w:linePitch="312" w:charSpace="0"/>
        </w:sectPr>
      </w:pPr>
    </w:p>
    <w:p w14:paraId="7D582F15">
      <w:pPr>
        <w:overflowPunct w:val="0"/>
        <w:autoSpaceDE w:val="0"/>
        <w:autoSpaceDN w:val="0"/>
        <w:jc w:val="left"/>
        <w:outlineLvl w:val="1"/>
        <w:rPr>
          <w:rFonts w:ascii="黑体" w:eastAsia="黑体" w:hAnsi="仿宋"/>
          <w:sz w:val="32"/>
          <w:szCs w:val="32"/>
        </w:rPr>
      </w:pPr>
      <w:bookmarkStart w:id="9" w:name="_Toc256000008"/>
      <w:r>
        <w:rPr>
          <w:rFonts w:ascii="黑体" w:eastAsia="黑体" w:hAnsi="仿宋" w:hint="eastAsia"/>
          <w:sz w:val="32"/>
          <w:szCs w:val="32"/>
        </w:rPr>
        <w:t>二、收入决算表</w:t>
      </w:r>
      <w:bookmarkEnd w:id="9"/>
    </w:p>
    <w:tbl>
      <w:tblPr>
        <w:tblStyle w:val="TableNormal"/>
        <w:tblW w:w="13427" w:type="dxa"/>
        <w:tblInd w:w="91" w:type="dxa"/>
        <w:tblLayout w:type="fixed"/>
        <w:tblCellMar>
          <w:top w:w="0" w:type="dxa"/>
          <w:left w:w="108" w:type="dxa"/>
          <w:bottom w:w="0" w:type="dxa"/>
          <w:right w:w="108" w:type="dxa"/>
        </w:tblCellMar>
      </w:tblPr>
      <w:tblGrid>
        <w:gridCol w:w="453"/>
        <w:gridCol w:w="398"/>
        <w:gridCol w:w="423"/>
        <w:gridCol w:w="1583"/>
        <w:gridCol w:w="236"/>
        <w:gridCol w:w="1008"/>
        <w:gridCol w:w="1680"/>
        <w:gridCol w:w="1566"/>
        <w:gridCol w:w="1541"/>
        <w:gridCol w:w="1090"/>
        <w:gridCol w:w="1092"/>
        <w:gridCol w:w="1245"/>
        <w:gridCol w:w="1112"/>
      </w:tblGrid>
      <w:tr w14:paraId="700FEADD">
        <w:tblPrEx>
          <w:tblW w:w="13427" w:type="dxa"/>
          <w:tblInd w:w="91" w:type="dxa"/>
          <w:tblLayout w:type="fixed"/>
          <w:tblCellMar>
            <w:top w:w="0" w:type="dxa"/>
            <w:left w:w="108" w:type="dxa"/>
            <w:bottom w:w="0" w:type="dxa"/>
            <w:right w:w="108" w:type="dxa"/>
          </w:tblCellMar>
        </w:tblPrEx>
        <w:trPr>
          <w:trHeight w:val="600"/>
        </w:trPr>
        <w:tc>
          <w:tcPr>
            <w:tcW w:w="13427" w:type="dxa"/>
            <w:gridSpan w:val="13"/>
            <w:tcBorders>
              <w:top w:val="nil"/>
              <w:left w:val="nil"/>
              <w:bottom w:val="nil"/>
              <w:right w:val="nil"/>
            </w:tcBorders>
            <w:shd w:val="clear" w:color="auto" w:fill="auto"/>
            <w:noWrap/>
            <w:vAlign w:val="bottom"/>
          </w:tcPr>
          <w:p w14:paraId="21A0E38F">
            <w:pPr>
              <w:widowControl/>
              <w:overflowPunct w:val="0"/>
              <w:autoSpaceDE w:val="0"/>
              <w:autoSpaceDN w:val="0"/>
              <w:spacing w:line="240" w:lineRule="auto"/>
              <w:jc w:val="center"/>
              <w:rPr>
                <w:rFonts w:ascii="宋体" w:eastAsia="黑体" w:hAnsi="宋体" w:cs="Arial"/>
                <w:color w:val="000000"/>
                <w:kern w:val="0"/>
                <w:sz w:val="44"/>
                <w:szCs w:val="44"/>
              </w:rPr>
            </w:pPr>
            <w:r>
              <w:rPr>
                <w:rFonts w:ascii="黑体" w:eastAsia="黑体" w:hAnsi="Arial" w:cs="Arial" w:hint="eastAsia"/>
                <w:color w:val="000000"/>
                <w:kern w:val="0"/>
                <w:sz w:val="36"/>
                <w:szCs w:val="36"/>
              </w:rPr>
              <w:t>收入决算表</w:t>
            </w:r>
          </w:p>
        </w:tc>
      </w:tr>
      <w:tr w14:paraId="34EEAEC5">
        <w:tblPrEx>
          <w:tblW w:w="13427" w:type="dxa"/>
          <w:tblInd w:w="91" w:type="dxa"/>
          <w:tblLayout w:type="fixed"/>
          <w:tblCellMar>
            <w:top w:w="0" w:type="dxa"/>
            <w:left w:w="108" w:type="dxa"/>
            <w:bottom w:w="0" w:type="dxa"/>
            <w:right w:w="108" w:type="dxa"/>
          </w:tblCellMar>
        </w:tblPrEx>
        <w:trPr>
          <w:trHeight w:val="300"/>
        </w:trPr>
        <w:tc>
          <w:tcPr>
            <w:tcW w:w="1274" w:type="dxa"/>
            <w:gridSpan w:val="3"/>
            <w:tcBorders>
              <w:top w:val="nil"/>
              <w:left w:val="nil"/>
              <w:bottom w:val="nil"/>
              <w:right w:val="nil"/>
            </w:tcBorders>
            <w:shd w:val="clear" w:color="auto" w:fill="auto"/>
            <w:noWrap/>
            <w:vAlign w:val="bottom"/>
          </w:tcPr>
          <w:p w14:paraId="29D4B8CA">
            <w:pPr>
              <w:widowControl/>
              <w:overflowPunct w:val="0"/>
              <w:autoSpaceDE w:val="0"/>
              <w:autoSpaceDN w:val="0"/>
              <w:spacing w:line="240" w:lineRule="auto"/>
              <w:jc w:val="left"/>
              <w:rPr>
                <w:rFonts w:ascii="Arial" w:eastAsia="宋体" w:hAnsi="Arial" w:cs="Arial"/>
                <w:color w:val="000000"/>
                <w:kern w:val="0"/>
                <w:sz w:val="20"/>
                <w:szCs w:val="20"/>
              </w:rPr>
            </w:pPr>
          </w:p>
        </w:tc>
        <w:tc>
          <w:tcPr>
            <w:tcW w:w="1583" w:type="dxa"/>
            <w:tcBorders>
              <w:top w:val="nil"/>
              <w:left w:val="nil"/>
              <w:bottom w:val="nil"/>
              <w:right w:val="nil"/>
            </w:tcBorders>
            <w:shd w:val="clear" w:color="auto" w:fill="auto"/>
            <w:noWrap/>
            <w:vAlign w:val="bottom"/>
          </w:tcPr>
          <w:p w14:paraId="3713223D">
            <w:pPr>
              <w:widowControl/>
              <w:overflowPunct w:val="0"/>
              <w:autoSpaceDE w:val="0"/>
              <w:autoSpaceDN w:val="0"/>
              <w:spacing w:line="240" w:lineRule="auto"/>
              <w:jc w:val="left"/>
              <w:rPr>
                <w:rFonts w:ascii="Arial" w:eastAsia="宋体" w:hAnsi="Arial" w:cs="Arial"/>
                <w:color w:val="000000"/>
                <w:kern w:val="0"/>
                <w:sz w:val="20"/>
                <w:szCs w:val="20"/>
              </w:rPr>
            </w:pPr>
          </w:p>
        </w:tc>
        <w:tc>
          <w:tcPr>
            <w:tcW w:w="236" w:type="dxa"/>
            <w:tcBorders>
              <w:top w:val="nil"/>
              <w:left w:val="nil"/>
              <w:bottom w:val="nil"/>
              <w:right w:val="nil"/>
            </w:tcBorders>
            <w:shd w:val="clear" w:color="auto" w:fill="auto"/>
            <w:noWrap/>
            <w:vAlign w:val="bottom"/>
          </w:tcPr>
          <w:p w14:paraId="390CDDD5">
            <w:pPr>
              <w:widowControl/>
              <w:overflowPunct w:val="0"/>
              <w:autoSpaceDE w:val="0"/>
              <w:autoSpaceDN w:val="0"/>
              <w:spacing w:line="240" w:lineRule="auto"/>
              <w:jc w:val="left"/>
              <w:rPr>
                <w:rFonts w:ascii="Arial" w:eastAsia="宋体" w:hAnsi="Arial" w:cs="Arial"/>
                <w:color w:val="000000"/>
                <w:kern w:val="0"/>
                <w:sz w:val="20"/>
                <w:szCs w:val="20"/>
              </w:rPr>
            </w:pPr>
          </w:p>
        </w:tc>
        <w:tc>
          <w:tcPr>
            <w:tcW w:w="1008" w:type="dxa"/>
            <w:tcBorders>
              <w:top w:val="nil"/>
              <w:left w:val="nil"/>
              <w:bottom w:val="nil"/>
              <w:right w:val="nil"/>
            </w:tcBorders>
            <w:shd w:val="clear" w:color="auto" w:fill="auto"/>
            <w:noWrap/>
            <w:vAlign w:val="bottom"/>
          </w:tcPr>
          <w:p w14:paraId="196E251A">
            <w:pPr>
              <w:widowControl/>
              <w:overflowPunct w:val="0"/>
              <w:autoSpaceDE w:val="0"/>
              <w:autoSpaceDN w:val="0"/>
              <w:spacing w:line="240" w:lineRule="auto"/>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tcPr>
          <w:p w14:paraId="2AC8D3D7">
            <w:pPr>
              <w:widowControl/>
              <w:overflowPunct w:val="0"/>
              <w:autoSpaceDE w:val="0"/>
              <w:autoSpaceDN w:val="0"/>
              <w:spacing w:line="240" w:lineRule="auto"/>
              <w:jc w:val="left"/>
              <w:rPr>
                <w:rFonts w:ascii="Arial" w:eastAsia="宋体" w:hAnsi="Arial" w:cs="Arial"/>
                <w:color w:val="000000"/>
                <w:kern w:val="0"/>
                <w:sz w:val="20"/>
                <w:szCs w:val="20"/>
              </w:rPr>
            </w:pPr>
          </w:p>
        </w:tc>
        <w:tc>
          <w:tcPr>
            <w:tcW w:w="1566" w:type="dxa"/>
            <w:tcBorders>
              <w:top w:val="nil"/>
              <w:left w:val="nil"/>
              <w:bottom w:val="nil"/>
              <w:right w:val="nil"/>
            </w:tcBorders>
            <w:shd w:val="clear" w:color="auto" w:fill="auto"/>
            <w:noWrap/>
            <w:vAlign w:val="bottom"/>
          </w:tcPr>
          <w:p w14:paraId="671B6E85">
            <w:pPr>
              <w:widowControl/>
              <w:overflowPunct w:val="0"/>
              <w:autoSpaceDE w:val="0"/>
              <w:autoSpaceDN w:val="0"/>
              <w:spacing w:line="240" w:lineRule="auto"/>
              <w:jc w:val="left"/>
              <w:rPr>
                <w:rFonts w:ascii="Arial" w:eastAsia="宋体" w:hAnsi="Arial" w:cs="Arial"/>
                <w:color w:val="000000"/>
                <w:kern w:val="0"/>
                <w:sz w:val="20"/>
                <w:szCs w:val="20"/>
              </w:rPr>
            </w:pPr>
          </w:p>
        </w:tc>
        <w:tc>
          <w:tcPr>
            <w:tcW w:w="1541" w:type="dxa"/>
            <w:tcBorders>
              <w:top w:val="nil"/>
              <w:left w:val="nil"/>
              <w:bottom w:val="nil"/>
              <w:right w:val="nil"/>
            </w:tcBorders>
            <w:shd w:val="clear" w:color="auto" w:fill="auto"/>
            <w:noWrap/>
            <w:vAlign w:val="bottom"/>
          </w:tcPr>
          <w:p w14:paraId="2CB03F47">
            <w:pPr>
              <w:widowControl/>
              <w:overflowPunct w:val="0"/>
              <w:autoSpaceDE w:val="0"/>
              <w:autoSpaceDN w:val="0"/>
              <w:spacing w:line="240" w:lineRule="auto"/>
              <w:jc w:val="left"/>
              <w:rPr>
                <w:rFonts w:ascii="Arial" w:eastAsia="宋体" w:hAnsi="Arial" w:cs="Arial"/>
                <w:color w:val="000000"/>
                <w:kern w:val="0"/>
                <w:sz w:val="20"/>
                <w:szCs w:val="20"/>
              </w:rPr>
            </w:pPr>
          </w:p>
        </w:tc>
        <w:tc>
          <w:tcPr>
            <w:tcW w:w="1090" w:type="dxa"/>
            <w:tcBorders>
              <w:top w:val="nil"/>
              <w:left w:val="nil"/>
              <w:bottom w:val="nil"/>
              <w:right w:val="nil"/>
            </w:tcBorders>
            <w:shd w:val="clear" w:color="auto" w:fill="auto"/>
            <w:noWrap/>
            <w:vAlign w:val="bottom"/>
          </w:tcPr>
          <w:p w14:paraId="388C9E70">
            <w:pPr>
              <w:widowControl/>
              <w:overflowPunct w:val="0"/>
              <w:autoSpaceDE w:val="0"/>
              <w:autoSpaceDN w:val="0"/>
              <w:spacing w:line="240" w:lineRule="auto"/>
              <w:jc w:val="left"/>
              <w:rPr>
                <w:rFonts w:ascii="Arial" w:eastAsia="宋体" w:hAnsi="Arial" w:cs="Arial"/>
                <w:color w:val="000000"/>
                <w:kern w:val="0"/>
                <w:sz w:val="20"/>
                <w:szCs w:val="20"/>
              </w:rPr>
            </w:pPr>
          </w:p>
        </w:tc>
        <w:tc>
          <w:tcPr>
            <w:tcW w:w="1092" w:type="dxa"/>
            <w:tcBorders>
              <w:top w:val="nil"/>
              <w:left w:val="nil"/>
              <w:bottom w:val="nil"/>
              <w:right w:val="nil"/>
            </w:tcBorders>
            <w:shd w:val="clear" w:color="auto" w:fill="auto"/>
            <w:noWrap/>
            <w:vAlign w:val="bottom"/>
          </w:tcPr>
          <w:p w14:paraId="3E302D5B">
            <w:pPr>
              <w:widowControl/>
              <w:overflowPunct w:val="0"/>
              <w:autoSpaceDE w:val="0"/>
              <w:autoSpaceDN w:val="0"/>
              <w:spacing w:line="240" w:lineRule="auto"/>
              <w:jc w:val="left"/>
              <w:rPr>
                <w:rFonts w:ascii="Arial" w:eastAsia="宋体"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tcPr>
          <w:p w14:paraId="3EE3E165">
            <w:pPr>
              <w:widowControl/>
              <w:overflowPunct w:val="0"/>
              <w:autoSpaceDE w:val="0"/>
              <w:autoSpaceDN w:val="0"/>
              <w:spacing w:line="240" w:lineRule="auto"/>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公开02表</w:t>
            </w:r>
          </w:p>
        </w:tc>
      </w:tr>
      <w:tr w14:paraId="7388D10E">
        <w:tblPrEx>
          <w:tblW w:w="13427" w:type="dxa"/>
          <w:tblInd w:w="91" w:type="dxa"/>
          <w:tblLayout w:type="fixed"/>
          <w:tblCellMar>
            <w:top w:w="0" w:type="dxa"/>
            <w:left w:w="108" w:type="dxa"/>
            <w:bottom w:w="0" w:type="dxa"/>
            <w:right w:w="108" w:type="dxa"/>
          </w:tblCellMar>
        </w:tblPrEx>
        <w:trPr>
          <w:trHeight w:val="315"/>
        </w:trPr>
        <w:tc>
          <w:tcPr>
            <w:tcW w:w="9978" w:type="dxa"/>
            <w:gridSpan w:val="10"/>
            <w:tcBorders>
              <w:top w:val="nil"/>
              <w:left w:val="nil"/>
              <w:bottom w:val="single" w:sz="4" w:space="0" w:color="auto"/>
              <w:right w:val="nil"/>
            </w:tcBorders>
            <w:shd w:val="clear" w:color="auto" w:fill="auto"/>
            <w:noWrap/>
            <w:vAlign w:val="bottom"/>
          </w:tcPr>
          <w:p w14:paraId="0AD4B47A">
            <w:pPr>
              <w:widowControl/>
              <w:overflowPunct w:val="0"/>
              <w:autoSpaceDE w:val="0"/>
              <w:autoSpaceDN w:val="0"/>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1092" w:type="dxa"/>
            <w:tcBorders>
              <w:top w:val="nil"/>
              <w:left w:val="nil"/>
              <w:bottom w:val="single" w:sz="4" w:space="0" w:color="auto"/>
              <w:right w:val="nil"/>
            </w:tcBorders>
            <w:shd w:val="clear" w:color="auto" w:fill="auto"/>
            <w:noWrap/>
            <w:vAlign w:val="bottom"/>
          </w:tcPr>
          <w:p w14:paraId="2D9AE48C">
            <w:pPr>
              <w:widowControl/>
              <w:overflowPunct w:val="0"/>
              <w:autoSpaceDE w:val="0"/>
              <w:autoSpaceDN w:val="0"/>
              <w:spacing w:line="240" w:lineRule="auto"/>
              <w:jc w:val="left"/>
              <w:rPr>
                <w:rFonts w:ascii="Arial" w:eastAsia="宋体" w:hAnsi="Arial" w:cs="Arial"/>
                <w:color w:val="000000"/>
                <w:kern w:val="0"/>
                <w:sz w:val="20"/>
                <w:szCs w:val="20"/>
              </w:rPr>
            </w:pPr>
          </w:p>
        </w:tc>
        <w:tc>
          <w:tcPr>
            <w:tcW w:w="2357" w:type="dxa"/>
            <w:gridSpan w:val="2"/>
            <w:tcBorders>
              <w:top w:val="nil"/>
              <w:left w:val="nil"/>
              <w:bottom w:val="single" w:sz="4" w:space="0" w:color="auto"/>
              <w:right w:val="nil"/>
            </w:tcBorders>
            <w:shd w:val="clear" w:color="auto" w:fill="auto"/>
            <w:noWrap/>
            <w:vAlign w:val="bottom"/>
          </w:tcPr>
          <w:p w14:paraId="4DF566BA">
            <w:pPr>
              <w:widowControl/>
              <w:overflowPunct w:val="0"/>
              <w:autoSpaceDE w:val="0"/>
              <w:autoSpaceDN w:val="0"/>
              <w:spacing w:line="240" w:lineRule="auto"/>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Pr>
                <w:rFonts w:ascii="宋体" w:eastAsia="宋体" w:hAnsi="宋体" w:cs="Arial" w:hint="eastAsia"/>
                <w:kern w:val="0"/>
                <w:sz w:val="20"/>
                <w:szCs w:val="20"/>
              </w:rPr>
              <w:t>万元</w:t>
            </w:r>
          </w:p>
        </w:tc>
      </w:tr>
      <w:tr w14:paraId="1F556F75">
        <w:tblPrEx>
          <w:tblW w:w="13427" w:type="dxa"/>
          <w:tblInd w:w="91" w:type="dxa"/>
          <w:tblLayout w:type="fixed"/>
          <w:tblCellMar>
            <w:top w:w="0" w:type="dxa"/>
            <w:left w:w="108" w:type="dxa"/>
            <w:bottom w:w="0" w:type="dxa"/>
            <w:right w:w="108" w:type="dxa"/>
          </w:tblCellMar>
        </w:tblPrEx>
        <w:trPr>
          <w:trHeight w:val="306"/>
        </w:trPr>
        <w:tc>
          <w:tcPr>
            <w:tcW w:w="41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D1A87F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7FD08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本年收入合计</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0028F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财政拨款收入</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A773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上级补助收入</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71F543">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事业收入</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81CC70">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经营收入</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C7EBAE">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附属单位上缴收入</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730A1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其他收入</w:t>
            </w:r>
          </w:p>
        </w:tc>
      </w:tr>
      <w:tr w14:paraId="031E9EB8">
        <w:tblPrEx>
          <w:tblW w:w="13427" w:type="dxa"/>
          <w:tblInd w:w="91" w:type="dxa"/>
          <w:tblLayout w:type="fixed"/>
          <w:tblCellMar>
            <w:top w:w="0" w:type="dxa"/>
            <w:left w:w="108" w:type="dxa"/>
            <w:bottom w:w="0" w:type="dxa"/>
            <w:right w:w="108" w:type="dxa"/>
          </w:tblCellMar>
        </w:tblPrEx>
        <w:trPr>
          <w:trHeight w:val="312"/>
        </w:trPr>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D2466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支出功能分类科目编码</w:t>
            </w:r>
          </w:p>
        </w:tc>
        <w:tc>
          <w:tcPr>
            <w:tcW w:w="2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115CDC">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科目名称</w:t>
            </w:r>
          </w:p>
        </w:tc>
        <w:tc>
          <w:tcPr>
            <w:tcW w:w="1680" w:type="dxa"/>
            <w:vMerge/>
            <w:tcBorders>
              <w:top w:val="single" w:sz="4" w:space="0" w:color="auto"/>
              <w:left w:val="single" w:sz="4" w:space="0" w:color="auto"/>
              <w:bottom w:val="single" w:sz="4" w:space="0" w:color="auto"/>
              <w:right w:val="single" w:sz="4" w:space="0" w:color="auto"/>
            </w:tcBorders>
            <w:vAlign w:val="center"/>
          </w:tcPr>
          <w:p w14:paraId="2882371B">
            <w:pPr>
              <w:widowControl/>
              <w:overflowPunct w:val="0"/>
              <w:autoSpaceDE w:val="0"/>
              <w:autoSpaceDN w:val="0"/>
              <w:spacing w:line="240" w:lineRule="auto"/>
              <w:jc w:val="left"/>
              <w:rPr>
                <w:rFonts w:ascii="宋体" w:eastAsia="宋体" w:hAnsi="宋体" w:cs="Arial"/>
                <w:color w:val="000000"/>
                <w:kern w:val="0"/>
                <w:szCs w:val="21"/>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6C86F6CD">
            <w:pPr>
              <w:widowControl/>
              <w:overflowPunct w:val="0"/>
              <w:autoSpaceDE w:val="0"/>
              <w:autoSpaceDN w:val="0"/>
              <w:spacing w:line="240" w:lineRule="auto"/>
              <w:jc w:val="left"/>
              <w:rPr>
                <w:rFonts w:ascii="宋体" w:eastAsia="宋体" w:hAnsi="宋体" w:cs="Arial"/>
                <w:color w:val="000000"/>
                <w:kern w:val="0"/>
                <w:szCs w:val="21"/>
              </w:rPr>
            </w:pPr>
          </w:p>
        </w:tc>
        <w:tc>
          <w:tcPr>
            <w:tcW w:w="1541" w:type="dxa"/>
            <w:vMerge/>
            <w:tcBorders>
              <w:top w:val="single" w:sz="4" w:space="0" w:color="auto"/>
              <w:left w:val="single" w:sz="4" w:space="0" w:color="auto"/>
              <w:bottom w:val="single" w:sz="4" w:space="0" w:color="auto"/>
              <w:right w:val="single" w:sz="4" w:space="0" w:color="auto"/>
            </w:tcBorders>
            <w:vAlign w:val="center"/>
          </w:tcPr>
          <w:p w14:paraId="1F6A7F6C">
            <w:pPr>
              <w:widowControl/>
              <w:overflowPunct w:val="0"/>
              <w:autoSpaceDE w:val="0"/>
              <w:autoSpaceDN w:val="0"/>
              <w:spacing w:line="240" w:lineRule="auto"/>
              <w:jc w:val="left"/>
              <w:rPr>
                <w:rFonts w:ascii="宋体" w:eastAsia="宋体" w:hAnsi="宋体" w:cs="Arial"/>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14:paraId="29B6977B">
            <w:pPr>
              <w:widowControl/>
              <w:overflowPunct w:val="0"/>
              <w:autoSpaceDE w:val="0"/>
              <w:autoSpaceDN w:val="0"/>
              <w:spacing w:line="240" w:lineRule="auto"/>
              <w:jc w:val="left"/>
              <w:rPr>
                <w:rFonts w:ascii="宋体" w:eastAsia="宋体" w:hAnsi="宋体" w:cs="Arial"/>
                <w:color w:val="000000"/>
                <w:kern w:val="0"/>
                <w:szCs w:val="21"/>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7D6F69A2">
            <w:pPr>
              <w:widowControl/>
              <w:overflowPunct w:val="0"/>
              <w:autoSpaceDE w:val="0"/>
              <w:autoSpaceDN w:val="0"/>
              <w:spacing w:line="240" w:lineRule="auto"/>
              <w:jc w:val="left"/>
              <w:rPr>
                <w:rFonts w:ascii="宋体" w:eastAsia="宋体" w:hAnsi="宋体" w:cs="Arial"/>
                <w:color w:val="000000"/>
                <w:kern w:val="0"/>
                <w:szCs w:val="21"/>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4CB1BD7">
            <w:pPr>
              <w:widowControl/>
              <w:overflowPunct w:val="0"/>
              <w:autoSpaceDE w:val="0"/>
              <w:autoSpaceDN w:val="0"/>
              <w:spacing w:line="240" w:lineRule="auto"/>
              <w:jc w:val="left"/>
              <w:rPr>
                <w:rFonts w:ascii="宋体" w:eastAsia="宋体" w:hAnsi="宋体" w:cs="Arial"/>
                <w:color w:val="000000"/>
                <w:kern w:val="0"/>
                <w:szCs w:val="21"/>
              </w:rPr>
            </w:pPr>
          </w:p>
        </w:tc>
        <w:tc>
          <w:tcPr>
            <w:tcW w:w="1112" w:type="dxa"/>
            <w:vMerge/>
            <w:tcBorders>
              <w:top w:val="single" w:sz="4" w:space="0" w:color="auto"/>
              <w:left w:val="single" w:sz="4" w:space="0" w:color="auto"/>
              <w:bottom w:val="single" w:sz="4" w:space="0" w:color="auto"/>
              <w:right w:val="single" w:sz="4" w:space="0" w:color="auto"/>
            </w:tcBorders>
            <w:vAlign w:val="center"/>
          </w:tcPr>
          <w:p w14:paraId="6A1ED1CD">
            <w:pPr>
              <w:widowControl/>
              <w:overflowPunct w:val="0"/>
              <w:autoSpaceDE w:val="0"/>
              <w:autoSpaceDN w:val="0"/>
              <w:spacing w:line="240" w:lineRule="auto"/>
              <w:jc w:val="left"/>
              <w:rPr>
                <w:rFonts w:ascii="宋体" w:eastAsia="宋体" w:hAnsi="宋体" w:cs="Arial"/>
                <w:color w:val="000000"/>
                <w:kern w:val="0"/>
                <w:szCs w:val="21"/>
              </w:rPr>
            </w:pPr>
          </w:p>
        </w:tc>
      </w:tr>
      <w:tr w14:paraId="3502B657">
        <w:tblPrEx>
          <w:tblW w:w="13427" w:type="dxa"/>
          <w:tblInd w:w="91" w:type="dxa"/>
          <w:tblLayout w:type="fixed"/>
          <w:tblCellMar>
            <w:top w:w="0" w:type="dxa"/>
            <w:left w:w="108" w:type="dxa"/>
            <w:bottom w:w="0" w:type="dxa"/>
            <w:right w:w="108" w:type="dxa"/>
          </w:tblCellMar>
        </w:tblPrEx>
        <w:trPr>
          <w:trHeight w:val="312"/>
        </w:trPr>
        <w:tc>
          <w:tcPr>
            <w:tcW w:w="1274" w:type="dxa"/>
            <w:gridSpan w:val="3"/>
            <w:vMerge/>
            <w:tcBorders>
              <w:top w:val="single" w:sz="4" w:space="0" w:color="auto"/>
              <w:left w:val="single" w:sz="4" w:space="0" w:color="auto"/>
              <w:bottom w:val="single" w:sz="4" w:space="0" w:color="auto"/>
              <w:right w:val="single" w:sz="4" w:space="0" w:color="auto"/>
            </w:tcBorders>
            <w:vAlign w:val="center"/>
          </w:tcPr>
          <w:p w14:paraId="70302779">
            <w:pPr>
              <w:widowControl/>
              <w:overflowPunct w:val="0"/>
              <w:autoSpaceDE w:val="0"/>
              <w:autoSpaceDN w:val="0"/>
              <w:spacing w:line="240" w:lineRule="auto"/>
              <w:jc w:val="left"/>
              <w:rPr>
                <w:rFonts w:ascii="宋体" w:eastAsia="宋体" w:hAnsi="宋体" w:cs="Arial"/>
                <w:color w:val="000000"/>
                <w:kern w:val="0"/>
                <w:szCs w:val="21"/>
              </w:rPr>
            </w:pPr>
          </w:p>
        </w:tc>
        <w:tc>
          <w:tcPr>
            <w:tcW w:w="2827" w:type="dxa"/>
            <w:gridSpan w:val="3"/>
            <w:vMerge/>
            <w:tcBorders>
              <w:top w:val="single" w:sz="4" w:space="0" w:color="auto"/>
              <w:left w:val="single" w:sz="4" w:space="0" w:color="auto"/>
              <w:bottom w:val="single" w:sz="4" w:space="0" w:color="auto"/>
              <w:right w:val="single" w:sz="4" w:space="0" w:color="auto"/>
            </w:tcBorders>
            <w:vAlign w:val="center"/>
          </w:tcPr>
          <w:p w14:paraId="50E41D49">
            <w:pPr>
              <w:widowControl/>
              <w:overflowPunct w:val="0"/>
              <w:autoSpaceDE w:val="0"/>
              <w:autoSpaceDN w:val="0"/>
              <w:spacing w:line="240" w:lineRule="auto"/>
              <w:jc w:val="left"/>
              <w:rPr>
                <w:rFonts w:ascii="宋体" w:eastAsia="宋体" w:hAnsi="宋体" w:cs="Arial"/>
                <w:color w:val="000000"/>
                <w:kern w:val="0"/>
                <w:szCs w:val="21"/>
              </w:rPr>
            </w:pPr>
          </w:p>
        </w:tc>
        <w:tc>
          <w:tcPr>
            <w:tcW w:w="1680" w:type="dxa"/>
            <w:vMerge/>
            <w:tcBorders>
              <w:top w:val="single" w:sz="4" w:space="0" w:color="auto"/>
              <w:left w:val="single" w:sz="4" w:space="0" w:color="auto"/>
              <w:bottom w:val="single" w:sz="4" w:space="0" w:color="auto"/>
              <w:right w:val="single" w:sz="4" w:space="0" w:color="auto"/>
            </w:tcBorders>
            <w:vAlign w:val="center"/>
          </w:tcPr>
          <w:p w14:paraId="1534A709">
            <w:pPr>
              <w:widowControl/>
              <w:overflowPunct w:val="0"/>
              <w:autoSpaceDE w:val="0"/>
              <w:autoSpaceDN w:val="0"/>
              <w:spacing w:line="240" w:lineRule="auto"/>
              <w:jc w:val="left"/>
              <w:rPr>
                <w:rFonts w:ascii="宋体" w:eastAsia="宋体" w:hAnsi="宋体" w:cs="Arial"/>
                <w:color w:val="000000"/>
                <w:kern w:val="0"/>
                <w:szCs w:val="21"/>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2F5DA09D">
            <w:pPr>
              <w:widowControl/>
              <w:overflowPunct w:val="0"/>
              <w:autoSpaceDE w:val="0"/>
              <w:autoSpaceDN w:val="0"/>
              <w:spacing w:line="240" w:lineRule="auto"/>
              <w:jc w:val="left"/>
              <w:rPr>
                <w:rFonts w:ascii="宋体" w:eastAsia="宋体" w:hAnsi="宋体" w:cs="Arial"/>
                <w:color w:val="000000"/>
                <w:kern w:val="0"/>
                <w:szCs w:val="21"/>
              </w:rPr>
            </w:pPr>
          </w:p>
        </w:tc>
        <w:tc>
          <w:tcPr>
            <w:tcW w:w="1541" w:type="dxa"/>
            <w:vMerge/>
            <w:tcBorders>
              <w:top w:val="single" w:sz="4" w:space="0" w:color="auto"/>
              <w:left w:val="single" w:sz="4" w:space="0" w:color="auto"/>
              <w:bottom w:val="single" w:sz="4" w:space="0" w:color="auto"/>
              <w:right w:val="single" w:sz="4" w:space="0" w:color="auto"/>
            </w:tcBorders>
            <w:vAlign w:val="center"/>
          </w:tcPr>
          <w:p w14:paraId="54065DC5">
            <w:pPr>
              <w:widowControl/>
              <w:overflowPunct w:val="0"/>
              <w:autoSpaceDE w:val="0"/>
              <w:autoSpaceDN w:val="0"/>
              <w:spacing w:line="240" w:lineRule="auto"/>
              <w:jc w:val="left"/>
              <w:rPr>
                <w:rFonts w:ascii="宋体" w:eastAsia="宋体" w:hAnsi="宋体" w:cs="Arial"/>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14:paraId="1C2ECD25">
            <w:pPr>
              <w:widowControl/>
              <w:overflowPunct w:val="0"/>
              <w:autoSpaceDE w:val="0"/>
              <w:autoSpaceDN w:val="0"/>
              <w:spacing w:line="240" w:lineRule="auto"/>
              <w:jc w:val="left"/>
              <w:rPr>
                <w:rFonts w:ascii="宋体" w:eastAsia="宋体" w:hAnsi="宋体" w:cs="Arial"/>
                <w:color w:val="000000"/>
                <w:kern w:val="0"/>
                <w:szCs w:val="21"/>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124FB341">
            <w:pPr>
              <w:widowControl/>
              <w:overflowPunct w:val="0"/>
              <w:autoSpaceDE w:val="0"/>
              <w:autoSpaceDN w:val="0"/>
              <w:spacing w:line="240" w:lineRule="auto"/>
              <w:jc w:val="left"/>
              <w:rPr>
                <w:rFonts w:ascii="宋体" w:eastAsia="宋体" w:hAnsi="宋体" w:cs="Arial"/>
                <w:color w:val="000000"/>
                <w:kern w:val="0"/>
                <w:szCs w:val="21"/>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74CFEF3">
            <w:pPr>
              <w:widowControl/>
              <w:overflowPunct w:val="0"/>
              <w:autoSpaceDE w:val="0"/>
              <w:autoSpaceDN w:val="0"/>
              <w:spacing w:line="240" w:lineRule="auto"/>
              <w:jc w:val="left"/>
              <w:rPr>
                <w:rFonts w:ascii="宋体" w:eastAsia="宋体" w:hAnsi="宋体" w:cs="Arial"/>
                <w:color w:val="000000"/>
                <w:kern w:val="0"/>
                <w:szCs w:val="21"/>
              </w:rPr>
            </w:pPr>
          </w:p>
        </w:tc>
        <w:tc>
          <w:tcPr>
            <w:tcW w:w="1112" w:type="dxa"/>
            <w:vMerge/>
            <w:tcBorders>
              <w:top w:val="single" w:sz="4" w:space="0" w:color="auto"/>
              <w:left w:val="single" w:sz="4" w:space="0" w:color="auto"/>
              <w:bottom w:val="single" w:sz="4" w:space="0" w:color="auto"/>
              <w:right w:val="single" w:sz="4" w:space="0" w:color="auto"/>
            </w:tcBorders>
            <w:vAlign w:val="center"/>
          </w:tcPr>
          <w:p w14:paraId="3164A70E">
            <w:pPr>
              <w:widowControl/>
              <w:overflowPunct w:val="0"/>
              <w:autoSpaceDE w:val="0"/>
              <w:autoSpaceDN w:val="0"/>
              <w:spacing w:line="240" w:lineRule="auto"/>
              <w:jc w:val="left"/>
              <w:rPr>
                <w:rFonts w:ascii="宋体" w:eastAsia="宋体" w:hAnsi="宋体" w:cs="Arial"/>
                <w:color w:val="000000"/>
                <w:kern w:val="0"/>
                <w:szCs w:val="21"/>
              </w:rPr>
            </w:pPr>
          </w:p>
        </w:tc>
      </w:tr>
      <w:tr w14:paraId="58C86515">
        <w:tblPrEx>
          <w:tblW w:w="13427" w:type="dxa"/>
          <w:tblInd w:w="91" w:type="dxa"/>
          <w:tblLayout w:type="fixed"/>
          <w:tblCellMar>
            <w:top w:w="0" w:type="dxa"/>
            <w:left w:w="108" w:type="dxa"/>
            <w:bottom w:w="0" w:type="dxa"/>
            <w:right w:w="108" w:type="dxa"/>
          </w:tblCellMar>
        </w:tblPrEx>
        <w:trPr>
          <w:trHeight w:val="312"/>
        </w:trPr>
        <w:tc>
          <w:tcPr>
            <w:tcW w:w="1274" w:type="dxa"/>
            <w:gridSpan w:val="3"/>
            <w:vMerge/>
            <w:tcBorders>
              <w:top w:val="single" w:sz="4" w:space="0" w:color="auto"/>
              <w:left w:val="single" w:sz="4" w:space="0" w:color="auto"/>
              <w:bottom w:val="single" w:sz="4" w:space="0" w:color="auto"/>
              <w:right w:val="single" w:sz="4" w:space="0" w:color="auto"/>
            </w:tcBorders>
            <w:vAlign w:val="center"/>
          </w:tcPr>
          <w:p w14:paraId="6454C913">
            <w:pPr>
              <w:widowControl/>
              <w:overflowPunct w:val="0"/>
              <w:autoSpaceDE w:val="0"/>
              <w:autoSpaceDN w:val="0"/>
              <w:spacing w:line="240" w:lineRule="auto"/>
              <w:jc w:val="left"/>
              <w:rPr>
                <w:rFonts w:ascii="宋体" w:eastAsia="宋体" w:hAnsi="宋体" w:cs="Arial"/>
                <w:color w:val="000000"/>
                <w:kern w:val="0"/>
                <w:szCs w:val="21"/>
              </w:rPr>
            </w:pPr>
          </w:p>
        </w:tc>
        <w:tc>
          <w:tcPr>
            <w:tcW w:w="2827" w:type="dxa"/>
            <w:gridSpan w:val="3"/>
            <w:vMerge/>
            <w:tcBorders>
              <w:top w:val="single" w:sz="4" w:space="0" w:color="auto"/>
              <w:left w:val="single" w:sz="4" w:space="0" w:color="auto"/>
              <w:bottom w:val="single" w:sz="4" w:space="0" w:color="auto"/>
              <w:right w:val="single" w:sz="4" w:space="0" w:color="auto"/>
            </w:tcBorders>
            <w:vAlign w:val="center"/>
          </w:tcPr>
          <w:p w14:paraId="481460AF">
            <w:pPr>
              <w:widowControl/>
              <w:overflowPunct w:val="0"/>
              <w:autoSpaceDE w:val="0"/>
              <w:autoSpaceDN w:val="0"/>
              <w:spacing w:line="240" w:lineRule="auto"/>
              <w:jc w:val="left"/>
              <w:rPr>
                <w:rFonts w:ascii="宋体" w:eastAsia="宋体" w:hAnsi="宋体" w:cs="Arial"/>
                <w:color w:val="000000"/>
                <w:kern w:val="0"/>
                <w:szCs w:val="21"/>
              </w:rPr>
            </w:pPr>
          </w:p>
        </w:tc>
        <w:tc>
          <w:tcPr>
            <w:tcW w:w="1680" w:type="dxa"/>
            <w:vMerge/>
            <w:tcBorders>
              <w:top w:val="single" w:sz="4" w:space="0" w:color="auto"/>
              <w:left w:val="single" w:sz="4" w:space="0" w:color="auto"/>
              <w:bottom w:val="single" w:sz="4" w:space="0" w:color="auto"/>
              <w:right w:val="single" w:sz="4" w:space="0" w:color="auto"/>
            </w:tcBorders>
            <w:vAlign w:val="center"/>
          </w:tcPr>
          <w:p w14:paraId="1FAFE826">
            <w:pPr>
              <w:widowControl/>
              <w:overflowPunct w:val="0"/>
              <w:autoSpaceDE w:val="0"/>
              <w:autoSpaceDN w:val="0"/>
              <w:spacing w:line="240" w:lineRule="auto"/>
              <w:jc w:val="left"/>
              <w:rPr>
                <w:rFonts w:ascii="宋体" w:eastAsia="宋体" w:hAnsi="宋体" w:cs="Arial"/>
                <w:color w:val="000000"/>
                <w:kern w:val="0"/>
                <w:szCs w:val="21"/>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788123BF">
            <w:pPr>
              <w:widowControl/>
              <w:overflowPunct w:val="0"/>
              <w:autoSpaceDE w:val="0"/>
              <w:autoSpaceDN w:val="0"/>
              <w:spacing w:line="240" w:lineRule="auto"/>
              <w:jc w:val="left"/>
              <w:rPr>
                <w:rFonts w:ascii="宋体" w:eastAsia="宋体" w:hAnsi="宋体" w:cs="Arial"/>
                <w:color w:val="000000"/>
                <w:kern w:val="0"/>
                <w:szCs w:val="21"/>
              </w:rPr>
            </w:pPr>
          </w:p>
        </w:tc>
        <w:tc>
          <w:tcPr>
            <w:tcW w:w="1541" w:type="dxa"/>
            <w:vMerge/>
            <w:tcBorders>
              <w:top w:val="single" w:sz="4" w:space="0" w:color="auto"/>
              <w:left w:val="single" w:sz="4" w:space="0" w:color="auto"/>
              <w:bottom w:val="single" w:sz="4" w:space="0" w:color="auto"/>
              <w:right w:val="single" w:sz="4" w:space="0" w:color="auto"/>
            </w:tcBorders>
            <w:vAlign w:val="center"/>
          </w:tcPr>
          <w:p w14:paraId="4B03032B">
            <w:pPr>
              <w:widowControl/>
              <w:overflowPunct w:val="0"/>
              <w:autoSpaceDE w:val="0"/>
              <w:autoSpaceDN w:val="0"/>
              <w:spacing w:line="240" w:lineRule="auto"/>
              <w:jc w:val="left"/>
              <w:rPr>
                <w:rFonts w:ascii="宋体" w:eastAsia="宋体" w:hAnsi="宋体" w:cs="Arial"/>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tcPr>
          <w:p w14:paraId="423AF7C0">
            <w:pPr>
              <w:widowControl/>
              <w:overflowPunct w:val="0"/>
              <w:autoSpaceDE w:val="0"/>
              <w:autoSpaceDN w:val="0"/>
              <w:spacing w:line="240" w:lineRule="auto"/>
              <w:jc w:val="left"/>
              <w:rPr>
                <w:rFonts w:ascii="宋体" w:eastAsia="宋体" w:hAnsi="宋体" w:cs="Arial"/>
                <w:color w:val="000000"/>
                <w:kern w:val="0"/>
                <w:szCs w:val="21"/>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392BCD91">
            <w:pPr>
              <w:widowControl/>
              <w:overflowPunct w:val="0"/>
              <w:autoSpaceDE w:val="0"/>
              <w:autoSpaceDN w:val="0"/>
              <w:spacing w:line="240" w:lineRule="auto"/>
              <w:jc w:val="left"/>
              <w:rPr>
                <w:rFonts w:ascii="宋体" w:eastAsia="宋体" w:hAnsi="宋体" w:cs="Arial"/>
                <w:color w:val="000000"/>
                <w:kern w:val="0"/>
                <w:szCs w:val="21"/>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90FEC75">
            <w:pPr>
              <w:widowControl/>
              <w:overflowPunct w:val="0"/>
              <w:autoSpaceDE w:val="0"/>
              <w:autoSpaceDN w:val="0"/>
              <w:spacing w:line="240" w:lineRule="auto"/>
              <w:jc w:val="left"/>
              <w:rPr>
                <w:rFonts w:ascii="宋体" w:eastAsia="宋体" w:hAnsi="宋体" w:cs="Arial"/>
                <w:color w:val="000000"/>
                <w:kern w:val="0"/>
                <w:szCs w:val="21"/>
              </w:rPr>
            </w:pPr>
          </w:p>
        </w:tc>
        <w:tc>
          <w:tcPr>
            <w:tcW w:w="1112" w:type="dxa"/>
            <w:vMerge/>
            <w:tcBorders>
              <w:top w:val="single" w:sz="4" w:space="0" w:color="auto"/>
              <w:left w:val="single" w:sz="4" w:space="0" w:color="auto"/>
              <w:bottom w:val="single" w:sz="4" w:space="0" w:color="auto"/>
              <w:right w:val="single" w:sz="4" w:space="0" w:color="auto"/>
            </w:tcBorders>
            <w:vAlign w:val="center"/>
          </w:tcPr>
          <w:p w14:paraId="7B037BA9">
            <w:pPr>
              <w:widowControl/>
              <w:overflowPunct w:val="0"/>
              <w:autoSpaceDE w:val="0"/>
              <w:autoSpaceDN w:val="0"/>
              <w:spacing w:line="240" w:lineRule="auto"/>
              <w:jc w:val="left"/>
              <w:rPr>
                <w:rFonts w:ascii="宋体" w:eastAsia="宋体" w:hAnsi="宋体" w:cs="Arial"/>
                <w:color w:val="000000"/>
                <w:kern w:val="0"/>
                <w:szCs w:val="21"/>
              </w:rPr>
            </w:pPr>
          </w:p>
        </w:tc>
      </w:tr>
      <w:tr w14:paraId="34C0460C">
        <w:tblPrEx>
          <w:tblW w:w="13427" w:type="dxa"/>
          <w:tblInd w:w="91" w:type="dxa"/>
          <w:tblLayout w:type="fixed"/>
          <w:tblCellMar>
            <w:top w:w="0" w:type="dxa"/>
            <w:left w:w="108" w:type="dxa"/>
            <w:bottom w:w="0" w:type="dxa"/>
            <w:right w:w="108" w:type="dxa"/>
          </w:tblCellMar>
        </w:tblPrEx>
        <w:trPr>
          <w:trHeight w:val="308"/>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39FAD">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类</w:t>
            </w:r>
          </w:p>
        </w:tc>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CF618">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款</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5DD07">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项</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D32FF5">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合计</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CF98B">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7077.55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6D50C">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7041.84</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26073">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CED1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35.70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6D77C">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89D5">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C9EE0">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C32240">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686E75">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一般公共服务支出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75F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B2136">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1623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D2F5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30F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D7670">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8E63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党委办公厅（室）及相关机构事务</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2013105</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专项业务</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5038.76</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5003.05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35.70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教育管理事务</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其他教育管理事务支出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普通教育</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4720.97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4685.26</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35.70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2050203</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初中教育</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2050204</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高中教育</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4086.25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4050.54</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35.70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其他普通教育支出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559.80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559.80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特殊教育</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其他特殊教育支出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教育费附加安排的支出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其他教育费附加安排的支出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社会保障和就业支出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行政事业单位养老支出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2080502</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事业单位离退休</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2080505</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机关事业单位基本养老保险缴费支出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2080506</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机关事业单位职业年金缴费支出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2089999</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卫生健康支出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行政事业单位医疗</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2101102</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事业单位医疗</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2101103</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公务员医疗补助</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住房保障支出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住房改革支出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2210201</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住房公积金</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2210202</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提租补贴</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1FB1BF29">
        <w:tblPrEx>
          <w:tblW w:w="13427" w:type="dxa"/>
          <w:tblInd w:w="91" w:type="dxa"/>
          <w:tblLayout w:type="fixed"/>
          <w:tblCellMar>
            <w:top w:w="0" w:type="dxa"/>
            <w:left w:w="108" w:type="dxa"/>
            <w:bottom w:w="0" w:type="dxa"/>
            <w:right w:w="108" w:type="dxa"/>
          </w:tblCellMar>
        </w:tblPrEx>
        <w:trPr>
          <w:trHeight w:val="270"/>
        </w:trPr>
        <w:tc>
          <w:tcPr>
            <w:tcW w:w="12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2210203</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购房补贴</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bl>
    <w:p w14:paraId="7CC87B4C">
      <w:pPr>
        <w:widowControl/>
        <w:overflowPunct w:val="0"/>
        <w:autoSpaceDE w:val="0"/>
        <w:autoSpaceDN w:val="0"/>
        <w:spacing w:line="240" w:lineRule="auto"/>
        <w:jc w:val="left"/>
        <w:rPr>
          <w:rFonts w:ascii="黑体" w:eastAsia="黑体" w:hAnsi="仿宋"/>
          <w:sz w:val="32"/>
          <w:szCs w:val="32"/>
        </w:rPr>
      </w:pPr>
      <w:r>
        <w:rPr>
          <w:rFonts w:ascii="宋体" w:eastAsia="宋体" w:hAnsi="宋体" w:cs="宋体" w:hint="eastAsia"/>
          <w:sz w:val="24"/>
          <w:szCs w:val="24"/>
        </w:rPr>
        <w:t>注：本表反映单位本年度取得的各项收入情况。</w:t>
      </w:r>
      <w:r>
        <w:br w:type="page"/>
      </w:r>
    </w:p>
    <w:p w14:paraId="149926BE">
      <w:pPr>
        <w:overflowPunct w:val="0"/>
        <w:autoSpaceDE w:val="0"/>
        <w:autoSpaceDN w:val="0"/>
        <w:jc w:val="left"/>
        <w:outlineLvl w:val="1"/>
        <w:rPr>
          <w:rFonts w:ascii="黑体" w:eastAsia="黑体" w:hAnsi="仿宋"/>
          <w:sz w:val="32"/>
          <w:szCs w:val="32"/>
        </w:rPr>
      </w:pPr>
      <w:bookmarkStart w:id="10" w:name="_Toc256000009"/>
      <w:r>
        <w:rPr>
          <w:rFonts w:ascii="黑体" w:eastAsia="黑体" w:hAnsi="仿宋" w:hint="eastAsia"/>
          <w:sz w:val="32"/>
          <w:szCs w:val="32"/>
        </w:rPr>
        <w:t>三、支出决算表</w:t>
      </w:r>
      <w:bookmarkEnd w:id="10"/>
    </w:p>
    <w:tbl>
      <w:tblPr>
        <w:tblStyle w:val="TableNormal"/>
        <w:tblW w:w="13522" w:type="dxa"/>
        <w:tblInd w:w="0" w:type="dxa"/>
        <w:tblLayout w:type="fixed"/>
        <w:tblCellMar>
          <w:top w:w="0" w:type="dxa"/>
          <w:left w:w="108" w:type="dxa"/>
          <w:bottom w:w="0" w:type="dxa"/>
          <w:right w:w="108" w:type="dxa"/>
        </w:tblCellMar>
      </w:tblPr>
      <w:tblGrid>
        <w:gridCol w:w="538"/>
        <w:gridCol w:w="450"/>
        <w:gridCol w:w="159"/>
        <w:gridCol w:w="77"/>
        <w:gridCol w:w="236"/>
        <w:gridCol w:w="341"/>
        <w:gridCol w:w="2435"/>
        <w:gridCol w:w="658"/>
        <w:gridCol w:w="612"/>
        <w:gridCol w:w="1531"/>
        <w:gridCol w:w="236"/>
        <w:gridCol w:w="736"/>
        <w:gridCol w:w="228"/>
        <w:gridCol w:w="428"/>
        <w:gridCol w:w="677"/>
        <w:gridCol w:w="1485"/>
        <w:gridCol w:w="1128"/>
        <w:gridCol w:w="1567"/>
      </w:tblGrid>
      <w:tr w14:paraId="552B4D37">
        <w:tblPrEx>
          <w:tblW w:w="13522" w:type="dxa"/>
          <w:tblInd w:w="0" w:type="dxa"/>
          <w:tblLayout w:type="fixed"/>
          <w:tblCellMar>
            <w:top w:w="0" w:type="dxa"/>
            <w:left w:w="108" w:type="dxa"/>
            <w:bottom w:w="0" w:type="dxa"/>
            <w:right w:w="108" w:type="dxa"/>
          </w:tblCellMar>
        </w:tblPrEx>
        <w:trPr>
          <w:trHeight w:val="495"/>
        </w:trPr>
        <w:tc>
          <w:tcPr>
            <w:tcW w:w="5000" w:type="pct"/>
            <w:gridSpan w:val="18"/>
            <w:tcBorders>
              <w:top w:val="nil"/>
              <w:left w:val="nil"/>
              <w:bottom w:val="nil"/>
              <w:right w:val="nil"/>
            </w:tcBorders>
            <w:shd w:val="clear" w:color="auto" w:fill="auto"/>
            <w:noWrap/>
            <w:vAlign w:val="bottom"/>
          </w:tcPr>
          <w:p w14:paraId="27AF69E0">
            <w:pPr>
              <w:widowControl/>
              <w:overflowPunct w:val="0"/>
              <w:autoSpaceDE w:val="0"/>
              <w:autoSpaceDN w:val="0"/>
              <w:spacing w:line="240" w:lineRule="auto"/>
              <w:jc w:val="center"/>
              <w:rPr>
                <w:rFonts w:ascii="宋体" w:eastAsia="黑体" w:hAnsi="宋体" w:cs="Arial"/>
                <w:color w:val="000000"/>
                <w:kern w:val="0"/>
                <w:sz w:val="44"/>
                <w:szCs w:val="44"/>
              </w:rPr>
            </w:pPr>
            <w:r>
              <w:rPr>
                <w:rFonts w:ascii="黑体" w:eastAsia="黑体" w:hAnsi="Arial" w:cs="Arial" w:hint="eastAsia"/>
                <w:color w:val="000000"/>
                <w:kern w:val="0"/>
                <w:sz w:val="36"/>
                <w:szCs w:val="36"/>
              </w:rPr>
              <w:t>支出决算表</w:t>
            </w:r>
          </w:p>
        </w:tc>
      </w:tr>
      <w:tr w14:paraId="08A3DF37">
        <w:tblPrEx>
          <w:tblW w:w="13522" w:type="dxa"/>
          <w:tblInd w:w="0" w:type="dxa"/>
          <w:tblLayout w:type="fixed"/>
          <w:tblCellMar>
            <w:top w:w="0" w:type="dxa"/>
            <w:left w:w="108" w:type="dxa"/>
            <w:bottom w:w="0" w:type="dxa"/>
            <w:right w:w="108" w:type="dxa"/>
          </w:tblCellMar>
        </w:tblPrEx>
        <w:trPr>
          <w:trHeight w:val="300"/>
        </w:trPr>
        <w:tc>
          <w:tcPr>
            <w:tcW w:w="367" w:type="pct"/>
            <w:gridSpan w:val="2"/>
            <w:tcBorders>
              <w:top w:val="nil"/>
              <w:left w:val="nil"/>
              <w:bottom w:val="nil"/>
              <w:right w:val="nil"/>
            </w:tcBorders>
            <w:shd w:val="clear" w:color="auto" w:fill="auto"/>
            <w:noWrap/>
            <w:vAlign w:val="bottom"/>
          </w:tcPr>
          <w:p w14:paraId="481F40D3">
            <w:pPr>
              <w:widowControl/>
              <w:overflowPunct w:val="0"/>
              <w:autoSpaceDE w:val="0"/>
              <w:autoSpaceDN w:val="0"/>
              <w:spacing w:line="240" w:lineRule="auto"/>
              <w:jc w:val="left"/>
              <w:rPr>
                <w:rFonts w:ascii="Arial" w:eastAsia="宋体" w:hAnsi="Arial" w:cs="Arial"/>
                <w:color w:val="000000"/>
                <w:kern w:val="0"/>
                <w:sz w:val="20"/>
                <w:szCs w:val="20"/>
              </w:rPr>
            </w:pPr>
          </w:p>
        </w:tc>
        <w:tc>
          <w:tcPr>
            <w:tcW w:w="82" w:type="pct"/>
            <w:gridSpan w:val="2"/>
            <w:tcBorders>
              <w:top w:val="nil"/>
              <w:left w:val="nil"/>
              <w:bottom w:val="nil"/>
              <w:right w:val="nil"/>
            </w:tcBorders>
            <w:shd w:val="clear" w:color="auto" w:fill="auto"/>
            <w:noWrap/>
            <w:vAlign w:val="bottom"/>
          </w:tcPr>
          <w:p w14:paraId="5EDB55FA">
            <w:pPr>
              <w:widowControl/>
              <w:overflowPunct w:val="0"/>
              <w:autoSpaceDE w:val="0"/>
              <w:autoSpaceDN w:val="0"/>
              <w:spacing w:line="240" w:lineRule="auto"/>
              <w:jc w:val="left"/>
              <w:rPr>
                <w:rFonts w:ascii="Arial" w:eastAsia="宋体" w:hAnsi="Arial" w:cs="Arial"/>
                <w:color w:val="000000"/>
                <w:kern w:val="0"/>
                <w:sz w:val="20"/>
                <w:szCs w:val="20"/>
              </w:rPr>
            </w:pPr>
          </w:p>
        </w:tc>
        <w:tc>
          <w:tcPr>
            <w:tcW w:w="82" w:type="pct"/>
            <w:tcBorders>
              <w:top w:val="nil"/>
              <w:left w:val="nil"/>
              <w:bottom w:val="nil"/>
              <w:right w:val="nil"/>
            </w:tcBorders>
            <w:shd w:val="clear" w:color="auto" w:fill="auto"/>
            <w:noWrap/>
            <w:vAlign w:val="bottom"/>
          </w:tcPr>
          <w:p w14:paraId="278EED65">
            <w:pPr>
              <w:widowControl/>
              <w:overflowPunct w:val="0"/>
              <w:autoSpaceDE w:val="0"/>
              <w:autoSpaceDN w:val="0"/>
              <w:spacing w:line="240" w:lineRule="auto"/>
              <w:jc w:val="left"/>
              <w:rPr>
                <w:rFonts w:ascii="Arial" w:eastAsia="宋体" w:hAnsi="Arial" w:cs="Arial"/>
                <w:color w:val="000000"/>
                <w:kern w:val="0"/>
                <w:sz w:val="20"/>
                <w:szCs w:val="20"/>
              </w:rPr>
            </w:pPr>
          </w:p>
        </w:tc>
        <w:tc>
          <w:tcPr>
            <w:tcW w:w="1498" w:type="pct"/>
            <w:gridSpan w:val="4"/>
            <w:tcBorders>
              <w:top w:val="nil"/>
              <w:left w:val="nil"/>
              <w:bottom w:val="nil"/>
              <w:right w:val="nil"/>
            </w:tcBorders>
            <w:shd w:val="clear" w:color="auto" w:fill="auto"/>
            <w:noWrap/>
            <w:vAlign w:val="bottom"/>
          </w:tcPr>
          <w:p w14:paraId="7C2ABED8">
            <w:pPr>
              <w:widowControl/>
              <w:overflowPunct w:val="0"/>
              <w:autoSpaceDE w:val="0"/>
              <w:autoSpaceDN w:val="0"/>
              <w:spacing w:line="240" w:lineRule="auto"/>
              <w:jc w:val="left"/>
              <w:rPr>
                <w:rFonts w:ascii="Arial" w:eastAsia="宋体" w:hAnsi="Arial" w:cs="Arial"/>
                <w:color w:val="000000"/>
                <w:kern w:val="0"/>
                <w:sz w:val="20"/>
                <w:szCs w:val="20"/>
              </w:rPr>
            </w:pPr>
          </w:p>
        </w:tc>
        <w:tc>
          <w:tcPr>
            <w:tcW w:w="567" w:type="pct"/>
            <w:tcBorders>
              <w:top w:val="nil"/>
              <w:left w:val="nil"/>
              <w:bottom w:val="nil"/>
              <w:right w:val="nil"/>
            </w:tcBorders>
            <w:shd w:val="clear" w:color="auto" w:fill="auto"/>
            <w:noWrap/>
            <w:vAlign w:val="bottom"/>
          </w:tcPr>
          <w:p w14:paraId="27E6CA6F">
            <w:pPr>
              <w:widowControl/>
              <w:overflowPunct w:val="0"/>
              <w:autoSpaceDE w:val="0"/>
              <w:autoSpaceDN w:val="0"/>
              <w:spacing w:line="240" w:lineRule="auto"/>
              <w:jc w:val="left"/>
              <w:rPr>
                <w:rFonts w:ascii="Arial" w:eastAsia="宋体" w:hAnsi="Arial" w:cs="Arial"/>
                <w:color w:val="000000"/>
                <w:kern w:val="0"/>
                <w:sz w:val="20"/>
                <w:szCs w:val="20"/>
              </w:rPr>
            </w:pPr>
          </w:p>
        </w:tc>
        <w:tc>
          <w:tcPr>
            <w:tcW w:w="87" w:type="pct"/>
            <w:tcBorders>
              <w:top w:val="nil"/>
              <w:left w:val="nil"/>
              <w:bottom w:val="nil"/>
              <w:right w:val="nil"/>
            </w:tcBorders>
            <w:shd w:val="clear" w:color="auto" w:fill="auto"/>
            <w:noWrap/>
            <w:vAlign w:val="bottom"/>
          </w:tcPr>
          <w:p w14:paraId="481169D9">
            <w:pPr>
              <w:widowControl/>
              <w:overflowPunct w:val="0"/>
              <w:autoSpaceDE w:val="0"/>
              <w:autoSpaceDN w:val="0"/>
              <w:spacing w:line="240" w:lineRule="auto"/>
              <w:jc w:val="left"/>
              <w:rPr>
                <w:rFonts w:ascii="Arial" w:eastAsia="宋体" w:hAnsi="Arial" w:cs="Arial"/>
                <w:color w:val="000000"/>
                <w:kern w:val="0"/>
                <w:sz w:val="20"/>
                <w:szCs w:val="20"/>
              </w:rPr>
            </w:pPr>
          </w:p>
        </w:tc>
        <w:tc>
          <w:tcPr>
            <w:tcW w:w="273" w:type="pct"/>
            <w:tcBorders>
              <w:top w:val="nil"/>
              <w:left w:val="nil"/>
              <w:bottom w:val="nil"/>
              <w:right w:val="nil"/>
            </w:tcBorders>
            <w:shd w:val="clear" w:color="auto" w:fill="auto"/>
            <w:noWrap/>
            <w:vAlign w:val="bottom"/>
          </w:tcPr>
          <w:p w14:paraId="1EA30020">
            <w:pPr>
              <w:widowControl/>
              <w:overflowPunct w:val="0"/>
              <w:autoSpaceDE w:val="0"/>
              <w:autoSpaceDN w:val="0"/>
              <w:spacing w:line="240" w:lineRule="auto"/>
              <w:jc w:val="left"/>
              <w:rPr>
                <w:rFonts w:ascii="Arial" w:eastAsia="宋体" w:hAnsi="Arial" w:cs="Arial"/>
                <w:color w:val="000000"/>
                <w:kern w:val="0"/>
                <w:sz w:val="20"/>
                <w:szCs w:val="20"/>
              </w:rPr>
            </w:pPr>
          </w:p>
        </w:tc>
        <w:tc>
          <w:tcPr>
            <w:tcW w:w="244" w:type="pct"/>
            <w:gridSpan w:val="2"/>
            <w:tcBorders>
              <w:top w:val="nil"/>
              <w:left w:val="nil"/>
              <w:bottom w:val="nil"/>
              <w:right w:val="nil"/>
            </w:tcBorders>
            <w:shd w:val="clear" w:color="auto" w:fill="auto"/>
            <w:noWrap/>
            <w:vAlign w:val="bottom"/>
          </w:tcPr>
          <w:p w14:paraId="06D09821">
            <w:pPr>
              <w:widowControl/>
              <w:overflowPunct w:val="0"/>
              <w:autoSpaceDE w:val="0"/>
              <w:autoSpaceDN w:val="0"/>
              <w:spacing w:line="240" w:lineRule="auto"/>
              <w:jc w:val="left"/>
              <w:rPr>
                <w:rFonts w:ascii="Arial" w:eastAsia="宋体" w:hAnsi="Arial" w:cs="Arial"/>
                <w:color w:val="000000"/>
                <w:kern w:val="0"/>
                <w:sz w:val="20"/>
                <w:szCs w:val="20"/>
              </w:rPr>
            </w:pPr>
          </w:p>
        </w:tc>
        <w:tc>
          <w:tcPr>
            <w:tcW w:w="1797" w:type="pct"/>
            <w:gridSpan w:val="4"/>
            <w:tcBorders>
              <w:top w:val="nil"/>
              <w:left w:val="nil"/>
              <w:bottom w:val="nil"/>
              <w:right w:val="nil"/>
            </w:tcBorders>
            <w:shd w:val="clear" w:color="auto" w:fill="auto"/>
            <w:noWrap/>
            <w:vAlign w:val="bottom"/>
          </w:tcPr>
          <w:p w14:paraId="62F27346">
            <w:pPr>
              <w:widowControl/>
              <w:overflowPunct w:val="0"/>
              <w:autoSpaceDE w:val="0"/>
              <w:autoSpaceDN w:val="0"/>
              <w:spacing w:line="240" w:lineRule="auto"/>
              <w:ind w:firstLine="1500" w:firstLineChars="750"/>
              <w:jc w:val="right"/>
              <w:rPr>
                <w:rFonts w:ascii="Arial" w:eastAsia="宋体" w:hAnsi="Arial" w:cs="Arial"/>
                <w:color w:val="000000"/>
                <w:kern w:val="0"/>
                <w:sz w:val="20"/>
                <w:szCs w:val="20"/>
              </w:rPr>
            </w:pPr>
            <w:r>
              <w:rPr>
                <w:rFonts w:ascii="Arial" w:eastAsia="宋体" w:hAnsi="Arial" w:cs="Arial" w:hint="eastAsia"/>
                <w:color w:val="000000"/>
                <w:kern w:val="0"/>
                <w:sz w:val="20"/>
                <w:szCs w:val="20"/>
              </w:rPr>
              <w:t>公开03表</w:t>
            </w:r>
          </w:p>
        </w:tc>
      </w:tr>
      <w:tr w14:paraId="507D5B26">
        <w:tblPrEx>
          <w:tblW w:w="13522" w:type="dxa"/>
          <w:tblInd w:w="0" w:type="dxa"/>
          <w:tblLayout w:type="fixed"/>
          <w:tblCellMar>
            <w:top w:w="0" w:type="dxa"/>
            <w:left w:w="108" w:type="dxa"/>
            <w:bottom w:w="0" w:type="dxa"/>
            <w:right w:w="108" w:type="dxa"/>
          </w:tblCellMar>
        </w:tblPrEx>
        <w:trPr>
          <w:trHeight w:val="315"/>
        </w:trPr>
        <w:tc>
          <w:tcPr>
            <w:tcW w:w="1559" w:type="pct"/>
            <w:gridSpan w:val="7"/>
            <w:tcBorders>
              <w:top w:val="nil"/>
              <w:left w:val="nil"/>
              <w:bottom w:val="single" w:sz="4" w:space="0" w:color="auto"/>
              <w:right w:val="nil"/>
            </w:tcBorders>
            <w:shd w:val="clear" w:color="auto" w:fill="auto"/>
            <w:noWrap/>
            <w:vAlign w:val="bottom"/>
          </w:tcPr>
          <w:p w14:paraId="04126942">
            <w:pPr>
              <w:widowControl/>
              <w:overflowPunct w:val="0"/>
              <w:autoSpaceDE w:val="0"/>
              <w:autoSpaceDN w:val="0"/>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244" w:type="pct"/>
            <w:tcBorders>
              <w:top w:val="nil"/>
              <w:left w:val="nil"/>
              <w:bottom w:val="single" w:sz="4" w:space="0" w:color="auto"/>
              <w:right w:val="nil"/>
            </w:tcBorders>
            <w:shd w:val="clear" w:color="auto" w:fill="auto"/>
            <w:noWrap/>
            <w:vAlign w:val="bottom"/>
          </w:tcPr>
          <w:p w14:paraId="4688664D">
            <w:pPr>
              <w:widowControl/>
              <w:overflowPunct w:val="0"/>
              <w:autoSpaceDE w:val="0"/>
              <w:autoSpaceDN w:val="0"/>
              <w:spacing w:line="240" w:lineRule="auto"/>
              <w:jc w:val="left"/>
              <w:rPr>
                <w:rFonts w:ascii="Arial" w:eastAsia="宋体" w:hAnsi="Arial" w:cs="Arial"/>
                <w:color w:val="000000"/>
                <w:kern w:val="0"/>
                <w:sz w:val="20"/>
                <w:szCs w:val="20"/>
              </w:rPr>
            </w:pPr>
          </w:p>
        </w:tc>
        <w:tc>
          <w:tcPr>
            <w:tcW w:w="3196" w:type="pct"/>
            <w:gridSpan w:val="10"/>
            <w:tcBorders>
              <w:top w:val="nil"/>
              <w:left w:val="nil"/>
              <w:bottom w:val="single" w:sz="4" w:space="0" w:color="auto"/>
              <w:right w:val="nil"/>
            </w:tcBorders>
            <w:shd w:val="clear" w:color="auto" w:fill="auto"/>
            <w:noWrap/>
            <w:vAlign w:val="bottom"/>
          </w:tcPr>
          <w:p w14:paraId="77436C8A">
            <w:pPr>
              <w:widowControl/>
              <w:overflowPunct w:val="0"/>
              <w:autoSpaceDE w:val="0"/>
              <w:autoSpaceDN w:val="0"/>
              <w:spacing w:line="240" w:lineRule="auto"/>
              <w:ind w:right="79"/>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单位：万元</w:t>
            </w:r>
          </w:p>
        </w:tc>
      </w:tr>
      <w:tr w14:paraId="5E4FF444">
        <w:tblPrEx>
          <w:tblW w:w="13522" w:type="dxa"/>
          <w:tblInd w:w="0" w:type="dxa"/>
          <w:tblLayout w:type="fixed"/>
          <w:tblCellMar>
            <w:top w:w="0" w:type="dxa"/>
            <w:left w:w="108" w:type="dxa"/>
            <w:bottom w:w="0" w:type="dxa"/>
            <w:right w:w="108" w:type="dxa"/>
          </w:tblCellMar>
        </w:tblPrEx>
        <w:trPr>
          <w:trHeight w:val="308"/>
        </w:trPr>
        <w:tc>
          <w:tcPr>
            <w:tcW w:w="203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D85DBB3">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8BE78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本年支出合计</w:t>
            </w:r>
          </w:p>
        </w:tc>
        <w:tc>
          <w:tcPr>
            <w:tcW w:w="44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6EFED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基本支出</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7D67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项目支出</w:t>
            </w:r>
          </w:p>
        </w:tc>
        <w:tc>
          <w:tcPr>
            <w:tcW w:w="5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E0843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上缴上级支出</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B93113">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经营支出</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F2E8D9">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对附属单位补助支出</w:t>
            </w:r>
          </w:p>
        </w:tc>
      </w:tr>
      <w:tr w14:paraId="5BCB751A">
        <w:tblPrEx>
          <w:tblW w:w="13522" w:type="dxa"/>
          <w:tblInd w:w="0" w:type="dxa"/>
          <w:tblLayout w:type="fixed"/>
          <w:tblCellMar>
            <w:top w:w="0" w:type="dxa"/>
            <w:left w:w="108" w:type="dxa"/>
            <w:bottom w:w="0" w:type="dxa"/>
            <w:right w:w="108" w:type="dxa"/>
          </w:tblCellMar>
        </w:tblPrEx>
        <w:trPr>
          <w:trHeight w:val="976"/>
        </w:trPr>
        <w:tc>
          <w:tcPr>
            <w:tcW w:w="65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B1A52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支出功能分类科目编码</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D4EA7C">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科目名称</w:t>
            </w:r>
          </w:p>
        </w:tc>
        <w:tc>
          <w:tcPr>
            <w:tcW w:w="567" w:type="pct"/>
            <w:vMerge/>
            <w:tcBorders>
              <w:top w:val="single" w:sz="4" w:space="0" w:color="auto"/>
              <w:left w:val="single" w:sz="4" w:space="0" w:color="auto"/>
              <w:bottom w:val="single" w:sz="4" w:space="0" w:color="auto"/>
              <w:right w:val="single" w:sz="4" w:space="0" w:color="auto"/>
            </w:tcBorders>
            <w:vAlign w:val="center"/>
          </w:tcPr>
          <w:p w14:paraId="78638684">
            <w:pPr>
              <w:widowControl/>
              <w:overflowPunct w:val="0"/>
              <w:autoSpaceDE w:val="0"/>
              <w:autoSpaceDN w:val="0"/>
              <w:spacing w:line="240" w:lineRule="auto"/>
              <w:jc w:val="center"/>
              <w:rPr>
                <w:rFonts w:ascii="宋体" w:eastAsia="宋体" w:hAnsi="宋体" w:cs="Arial"/>
                <w:color w:val="000000"/>
                <w:kern w:val="0"/>
                <w:szCs w:val="21"/>
              </w:rPr>
            </w:pPr>
          </w:p>
        </w:tc>
        <w:tc>
          <w:tcPr>
            <w:tcW w:w="445" w:type="pct"/>
            <w:gridSpan w:val="3"/>
            <w:vMerge/>
            <w:tcBorders>
              <w:top w:val="single" w:sz="4" w:space="0" w:color="auto"/>
              <w:left w:val="single" w:sz="4" w:space="0" w:color="auto"/>
              <w:bottom w:val="single" w:sz="4" w:space="0" w:color="auto"/>
              <w:right w:val="single" w:sz="4" w:space="0" w:color="auto"/>
            </w:tcBorders>
            <w:vAlign w:val="center"/>
          </w:tcPr>
          <w:p w14:paraId="5332CE78">
            <w:pPr>
              <w:widowControl/>
              <w:overflowPunct w:val="0"/>
              <w:autoSpaceDE w:val="0"/>
              <w:autoSpaceDN w:val="0"/>
              <w:spacing w:line="240" w:lineRule="auto"/>
              <w:jc w:val="center"/>
              <w:rPr>
                <w:rFonts w:ascii="宋体" w:eastAsia="宋体" w:hAnsi="宋体" w:cs="Arial"/>
                <w:color w:val="000000"/>
                <w:kern w:val="0"/>
                <w:szCs w:val="21"/>
              </w:rPr>
            </w:pPr>
          </w:p>
        </w:tc>
        <w:tc>
          <w:tcPr>
            <w:tcW w:w="410" w:type="pct"/>
            <w:gridSpan w:val="2"/>
            <w:vMerge/>
            <w:tcBorders>
              <w:top w:val="single" w:sz="4" w:space="0" w:color="auto"/>
              <w:left w:val="single" w:sz="4" w:space="0" w:color="auto"/>
              <w:bottom w:val="single" w:sz="4" w:space="0" w:color="auto"/>
              <w:right w:val="single" w:sz="4" w:space="0" w:color="auto"/>
            </w:tcBorders>
            <w:vAlign w:val="center"/>
          </w:tcPr>
          <w:p w14:paraId="3ADFF6AA">
            <w:pPr>
              <w:widowControl/>
              <w:overflowPunct w:val="0"/>
              <w:autoSpaceDE w:val="0"/>
              <w:autoSpaceDN w:val="0"/>
              <w:spacing w:line="240" w:lineRule="auto"/>
              <w:jc w:val="center"/>
              <w:rPr>
                <w:rFonts w:ascii="宋体" w:eastAsia="宋体" w:hAnsi="宋体" w:cs="Arial"/>
                <w:color w:val="000000"/>
                <w:kern w:val="0"/>
                <w:szCs w:val="21"/>
              </w:rPr>
            </w:pPr>
          </w:p>
        </w:tc>
        <w:tc>
          <w:tcPr>
            <w:tcW w:w="550" w:type="pct"/>
            <w:vMerge/>
            <w:tcBorders>
              <w:top w:val="single" w:sz="4" w:space="0" w:color="auto"/>
              <w:left w:val="single" w:sz="4" w:space="0" w:color="auto"/>
              <w:bottom w:val="single" w:sz="4" w:space="0" w:color="auto"/>
              <w:right w:val="single" w:sz="4" w:space="0" w:color="auto"/>
            </w:tcBorders>
            <w:vAlign w:val="center"/>
          </w:tcPr>
          <w:p w14:paraId="5D29E46C">
            <w:pPr>
              <w:widowControl/>
              <w:overflowPunct w:val="0"/>
              <w:autoSpaceDE w:val="0"/>
              <w:autoSpaceDN w:val="0"/>
              <w:spacing w:line="240" w:lineRule="auto"/>
              <w:jc w:val="center"/>
              <w:rPr>
                <w:rFonts w:ascii="宋体" w:eastAsia="宋体" w:hAnsi="宋体" w:cs="Arial"/>
                <w:color w:val="000000"/>
                <w:kern w:val="0"/>
                <w:szCs w:val="21"/>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56FD2669">
            <w:pPr>
              <w:widowControl/>
              <w:overflowPunct w:val="0"/>
              <w:autoSpaceDE w:val="0"/>
              <w:autoSpaceDN w:val="0"/>
              <w:spacing w:line="240" w:lineRule="auto"/>
              <w:jc w:val="center"/>
              <w:rPr>
                <w:rFonts w:ascii="宋体" w:eastAsia="宋体" w:hAnsi="宋体" w:cs="Arial"/>
                <w:color w:val="000000"/>
                <w:kern w:val="0"/>
                <w:szCs w:val="21"/>
              </w:rPr>
            </w:pPr>
          </w:p>
        </w:tc>
        <w:tc>
          <w:tcPr>
            <w:tcW w:w="576" w:type="pct"/>
            <w:vMerge/>
            <w:tcBorders>
              <w:top w:val="single" w:sz="4" w:space="0" w:color="auto"/>
              <w:left w:val="single" w:sz="4" w:space="0" w:color="auto"/>
              <w:bottom w:val="single" w:sz="4" w:space="0" w:color="auto"/>
              <w:right w:val="single" w:sz="4" w:space="0" w:color="auto"/>
            </w:tcBorders>
            <w:vAlign w:val="center"/>
          </w:tcPr>
          <w:p w14:paraId="44D226FB">
            <w:pPr>
              <w:widowControl/>
              <w:overflowPunct w:val="0"/>
              <w:autoSpaceDE w:val="0"/>
              <w:autoSpaceDN w:val="0"/>
              <w:spacing w:line="240" w:lineRule="auto"/>
              <w:jc w:val="center"/>
              <w:rPr>
                <w:rFonts w:ascii="宋体" w:eastAsia="宋体" w:hAnsi="宋体" w:cs="Arial"/>
                <w:color w:val="000000"/>
                <w:kern w:val="0"/>
                <w:szCs w:val="21"/>
              </w:rPr>
            </w:pPr>
          </w:p>
        </w:tc>
      </w:tr>
      <w:tr w14:paraId="0A427CE0">
        <w:tblPrEx>
          <w:tblW w:w="13522" w:type="dxa"/>
          <w:tblInd w:w="0" w:type="dxa"/>
          <w:tblLayout w:type="fixed"/>
          <w:tblCellMar>
            <w:top w:w="0" w:type="dxa"/>
            <w:left w:w="108" w:type="dxa"/>
            <w:bottom w:w="0" w:type="dxa"/>
            <w:right w:w="108" w:type="dxa"/>
          </w:tblCellMar>
        </w:tblPrEx>
        <w:trPr>
          <w:trHeight w:val="308"/>
        </w:trPr>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300EE">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类</w:t>
            </w:r>
          </w:p>
        </w:tc>
        <w:tc>
          <w:tcPr>
            <w:tcW w:w="2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F8668">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款</w:t>
            </w:r>
          </w:p>
        </w:tc>
        <w:tc>
          <w:tcPr>
            <w:tcW w:w="23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66A9E8">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项</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787D95">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合计</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2F44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7077.55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5F93F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6783.97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E08CC0">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293.58</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D063C">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A1ABB4">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A94A0">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CCD6C5">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27A098">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一般公共服务支出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F641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8833C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9ACA65">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8AF1E">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1B24B">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AECF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党委办公厅（室）及相关机构事务</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2013105</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专项业务</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5038.76</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4745.18</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293.58</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教育管理事务</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其他教育管理事务支出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普通教育</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4720.97</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4617.17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103.80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2050203</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初中教育</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2050204</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高中教育</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4086.25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4086.25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其他普通教育支出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559.80</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456.00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103.80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特殊教育</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其他特殊教育支出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教育费附加安排的支出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其他教育费附加安排的支出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社会保障和就业支出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行政事业单位养老支出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2080502</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事业单位离退休</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2080505</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机关事业单位基本养老保险缴费支出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2080506</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机关事业单位职业年金缴费支出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2089999</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卫生健康支出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行政事业单位医疗</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2101102</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事业单位医疗</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2101103</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公务员医疗补助</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住房保障支出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住房改革支出</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2210201</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住房公积金</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2210202</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提租补贴</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7CE75C45">
        <w:tblPrEx>
          <w:tblW w:w="13522" w:type="dxa"/>
          <w:tblInd w:w="0" w:type="dxa"/>
          <w:tblLayout w:type="fixed"/>
          <w:tblCellMar>
            <w:top w:w="0" w:type="dxa"/>
            <w:left w:w="108" w:type="dxa"/>
            <w:bottom w:w="0" w:type="dxa"/>
            <w:right w:w="108" w:type="dxa"/>
          </w:tblCellMar>
        </w:tblPrEx>
        <w:trPr>
          <w:trHeight w:val="270"/>
        </w:trPr>
        <w:tc>
          <w:tcPr>
            <w:tcW w:w="658"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2210203</w:t>
            </w: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购房补贴</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bl>
    <w:p w14:paraId="638346B5">
      <w:pPr>
        <w:widowControl/>
        <w:overflowPunct w:val="0"/>
        <w:autoSpaceDE w:val="0"/>
        <w:autoSpaceDN w:val="0"/>
        <w:spacing w:line="240" w:lineRule="auto"/>
        <w:jc w:val="left"/>
        <w:rPr>
          <w:rFonts w:ascii="黑体" w:eastAsia="黑体" w:hAnsi="仿宋"/>
          <w:sz w:val="32"/>
          <w:szCs w:val="32"/>
        </w:rPr>
      </w:pPr>
      <w:r>
        <w:rPr>
          <w:rFonts w:ascii="宋体" w:eastAsia="宋体" w:hAnsi="宋体" w:cs="宋体" w:hint="eastAsia"/>
          <w:sz w:val="24"/>
          <w:szCs w:val="24"/>
        </w:rPr>
        <w:t>注：本表反映单位本年度各项支出情况。</w:t>
      </w:r>
      <w:r>
        <w:br w:type="page"/>
      </w:r>
    </w:p>
    <w:p w14:paraId="5B20222B">
      <w:pPr>
        <w:overflowPunct w:val="0"/>
        <w:autoSpaceDE w:val="0"/>
        <w:autoSpaceDN w:val="0"/>
        <w:jc w:val="left"/>
        <w:outlineLvl w:val="1"/>
        <w:rPr>
          <w:rFonts w:ascii="黑体" w:eastAsia="黑体" w:hAnsi="仿宋"/>
          <w:sz w:val="32"/>
          <w:szCs w:val="32"/>
        </w:rPr>
      </w:pPr>
      <w:bookmarkStart w:id="11" w:name="_Toc256000010"/>
      <w:r>
        <w:rPr>
          <w:rFonts w:ascii="黑体" w:eastAsia="黑体" w:hAnsi="仿宋" w:hint="eastAsia"/>
          <w:sz w:val="32"/>
          <w:szCs w:val="32"/>
        </w:rPr>
        <w:t>四、财政拨款收入支出决算总表</w:t>
      </w:r>
      <w:bookmarkEnd w:id="11"/>
    </w:p>
    <w:tbl>
      <w:tblPr>
        <w:tblStyle w:val="TableNormal"/>
        <w:tblW w:w="54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53"/>
        <w:gridCol w:w="1690"/>
        <w:gridCol w:w="155"/>
        <w:gridCol w:w="2439"/>
        <w:gridCol w:w="1581"/>
        <w:gridCol w:w="1442"/>
        <w:gridCol w:w="1"/>
        <w:gridCol w:w="815"/>
        <w:gridCol w:w="628"/>
        <w:gridCol w:w="1"/>
        <w:gridCol w:w="2406"/>
      </w:tblGrid>
      <w:tr w14:paraId="117871B1">
        <w:tblPrEx>
          <w:tblW w:w="54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0"/>
        </w:trPr>
        <w:tc>
          <w:tcPr>
            <w:tcW w:w="4104" w:type="pct"/>
            <w:gridSpan w:val="9"/>
            <w:tcBorders>
              <w:top w:val="nil"/>
              <w:left w:val="nil"/>
              <w:bottom w:val="nil"/>
              <w:right w:val="nil"/>
            </w:tcBorders>
            <w:shd w:val="clear" w:color="auto" w:fill="auto"/>
            <w:noWrap/>
          </w:tcPr>
          <w:p w14:paraId="2A4F638E">
            <w:pPr>
              <w:widowControl/>
              <w:overflowPunct w:val="0"/>
              <w:autoSpaceDE w:val="0"/>
              <w:autoSpaceDN w:val="0"/>
              <w:spacing w:line="240" w:lineRule="auto"/>
              <w:jc w:val="center"/>
              <w:rPr>
                <w:rFonts w:ascii="宋体" w:eastAsia="黑体" w:hAnsi="宋体" w:cs="Arial"/>
                <w:color w:val="000000"/>
                <w:kern w:val="0"/>
                <w:sz w:val="44"/>
                <w:szCs w:val="44"/>
              </w:rPr>
            </w:pPr>
            <w:r>
              <w:rPr>
                <w:rFonts w:ascii="黑体" w:eastAsia="黑体" w:hAnsi="Arial" w:cs="Arial" w:hint="eastAsia"/>
                <w:color w:val="000000"/>
                <w:kern w:val="0"/>
                <w:sz w:val="36"/>
                <w:szCs w:val="36"/>
              </w:rPr>
              <w:t>财政拨款收入支出决算总表</w:t>
            </w:r>
          </w:p>
        </w:tc>
        <w:tc>
          <w:tcPr>
            <w:tcW w:w="459" w:type="pct"/>
            <w:gridSpan w:val="2"/>
            <w:tcBorders>
              <w:top w:val="nil"/>
              <w:left w:val="nil"/>
              <w:bottom w:val="nil"/>
              <w:right w:val="nil"/>
            </w:tcBorders>
          </w:tcPr>
          <w:p w14:paraId="35099334">
            <w:pPr>
              <w:widowControl/>
              <w:overflowPunct w:val="0"/>
              <w:autoSpaceDE w:val="0"/>
              <w:autoSpaceDN w:val="0"/>
              <w:spacing w:line="240" w:lineRule="auto"/>
              <w:rPr>
                <w:rFonts w:ascii="黑体" w:eastAsia="黑体" w:hAnsi="Arial" w:cs="Arial"/>
                <w:color w:val="000000"/>
                <w:kern w:val="0"/>
                <w:sz w:val="36"/>
                <w:szCs w:val="36"/>
              </w:rPr>
            </w:pPr>
          </w:p>
        </w:tc>
      </w:tr>
      <w:tr w14:paraId="1C601818">
        <w:tblPrEx>
          <w:tblW w:w="5481" w:type="pct"/>
          <w:tblInd w:w="0" w:type="dxa"/>
          <w:tblLayout w:type="fixed"/>
          <w:tblCellMar>
            <w:top w:w="0" w:type="dxa"/>
            <w:left w:w="108" w:type="dxa"/>
            <w:bottom w:w="0" w:type="dxa"/>
            <w:right w:w="108" w:type="dxa"/>
          </w:tblCellMar>
        </w:tblPrEx>
        <w:trPr>
          <w:trHeight w:val="255"/>
        </w:trPr>
        <w:tc>
          <w:tcPr>
            <w:tcW w:w="1710" w:type="pct"/>
            <w:gridSpan w:val="2"/>
            <w:tcBorders>
              <w:top w:val="nil"/>
              <w:left w:val="nil"/>
              <w:bottom w:val="nil"/>
              <w:right w:val="nil"/>
            </w:tcBorders>
            <w:shd w:val="clear" w:color="auto" w:fill="auto"/>
            <w:noWrap/>
          </w:tcPr>
          <w:p w14:paraId="7C4D9B8C">
            <w:pPr>
              <w:widowControl/>
              <w:overflowPunct w:val="0"/>
              <w:autoSpaceDE w:val="0"/>
              <w:autoSpaceDN w:val="0"/>
              <w:spacing w:line="240" w:lineRule="auto"/>
              <w:rPr>
                <w:rFonts w:ascii="Arial" w:eastAsia="宋体" w:hAnsi="Arial" w:cs="Arial"/>
                <w:color w:val="000000"/>
                <w:kern w:val="0"/>
                <w:sz w:val="20"/>
                <w:szCs w:val="20"/>
              </w:rPr>
            </w:pPr>
          </w:p>
        </w:tc>
        <w:tc>
          <w:tcPr>
            <w:tcW w:w="81" w:type="pct"/>
            <w:tcBorders>
              <w:top w:val="nil"/>
              <w:left w:val="nil"/>
              <w:bottom w:val="nil"/>
              <w:right w:val="nil"/>
            </w:tcBorders>
            <w:shd w:val="clear" w:color="auto" w:fill="auto"/>
            <w:noWrap/>
          </w:tcPr>
          <w:p w14:paraId="579A9FCA">
            <w:pPr>
              <w:widowControl/>
              <w:overflowPunct w:val="0"/>
              <w:autoSpaceDE w:val="0"/>
              <w:autoSpaceDN w:val="0"/>
              <w:spacing w:line="240" w:lineRule="auto"/>
              <w:rPr>
                <w:rFonts w:ascii="Arial" w:eastAsia="宋体" w:hAnsi="Arial" w:cs="Arial"/>
                <w:color w:val="000000"/>
                <w:kern w:val="0"/>
                <w:sz w:val="20"/>
                <w:szCs w:val="20"/>
              </w:rPr>
            </w:pPr>
          </w:p>
        </w:tc>
        <w:tc>
          <w:tcPr>
            <w:tcW w:w="2163" w:type="pct"/>
            <w:gridSpan w:val="5"/>
            <w:tcBorders>
              <w:top w:val="nil"/>
              <w:left w:val="nil"/>
              <w:bottom w:val="nil"/>
              <w:right w:val="nil"/>
            </w:tcBorders>
            <w:shd w:val="clear" w:color="auto" w:fill="auto"/>
            <w:noWrap/>
          </w:tcPr>
          <w:p w14:paraId="672082C0">
            <w:pPr>
              <w:widowControl/>
              <w:overflowPunct w:val="0"/>
              <w:autoSpaceDE w:val="0"/>
              <w:autoSpaceDN w:val="0"/>
              <w:spacing w:line="240" w:lineRule="auto"/>
              <w:rPr>
                <w:rFonts w:ascii="Arial" w:eastAsia="宋体" w:hAnsi="Arial" w:cs="Arial"/>
                <w:color w:val="000000"/>
                <w:kern w:val="0"/>
                <w:sz w:val="20"/>
                <w:szCs w:val="20"/>
              </w:rPr>
            </w:pPr>
          </w:p>
        </w:tc>
        <w:tc>
          <w:tcPr>
            <w:tcW w:w="1046" w:type="pct"/>
            <w:gridSpan w:val="3"/>
            <w:tcBorders>
              <w:top w:val="nil"/>
              <w:left w:val="nil"/>
              <w:bottom w:val="nil"/>
              <w:right w:val="nil"/>
            </w:tcBorders>
            <w:shd w:val="clear" w:color="auto" w:fill="auto"/>
            <w:noWrap/>
          </w:tcPr>
          <w:p w14:paraId="26B0A7D7">
            <w:pPr>
              <w:widowControl/>
              <w:overflowPunct w:val="0"/>
              <w:autoSpaceDE w:val="0"/>
              <w:autoSpaceDN w:val="0"/>
              <w:spacing w:line="240" w:lineRule="auto"/>
              <w:ind w:firstLine="600" w:firstLineChars="300"/>
              <w:rPr>
                <w:rFonts w:ascii="Arial" w:eastAsia="宋体" w:hAnsi="Arial" w:cs="Arial"/>
                <w:color w:val="000000"/>
                <w:kern w:val="0"/>
                <w:sz w:val="20"/>
                <w:szCs w:val="20"/>
              </w:rPr>
            </w:pPr>
            <w:r>
              <w:rPr>
                <w:rFonts w:ascii="Arial" w:eastAsia="宋体" w:hAnsi="Arial" w:cs="Arial" w:hint="eastAsia"/>
                <w:color w:val="000000"/>
                <w:kern w:val="0"/>
                <w:sz w:val="20"/>
                <w:szCs w:val="20"/>
              </w:rPr>
              <w:t>公开04表</w:t>
            </w:r>
          </w:p>
        </w:tc>
      </w:tr>
      <w:tr w14:paraId="1C481314">
        <w:tblPrEx>
          <w:tblW w:w="5481" w:type="pct"/>
          <w:tblInd w:w="0" w:type="dxa"/>
          <w:tblLayout w:type="fixed"/>
          <w:tblCellMar>
            <w:top w:w="0" w:type="dxa"/>
            <w:left w:w="108" w:type="dxa"/>
            <w:bottom w:w="0" w:type="dxa"/>
            <w:right w:w="108" w:type="dxa"/>
          </w:tblCellMar>
        </w:tblPrEx>
        <w:trPr>
          <w:trHeight w:val="315"/>
        </w:trPr>
        <w:tc>
          <w:tcPr>
            <w:tcW w:w="3614" w:type="pct"/>
            <w:gridSpan w:val="6"/>
            <w:tcBorders>
              <w:top w:val="nil"/>
              <w:left w:val="nil"/>
              <w:bottom w:val="single" w:sz="4" w:space="0" w:color="auto"/>
              <w:right w:val="nil"/>
            </w:tcBorders>
            <w:shd w:val="clear" w:color="auto" w:fill="auto"/>
            <w:noWrap/>
          </w:tcPr>
          <w:p w14:paraId="1D517715">
            <w:pPr>
              <w:widowControl/>
              <w:overflowPunct w:val="0"/>
              <w:autoSpaceDE w:val="0"/>
              <w:autoSpaceDN w:val="0"/>
              <w:spacing w:line="240" w:lineRule="auto"/>
              <w:rPr>
                <w:rFonts w:ascii="Arial" w:eastAsia="宋体" w:hAnsi="Arial"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949" w:type="pct"/>
            <w:gridSpan w:val="5"/>
            <w:tcBorders>
              <w:top w:val="nil"/>
              <w:left w:val="nil"/>
              <w:bottom w:val="single" w:sz="4" w:space="0" w:color="auto"/>
              <w:right w:val="nil"/>
            </w:tcBorders>
            <w:shd w:val="clear" w:color="auto" w:fill="auto"/>
            <w:noWrap/>
          </w:tcPr>
          <w:p w14:paraId="7E3767F7">
            <w:pPr>
              <w:widowControl/>
              <w:overflowPunct w:val="0"/>
              <w:autoSpaceDE w:val="0"/>
              <w:autoSpaceDN w:val="0"/>
              <w:spacing w:line="240" w:lineRule="auto"/>
              <w:ind w:firstLine="800" w:firstLineChars="400"/>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单位：万元</w:t>
            </w:r>
          </w:p>
        </w:tc>
      </w:tr>
      <w:tr w14:paraId="1BF1337F">
        <w:tblPrEx>
          <w:tblW w:w="5481" w:type="pct"/>
          <w:tblInd w:w="0" w:type="dxa"/>
          <w:tblLayout w:type="fixed"/>
          <w:tblCellMar>
            <w:top w:w="0" w:type="dxa"/>
            <w:left w:w="108" w:type="dxa"/>
            <w:bottom w:w="0" w:type="dxa"/>
            <w:right w:w="108" w:type="dxa"/>
          </w:tblCellMar>
        </w:tblPrEx>
        <w:trPr>
          <w:trHeight w:val="526"/>
        </w:trPr>
        <w:tc>
          <w:tcPr>
            <w:tcW w:w="1710" w:type="pct"/>
            <w:gridSpan w:val="2"/>
            <w:tcBorders>
              <w:top w:val="single" w:sz="4" w:space="0" w:color="auto"/>
            </w:tcBorders>
            <w:shd w:val="clear" w:color="auto" w:fill="auto"/>
            <w:noWrap/>
            <w:vAlign w:val="center"/>
          </w:tcPr>
          <w:p w14:paraId="0ED1A84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收     入</w:t>
            </w:r>
          </w:p>
        </w:tc>
        <w:tc>
          <w:tcPr>
            <w:tcW w:w="2853" w:type="pct"/>
            <w:gridSpan w:val="9"/>
            <w:tcBorders>
              <w:top w:val="single" w:sz="4" w:space="0" w:color="auto"/>
            </w:tcBorders>
            <w:shd w:val="clear" w:color="auto" w:fill="auto"/>
            <w:noWrap/>
            <w:vAlign w:val="center"/>
          </w:tcPr>
          <w:p w14:paraId="34F1354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支     出</w:t>
            </w:r>
          </w:p>
        </w:tc>
      </w:tr>
      <w:tr w14:paraId="00896FE3">
        <w:tblPrEx>
          <w:tblW w:w="5481" w:type="pct"/>
          <w:tblInd w:w="0" w:type="dxa"/>
          <w:tblLayout w:type="fixed"/>
          <w:tblCellMar>
            <w:top w:w="0" w:type="dxa"/>
            <w:left w:w="108" w:type="dxa"/>
            <w:bottom w:w="0" w:type="dxa"/>
            <w:right w:w="108" w:type="dxa"/>
          </w:tblCellMar>
        </w:tblPrEx>
        <w:trPr>
          <w:trHeight w:val="1184"/>
        </w:trPr>
        <w:tc>
          <w:tcPr>
            <w:tcW w:w="1137" w:type="pct"/>
            <w:shd w:val="clear" w:color="auto" w:fill="auto"/>
            <w:noWrap/>
            <w:vAlign w:val="center"/>
          </w:tcPr>
          <w:p w14:paraId="0CDB33F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项    目</w:t>
            </w:r>
          </w:p>
        </w:tc>
        <w:tc>
          <w:tcPr>
            <w:tcW w:w="573" w:type="pct"/>
            <w:shd w:val="clear" w:color="auto" w:fill="auto"/>
            <w:noWrap/>
            <w:vAlign w:val="center"/>
          </w:tcPr>
          <w:p w14:paraId="5816A08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金额</w:t>
            </w:r>
          </w:p>
        </w:tc>
        <w:tc>
          <w:tcPr>
            <w:tcW w:w="879" w:type="pct"/>
            <w:gridSpan w:val="2"/>
            <w:shd w:val="clear" w:color="auto" w:fill="auto"/>
            <w:noWrap/>
            <w:vAlign w:val="center"/>
          </w:tcPr>
          <w:p w14:paraId="786C2B0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项目（按功能分类）</w:t>
            </w:r>
          </w:p>
        </w:tc>
        <w:tc>
          <w:tcPr>
            <w:tcW w:w="536" w:type="pct"/>
            <w:shd w:val="clear" w:color="auto" w:fill="auto"/>
            <w:noWrap/>
            <w:vAlign w:val="center"/>
          </w:tcPr>
          <w:p w14:paraId="57E6583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c>
          <w:tcPr>
            <w:tcW w:w="489" w:type="pct"/>
            <w:shd w:val="clear" w:color="auto" w:fill="auto"/>
            <w:vAlign w:val="center"/>
          </w:tcPr>
          <w:p w14:paraId="568F1D4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一般公共预算财政拨款</w:t>
            </w:r>
          </w:p>
        </w:tc>
        <w:tc>
          <w:tcPr>
            <w:tcW w:w="490" w:type="pct"/>
            <w:gridSpan w:val="3"/>
            <w:shd w:val="clear" w:color="auto" w:fill="auto"/>
            <w:vAlign w:val="center"/>
          </w:tcPr>
          <w:p w14:paraId="0E73460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政府性基金预算财政拨款</w:t>
            </w:r>
          </w:p>
        </w:tc>
        <w:tc>
          <w:tcPr>
            <w:tcW w:w="459" w:type="pct"/>
            <w:gridSpan w:val="2"/>
            <w:vAlign w:val="center"/>
          </w:tcPr>
          <w:p w14:paraId="5B03305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国有资本经营预算财政拨款</w:t>
            </w:r>
          </w:p>
        </w:tc>
      </w:tr>
      <w:tr w14:paraId="585E2742">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3966967">
            <w:pPr>
              <w:overflowPunct w:val="0"/>
              <w:autoSpaceDE w:val="0"/>
              <w:autoSpaceDN w:val="0"/>
              <w:rPr>
                <w:rFonts w:ascii="宋体" w:eastAsia="宋体" w:hAnsi="宋体" w:cs="宋体"/>
                <w:color w:val="000000"/>
                <w:szCs w:val="21"/>
              </w:rPr>
            </w:pPr>
            <w:r>
              <w:rPr>
                <w:rFonts w:ascii="宋体" w:eastAsia="宋体" w:hAnsi="宋体" w:cs="宋体"/>
                <w:color w:val="000000"/>
                <w:sz w:val="22"/>
              </w:rPr>
              <w:t>一、一般公共预算</w:t>
            </w:r>
          </w:p>
        </w:tc>
        <w:tc>
          <w:tcPr>
            <w:tcW w:w="573" w:type="pct"/>
            <w:shd w:val="clear" w:color="auto" w:fill="auto"/>
            <w:noWrap/>
          </w:tcPr>
          <w:p w14:paraId="2BA887B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7041.84</w:t>
            </w:r>
          </w:p>
        </w:tc>
        <w:tc>
          <w:tcPr>
            <w:tcW w:w="879" w:type="pct"/>
            <w:gridSpan w:val="2"/>
            <w:shd w:val="clear" w:color="auto" w:fill="auto"/>
            <w:noWrap/>
          </w:tcPr>
          <w:p w14:paraId="5419E7DF">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一、一般公共服务支出</w:t>
            </w:r>
          </w:p>
        </w:tc>
        <w:tc>
          <w:tcPr>
            <w:tcW w:w="536" w:type="pct"/>
            <w:shd w:val="clear" w:color="auto" w:fill="auto"/>
            <w:noWrap/>
          </w:tcPr>
          <w:p w14:paraId="01DF946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1.17</w:t>
            </w:r>
          </w:p>
        </w:tc>
        <w:tc>
          <w:tcPr>
            <w:tcW w:w="489" w:type="pct"/>
            <w:shd w:val="clear" w:color="auto" w:fill="auto"/>
            <w:noWrap/>
          </w:tcPr>
          <w:p w14:paraId="483DECF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1.17</w:t>
            </w:r>
          </w:p>
        </w:tc>
        <w:tc>
          <w:tcPr>
            <w:tcW w:w="490" w:type="pct"/>
            <w:gridSpan w:val="3"/>
            <w:shd w:val="clear" w:color="auto" w:fill="auto"/>
            <w:noWrap/>
          </w:tcPr>
          <w:p w14:paraId="14F46DF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072823D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CC67231">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56652DC1">
            <w:pPr>
              <w:overflowPunct w:val="0"/>
              <w:autoSpaceDE w:val="0"/>
              <w:autoSpaceDN w:val="0"/>
              <w:rPr>
                <w:rFonts w:ascii="宋体" w:eastAsia="宋体" w:hAnsi="宋体" w:cs="宋体"/>
                <w:color w:val="000000"/>
                <w:szCs w:val="21"/>
              </w:rPr>
            </w:pPr>
            <w:r>
              <w:rPr>
                <w:rFonts w:ascii="宋体" w:eastAsia="宋体" w:hAnsi="宋体" w:cs="宋体"/>
                <w:color w:val="000000"/>
                <w:sz w:val="22"/>
              </w:rPr>
              <w:t>二、政府性基金预算</w:t>
            </w:r>
          </w:p>
        </w:tc>
        <w:tc>
          <w:tcPr>
            <w:tcW w:w="573" w:type="pct"/>
            <w:shd w:val="clear" w:color="auto" w:fill="auto"/>
            <w:noWrap/>
          </w:tcPr>
          <w:p w14:paraId="76496C8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4BFF9623">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二、外交支出</w:t>
            </w:r>
          </w:p>
        </w:tc>
        <w:tc>
          <w:tcPr>
            <w:tcW w:w="536" w:type="pct"/>
            <w:shd w:val="clear" w:color="auto" w:fill="auto"/>
            <w:noWrap/>
          </w:tcPr>
          <w:p w14:paraId="42F1B5E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75A8B1A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26EED3C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39691C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A6AA8FD">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0AFE323">
            <w:pPr>
              <w:overflowPunct w:val="0"/>
              <w:autoSpaceDE w:val="0"/>
              <w:autoSpaceDN w:val="0"/>
              <w:jc w:val="left"/>
              <w:rPr>
                <w:rFonts w:ascii="宋体" w:eastAsia="宋体" w:hAnsi="宋体" w:cs="宋体"/>
                <w:color w:val="000000"/>
                <w:szCs w:val="21"/>
              </w:rPr>
            </w:pPr>
            <w:r>
              <w:rPr>
                <w:rFonts w:ascii="宋体" w:eastAsia="宋体" w:hAnsi="宋体" w:cs="宋体"/>
                <w:color w:val="000000"/>
                <w:sz w:val="22"/>
              </w:rPr>
              <w:t>三、国有资本经营预算</w:t>
            </w:r>
          </w:p>
        </w:tc>
        <w:tc>
          <w:tcPr>
            <w:tcW w:w="573" w:type="pct"/>
            <w:shd w:val="clear" w:color="auto" w:fill="auto"/>
            <w:noWrap/>
          </w:tcPr>
          <w:p w14:paraId="059C7C4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271907BB">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三、国防支出</w:t>
            </w:r>
          </w:p>
        </w:tc>
        <w:tc>
          <w:tcPr>
            <w:tcW w:w="536" w:type="pct"/>
            <w:shd w:val="clear" w:color="auto" w:fill="auto"/>
            <w:noWrap/>
          </w:tcPr>
          <w:p w14:paraId="389BBD3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047EC71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7089D50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148A354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40DF761">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665E2592">
            <w:pPr>
              <w:overflowPunct w:val="0"/>
              <w:autoSpaceDE w:val="0"/>
              <w:autoSpaceDN w:val="0"/>
              <w:rPr>
                <w:rFonts w:ascii="宋体" w:eastAsia="宋体" w:hAnsi="宋体" w:cs="宋体"/>
                <w:color w:val="000000"/>
                <w:szCs w:val="21"/>
              </w:rPr>
            </w:pPr>
          </w:p>
        </w:tc>
        <w:tc>
          <w:tcPr>
            <w:tcW w:w="573" w:type="pct"/>
            <w:shd w:val="clear" w:color="auto" w:fill="auto"/>
            <w:noWrap/>
          </w:tcPr>
          <w:p w14:paraId="4BAB3BBE">
            <w:pPr>
              <w:widowControl/>
              <w:overflowPunct w:val="0"/>
              <w:autoSpaceDE w:val="0"/>
              <w:autoSpaceDN w:val="0"/>
              <w:spacing w:line="240" w:lineRule="auto"/>
              <w:rPr>
                <w:rFonts w:ascii="宋体" w:eastAsia="宋体" w:hAnsi="宋体" w:cs="宋体"/>
                <w:color w:val="000000"/>
                <w:kern w:val="0"/>
                <w:szCs w:val="21"/>
              </w:rPr>
            </w:pPr>
          </w:p>
        </w:tc>
        <w:tc>
          <w:tcPr>
            <w:tcW w:w="879" w:type="pct"/>
            <w:gridSpan w:val="2"/>
            <w:shd w:val="clear" w:color="auto" w:fill="auto"/>
            <w:noWrap/>
          </w:tcPr>
          <w:p w14:paraId="686ED75F">
            <w:pPr>
              <w:overflowPunct w:val="0"/>
              <w:autoSpaceDE w:val="0"/>
              <w:autoSpaceDN w:val="0"/>
              <w:jc w:val="left"/>
              <w:rPr>
                <w:rFonts w:ascii="宋体" w:eastAsia="宋体" w:hAnsi="宋体" w:cs="宋体"/>
                <w:color w:val="000000"/>
                <w:szCs w:val="21"/>
              </w:rPr>
            </w:pPr>
            <w:r>
              <w:rPr>
                <w:rFonts w:ascii="宋体" w:eastAsia="宋体" w:hAnsi="宋体" w:cs="宋体" w:hint="eastAsia"/>
                <w:color w:val="000000"/>
                <w:szCs w:val="21"/>
              </w:rPr>
              <w:t>四、公共安全支出</w:t>
            </w:r>
          </w:p>
        </w:tc>
        <w:tc>
          <w:tcPr>
            <w:tcW w:w="536" w:type="pct"/>
            <w:shd w:val="clear" w:color="auto" w:fill="auto"/>
            <w:noWrap/>
          </w:tcPr>
          <w:p w14:paraId="002F28D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65284B3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56A3115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459BC0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564B005">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B1AF2E4">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6BBAFD6D">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7DAB0DB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五、教育支出</w:t>
            </w:r>
          </w:p>
        </w:tc>
        <w:tc>
          <w:tcPr>
            <w:tcW w:w="536" w:type="pct"/>
            <w:shd w:val="clear" w:color="auto" w:fill="auto"/>
            <w:noWrap/>
          </w:tcPr>
          <w:p w14:paraId="6C9B555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5003.05</w:t>
            </w:r>
          </w:p>
        </w:tc>
        <w:tc>
          <w:tcPr>
            <w:tcW w:w="489" w:type="pct"/>
            <w:shd w:val="clear" w:color="auto" w:fill="auto"/>
            <w:noWrap/>
          </w:tcPr>
          <w:p w14:paraId="61D8EA3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5003.05</w:t>
            </w:r>
          </w:p>
        </w:tc>
        <w:tc>
          <w:tcPr>
            <w:tcW w:w="490" w:type="pct"/>
            <w:gridSpan w:val="3"/>
            <w:shd w:val="clear" w:color="auto" w:fill="auto"/>
            <w:noWrap/>
          </w:tcPr>
          <w:p w14:paraId="2DC6382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59D1668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D8695BE">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27B22BE5">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5AABE142">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73BCCD4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六、科学技术支出</w:t>
            </w:r>
          </w:p>
        </w:tc>
        <w:tc>
          <w:tcPr>
            <w:tcW w:w="536" w:type="pct"/>
            <w:shd w:val="clear" w:color="auto" w:fill="auto"/>
            <w:noWrap/>
          </w:tcPr>
          <w:p w14:paraId="1568593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6217241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550EFC9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556FE99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A443262">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D5A01C4">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0CEF8C2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5898117F">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七、文化旅游体育与传媒支出</w:t>
            </w:r>
          </w:p>
        </w:tc>
        <w:tc>
          <w:tcPr>
            <w:tcW w:w="536" w:type="pct"/>
            <w:shd w:val="clear" w:color="auto" w:fill="auto"/>
            <w:noWrap/>
          </w:tcPr>
          <w:p w14:paraId="7DF57BE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34129B9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27FB67D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407933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AA58E56">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67723937">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293D66C0">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27E716E3">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八、社会保障和就业支出</w:t>
            </w:r>
          </w:p>
        </w:tc>
        <w:tc>
          <w:tcPr>
            <w:tcW w:w="536" w:type="pct"/>
            <w:shd w:val="clear" w:color="auto" w:fill="auto"/>
            <w:noWrap/>
          </w:tcPr>
          <w:p w14:paraId="29C9B1F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1050.44</w:t>
            </w:r>
          </w:p>
        </w:tc>
        <w:tc>
          <w:tcPr>
            <w:tcW w:w="489" w:type="pct"/>
            <w:shd w:val="clear" w:color="auto" w:fill="auto"/>
            <w:noWrap/>
          </w:tcPr>
          <w:p w14:paraId="6FFA592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1050.44</w:t>
            </w:r>
          </w:p>
        </w:tc>
        <w:tc>
          <w:tcPr>
            <w:tcW w:w="490" w:type="pct"/>
            <w:gridSpan w:val="3"/>
            <w:shd w:val="clear" w:color="auto" w:fill="auto"/>
            <w:noWrap/>
          </w:tcPr>
          <w:p w14:paraId="0032B0B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413A7EB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9BE682A">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2144993D">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681162BB">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3864F817">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九、卫生健康支出</w:t>
            </w:r>
          </w:p>
        </w:tc>
        <w:tc>
          <w:tcPr>
            <w:tcW w:w="536" w:type="pct"/>
            <w:shd w:val="clear" w:color="auto" w:fill="auto"/>
            <w:noWrap/>
          </w:tcPr>
          <w:p w14:paraId="3DA30C9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330.28</w:t>
            </w:r>
          </w:p>
        </w:tc>
        <w:tc>
          <w:tcPr>
            <w:tcW w:w="489" w:type="pct"/>
            <w:shd w:val="clear" w:color="auto" w:fill="auto"/>
            <w:noWrap/>
          </w:tcPr>
          <w:p w14:paraId="63E5874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330.28</w:t>
            </w:r>
          </w:p>
        </w:tc>
        <w:tc>
          <w:tcPr>
            <w:tcW w:w="490" w:type="pct"/>
            <w:gridSpan w:val="3"/>
            <w:shd w:val="clear" w:color="auto" w:fill="auto"/>
            <w:noWrap/>
          </w:tcPr>
          <w:p w14:paraId="2805470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BC8434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6B1F1A5">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4D45F3F8">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20D8CACD">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668925C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十、节能环保支出</w:t>
            </w:r>
          </w:p>
        </w:tc>
        <w:tc>
          <w:tcPr>
            <w:tcW w:w="536" w:type="pct"/>
            <w:shd w:val="clear" w:color="auto" w:fill="auto"/>
            <w:noWrap/>
          </w:tcPr>
          <w:p w14:paraId="7B80944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09B1CE0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195BE83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E97F4B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B48FE1C">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993FAE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0B5D7A5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6A2C222E">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十一、城乡社区支出</w:t>
            </w:r>
          </w:p>
        </w:tc>
        <w:tc>
          <w:tcPr>
            <w:tcW w:w="536" w:type="pct"/>
            <w:shd w:val="clear" w:color="auto" w:fill="auto"/>
            <w:noWrap/>
          </w:tcPr>
          <w:p w14:paraId="0533A91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06507B6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223786E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7A0E4D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1658BE9">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6C2A76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2B631282">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66BCD71C">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十二、农林水支出</w:t>
            </w:r>
          </w:p>
        </w:tc>
        <w:tc>
          <w:tcPr>
            <w:tcW w:w="536" w:type="pct"/>
            <w:shd w:val="clear" w:color="auto" w:fill="auto"/>
            <w:noWrap/>
          </w:tcPr>
          <w:p w14:paraId="0B419A3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67B223A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6CBEC33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2EA611F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AC3856E">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309CBAB">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23A36A4A">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2499D687">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十三、交通运输支出</w:t>
            </w:r>
          </w:p>
        </w:tc>
        <w:tc>
          <w:tcPr>
            <w:tcW w:w="536" w:type="pct"/>
            <w:shd w:val="clear" w:color="auto" w:fill="auto"/>
            <w:noWrap/>
          </w:tcPr>
          <w:p w14:paraId="0E7B304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12A39FE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21B2B38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6BA92B8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4F8E60A5">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369C92D">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78F8BE8B">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529F5817">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十四、资源勘探工业信息等支出</w:t>
            </w:r>
          </w:p>
        </w:tc>
        <w:tc>
          <w:tcPr>
            <w:tcW w:w="536" w:type="pct"/>
            <w:shd w:val="clear" w:color="auto" w:fill="auto"/>
            <w:noWrap/>
          </w:tcPr>
          <w:p w14:paraId="5C19B10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47DD95D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5CE3643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9B8254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BDB13A4">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5EA04E65">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46C5C168">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732062DC">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十五、商业服务业等支出</w:t>
            </w:r>
          </w:p>
        </w:tc>
        <w:tc>
          <w:tcPr>
            <w:tcW w:w="536" w:type="pct"/>
            <w:shd w:val="clear" w:color="auto" w:fill="auto"/>
            <w:noWrap/>
          </w:tcPr>
          <w:p w14:paraId="6AF783E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2F247B1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4738680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44FC78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51EB57D">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224196E4">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5E83CC37">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5B107678">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十六、金融支出</w:t>
            </w:r>
          </w:p>
        </w:tc>
        <w:tc>
          <w:tcPr>
            <w:tcW w:w="536" w:type="pct"/>
            <w:shd w:val="clear" w:color="auto" w:fill="auto"/>
            <w:noWrap/>
          </w:tcPr>
          <w:p w14:paraId="6CE83FF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782D9DC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088DC6A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0B04520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12B0977">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276FDB1">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52EB006E">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328016E4">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十七、援助其他地区支出</w:t>
            </w:r>
          </w:p>
        </w:tc>
        <w:tc>
          <w:tcPr>
            <w:tcW w:w="536" w:type="pct"/>
            <w:shd w:val="clear" w:color="auto" w:fill="auto"/>
            <w:noWrap/>
          </w:tcPr>
          <w:p w14:paraId="33A7D31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28E60D1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001C8BD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1A7879E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7B649A2">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5647B3D2">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2DD6D6D1">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00005CC9">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十八、自然资源海洋气象等支出</w:t>
            </w:r>
          </w:p>
        </w:tc>
        <w:tc>
          <w:tcPr>
            <w:tcW w:w="536" w:type="pct"/>
            <w:shd w:val="clear" w:color="auto" w:fill="auto"/>
            <w:noWrap/>
          </w:tcPr>
          <w:p w14:paraId="5F23599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3690E4D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20269EF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4B4C255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A4B380F">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C923ADC">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1DA7FBC8">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3B95C480">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十九、住房保障支出</w:t>
            </w:r>
          </w:p>
        </w:tc>
        <w:tc>
          <w:tcPr>
            <w:tcW w:w="536" w:type="pct"/>
            <w:shd w:val="clear" w:color="auto" w:fill="auto"/>
            <w:noWrap/>
          </w:tcPr>
          <w:p w14:paraId="3380712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656.89</w:t>
            </w:r>
          </w:p>
        </w:tc>
        <w:tc>
          <w:tcPr>
            <w:tcW w:w="489" w:type="pct"/>
            <w:shd w:val="clear" w:color="auto" w:fill="auto"/>
            <w:noWrap/>
          </w:tcPr>
          <w:p w14:paraId="6554D8D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656.89</w:t>
            </w:r>
          </w:p>
        </w:tc>
        <w:tc>
          <w:tcPr>
            <w:tcW w:w="490" w:type="pct"/>
            <w:gridSpan w:val="3"/>
            <w:shd w:val="clear" w:color="auto" w:fill="auto"/>
            <w:noWrap/>
          </w:tcPr>
          <w:p w14:paraId="6DA0D5D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4E0C9E5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F243A1B">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B7E3181">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63A308B0">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6C3509B3">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二十、粮油物资储备支出</w:t>
            </w:r>
          </w:p>
        </w:tc>
        <w:tc>
          <w:tcPr>
            <w:tcW w:w="536" w:type="pct"/>
            <w:shd w:val="clear" w:color="auto" w:fill="auto"/>
            <w:noWrap/>
          </w:tcPr>
          <w:p w14:paraId="4898006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1871235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1E3A2EC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5D27992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62765BE">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43C9A21B">
            <w:pPr>
              <w:widowControl/>
              <w:overflowPunct w:val="0"/>
              <w:autoSpaceDE w:val="0"/>
              <w:autoSpaceDN w:val="0"/>
              <w:spacing w:line="240" w:lineRule="auto"/>
              <w:rPr>
                <w:rFonts w:ascii="宋体" w:eastAsia="宋体" w:hAnsi="宋体" w:cs="宋体"/>
                <w:color w:val="000000"/>
                <w:kern w:val="0"/>
                <w:szCs w:val="21"/>
              </w:rPr>
            </w:pPr>
          </w:p>
        </w:tc>
        <w:tc>
          <w:tcPr>
            <w:tcW w:w="573" w:type="pct"/>
            <w:shd w:val="clear" w:color="auto" w:fill="auto"/>
            <w:noWrap/>
          </w:tcPr>
          <w:p w14:paraId="5558F5FB">
            <w:pPr>
              <w:widowControl/>
              <w:overflowPunct w:val="0"/>
              <w:autoSpaceDE w:val="0"/>
              <w:autoSpaceDN w:val="0"/>
              <w:spacing w:line="240" w:lineRule="auto"/>
              <w:rPr>
                <w:rFonts w:ascii="宋体" w:eastAsia="宋体" w:hAnsi="宋体" w:cs="宋体"/>
                <w:color w:val="000000"/>
                <w:kern w:val="0"/>
                <w:szCs w:val="21"/>
              </w:rPr>
            </w:pPr>
          </w:p>
        </w:tc>
        <w:tc>
          <w:tcPr>
            <w:tcW w:w="879" w:type="pct"/>
            <w:gridSpan w:val="2"/>
            <w:shd w:val="clear" w:color="auto" w:fill="auto"/>
            <w:noWrap/>
          </w:tcPr>
          <w:p w14:paraId="02559765">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二十一、国有资本经营预算支出</w:t>
            </w:r>
          </w:p>
        </w:tc>
        <w:tc>
          <w:tcPr>
            <w:tcW w:w="536" w:type="pct"/>
            <w:shd w:val="clear" w:color="auto" w:fill="auto"/>
            <w:noWrap/>
          </w:tcPr>
          <w:p w14:paraId="6166B30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7000972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3BE01F2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26CC2AC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46AEB69">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0FC3C294">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68180837">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41CA96DD">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二十二、灾害防治及应急管理支出</w:t>
            </w:r>
          </w:p>
        </w:tc>
        <w:tc>
          <w:tcPr>
            <w:tcW w:w="536" w:type="pct"/>
            <w:shd w:val="clear" w:color="auto" w:fill="auto"/>
            <w:noWrap/>
          </w:tcPr>
          <w:p w14:paraId="7DA1289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3BC142F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3877C72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6E859FD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95BF8A3">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6D73188">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1E7EB41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60B24DEE">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二十三、其他支出</w:t>
            </w:r>
          </w:p>
        </w:tc>
        <w:tc>
          <w:tcPr>
            <w:tcW w:w="536" w:type="pct"/>
            <w:shd w:val="clear" w:color="auto" w:fill="auto"/>
            <w:noWrap/>
          </w:tcPr>
          <w:p w14:paraId="789F6A0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0E02A20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3980786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10A8BA7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16AA6E2">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E47FD7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73" w:type="pct"/>
            <w:shd w:val="clear" w:color="auto" w:fill="auto"/>
            <w:noWrap/>
          </w:tcPr>
          <w:p w14:paraId="71780690">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879" w:type="pct"/>
            <w:gridSpan w:val="2"/>
            <w:shd w:val="clear" w:color="auto" w:fill="auto"/>
            <w:noWrap/>
          </w:tcPr>
          <w:p w14:paraId="04D85E54">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二十四、债务还本支出</w:t>
            </w:r>
          </w:p>
        </w:tc>
        <w:tc>
          <w:tcPr>
            <w:tcW w:w="536" w:type="pct"/>
            <w:shd w:val="clear" w:color="auto" w:fill="auto"/>
            <w:noWrap/>
          </w:tcPr>
          <w:p w14:paraId="4A5AE8C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5E747B2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11959F3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40EE782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BFA698D">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F7A8A8F">
            <w:pPr>
              <w:widowControl/>
              <w:overflowPunct w:val="0"/>
              <w:autoSpaceDE w:val="0"/>
              <w:autoSpaceDN w:val="0"/>
              <w:spacing w:line="240" w:lineRule="auto"/>
              <w:rPr>
                <w:rFonts w:ascii="宋体" w:eastAsia="宋体" w:hAnsi="宋体" w:cs="宋体"/>
                <w:b/>
                <w:bCs/>
                <w:color w:val="000000"/>
                <w:kern w:val="0"/>
                <w:szCs w:val="21"/>
              </w:rPr>
            </w:pPr>
          </w:p>
        </w:tc>
        <w:tc>
          <w:tcPr>
            <w:tcW w:w="573" w:type="pct"/>
            <w:shd w:val="clear" w:color="auto" w:fill="auto"/>
            <w:noWrap/>
          </w:tcPr>
          <w:p w14:paraId="120727AF">
            <w:pPr>
              <w:widowControl/>
              <w:overflowPunct w:val="0"/>
              <w:autoSpaceDE w:val="0"/>
              <w:autoSpaceDN w:val="0"/>
              <w:spacing w:line="240" w:lineRule="auto"/>
              <w:rPr>
                <w:rFonts w:ascii="宋体" w:eastAsia="宋体" w:hAnsi="宋体" w:cs="宋体"/>
                <w:color w:val="000000"/>
                <w:kern w:val="0"/>
                <w:szCs w:val="21"/>
              </w:rPr>
            </w:pPr>
          </w:p>
        </w:tc>
        <w:tc>
          <w:tcPr>
            <w:tcW w:w="879" w:type="pct"/>
            <w:gridSpan w:val="2"/>
            <w:shd w:val="clear" w:color="auto" w:fill="auto"/>
            <w:noWrap/>
          </w:tcPr>
          <w:p w14:paraId="11462ECC">
            <w:pPr>
              <w:overflowPunct w:val="0"/>
              <w:autoSpaceDE w:val="0"/>
              <w:autoSpaceDN w:val="0"/>
              <w:rPr>
                <w:rFonts w:ascii="宋体" w:eastAsia="宋体" w:hAnsi="宋体" w:cs="宋体"/>
                <w:color w:val="000000"/>
                <w:szCs w:val="21"/>
              </w:rPr>
            </w:pPr>
            <w:r>
              <w:rPr>
                <w:rFonts w:ascii="宋体" w:eastAsia="宋体" w:hAnsi="宋体" w:cs="宋体" w:hint="eastAsia"/>
                <w:color w:val="000000"/>
                <w:szCs w:val="21"/>
              </w:rPr>
              <w:t>二十五、债务付息支出</w:t>
            </w:r>
          </w:p>
        </w:tc>
        <w:tc>
          <w:tcPr>
            <w:tcW w:w="536" w:type="pct"/>
            <w:shd w:val="clear" w:color="auto" w:fill="auto"/>
            <w:noWrap/>
          </w:tcPr>
          <w:p w14:paraId="7A3195C7">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53ED6C9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780E5CE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5C971EA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D65BC6A">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6BF20AAD">
            <w:pPr>
              <w:widowControl/>
              <w:overflowPunct w:val="0"/>
              <w:autoSpaceDE w:val="0"/>
              <w:autoSpaceDN w:val="0"/>
              <w:spacing w:line="240" w:lineRule="auto"/>
              <w:rPr>
                <w:rFonts w:ascii="宋体" w:eastAsia="宋体" w:hAnsi="宋体" w:cs="宋体"/>
                <w:b/>
                <w:bCs/>
                <w:color w:val="000000"/>
                <w:kern w:val="0"/>
                <w:szCs w:val="21"/>
              </w:rPr>
            </w:pPr>
          </w:p>
        </w:tc>
        <w:tc>
          <w:tcPr>
            <w:tcW w:w="573" w:type="pct"/>
            <w:shd w:val="clear" w:color="auto" w:fill="auto"/>
            <w:noWrap/>
          </w:tcPr>
          <w:p w14:paraId="5A2D2616">
            <w:pPr>
              <w:widowControl/>
              <w:overflowPunct w:val="0"/>
              <w:autoSpaceDE w:val="0"/>
              <w:autoSpaceDN w:val="0"/>
              <w:spacing w:line="240" w:lineRule="auto"/>
              <w:rPr>
                <w:rFonts w:ascii="宋体" w:eastAsia="宋体" w:hAnsi="宋体" w:cs="宋体"/>
                <w:color w:val="000000"/>
                <w:kern w:val="0"/>
                <w:szCs w:val="21"/>
              </w:rPr>
            </w:pPr>
          </w:p>
        </w:tc>
        <w:tc>
          <w:tcPr>
            <w:tcW w:w="879" w:type="pct"/>
            <w:gridSpan w:val="2"/>
            <w:shd w:val="clear" w:color="auto" w:fill="auto"/>
            <w:noWrap/>
          </w:tcPr>
          <w:p w14:paraId="4614BBB6">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color w:val="000000"/>
                <w:szCs w:val="21"/>
              </w:rPr>
              <w:t>二十六、抗疫特别国债安排的支出</w:t>
            </w:r>
          </w:p>
        </w:tc>
        <w:tc>
          <w:tcPr>
            <w:tcW w:w="536" w:type="pct"/>
            <w:shd w:val="clear" w:color="auto" w:fill="auto"/>
            <w:noWrap/>
          </w:tcPr>
          <w:p w14:paraId="710DDFA2">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3F36769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517A9BB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55F2497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3340D47">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87F2F33">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b/>
                <w:bCs/>
                <w:color w:val="000000"/>
                <w:kern w:val="0"/>
                <w:szCs w:val="21"/>
              </w:rPr>
              <w:t>本年收入合计</w:t>
            </w:r>
          </w:p>
        </w:tc>
        <w:tc>
          <w:tcPr>
            <w:tcW w:w="573" w:type="pct"/>
            <w:shd w:val="clear" w:color="auto" w:fill="auto"/>
            <w:noWrap/>
          </w:tcPr>
          <w:p w14:paraId="4893A1B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7041.84</w:t>
            </w:r>
          </w:p>
        </w:tc>
        <w:tc>
          <w:tcPr>
            <w:tcW w:w="879" w:type="pct"/>
            <w:gridSpan w:val="2"/>
            <w:shd w:val="clear" w:color="auto" w:fill="auto"/>
            <w:noWrap/>
          </w:tcPr>
          <w:p w14:paraId="5F77660C">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b/>
                <w:bCs/>
                <w:color w:val="000000"/>
                <w:kern w:val="0"/>
                <w:szCs w:val="21"/>
              </w:rPr>
              <w:t>本年支出合计</w:t>
            </w:r>
          </w:p>
        </w:tc>
        <w:tc>
          <w:tcPr>
            <w:tcW w:w="536" w:type="pct"/>
            <w:shd w:val="clear" w:color="auto" w:fill="auto"/>
            <w:noWrap/>
          </w:tcPr>
          <w:p w14:paraId="3BE79A4F">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color w:val="000000"/>
                <w:kern w:val="0"/>
                <w:szCs w:val="21"/>
              </w:rPr>
              <w:t>7041.84</w:t>
            </w:r>
          </w:p>
        </w:tc>
        <w:tc>
          <w:tcPr>
            <w:tcW w:w="489" w:type="pct"/>
            <w:shd w:val="clear" w:color="auto" w:fill="auto"/>
            <w:noWrap/>
          </w:tcPr>
          <w:p w14:paraId="31950C7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7041.84</w:t>
            </w:r>
          </w:p>
        </w:tc>
        <w:tc>
          <w:tcPr>
            <w:tcW w:w="490" w:type="pct"/>
            <w:gridSpan w:val="3"/>
            <w:shd w:val="clear" w:color="auto" w:fill="auto"/>
            <w:noWrap/>
          </w:tcPr>
          <w:p w14:paraId="1AF0DFE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6F3E16D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4BE5630B">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6E351D91">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color w:val="000000"/>
                <w:sz w:val="22"/>
              </w:rPr>
              <w:t>年初</w:t>
            </w:r>
            <w:r>
              <w:rPr>
                <w:rFonts w:ascii="宋体" w:eastAsia="宋体" w:hAnsi="宋体" w:cs="宋体"/>
                <w:color w:val="000000"/>
                <w:sz w:val="22"/>
              </w:rPr>
              <w:t>结转和结余</w:t>
            </w:r>
          </w:p>
        </w:tc>
        <w:tc>
          <w:tcPr>
            <w:tcW w:w="573" w:type="pct"/>
            <w:shd w:val="clear" w:color="auto" w:fill="auto"/>
            <w:noWrap/>
          </w:tcPr>
          <w:p w14:paraId="259F6A4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3FF8B3F6">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年末</w:t>
            </w:r>
            <w:r>
              <w:rPr>
                <w:rFonts w:ascii="宋体" w:eastAsia="宋体" w:hAnsi="宋体" w:cs="宋体"/>
                <w:color w:val="000000"/>
                <w:u w:color="auto"/>
              </w:rPr>
              <w:t>结转和结余</w:t>
            </w:r>
          </w:p>
        </w:tc>
        <w:tc>
          <w:tcPr>
            <w:tcW w:w="536" w:type="pct"/>
            <w:shd w:val="clear" w:color="auto" w:fill="auto"/>
            <w:noWrap/>
          </w:tcPr>
          <w:p w14:paraId="55DD8DA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89" w:type="pct"/>
            <w:shd w:val="clear" w:color="auto" w:fill="auto"/>
            <w:noWrap/>
          </w:tcPr>
          <w:p w14:paraId="13DE0E4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90" w:type="pct"/>
            <w:gridSpan w:val="3"/>
            <w:shd w:val="clear" w:color="auto" w:fill="auto"/>
            <w:noWrap/>
          </w:tcPr>
          <w:p w14:paraId="7B50374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724D1A2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831024C">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261E19FF">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color w:val="000000"/>
                <w:sz w:val="22"/>
                <w:u w:color="auto"/>
              </w:rPr>
              <w:t>一、</w:t>
            </w:r>
            <w:r>
              <w:rPr>
                <w:rFonts w:ascii="宋体" w:eastAsia="宋体" w:hAnsi="宋体" w:cs="宋体"/>
                <w:color w:val="000000"/>
                <w:sz w:val="22"/>
              </w:rPr>
              <w:t>一般公共预算</w:t>
            </w:r>
          </w:p>
        </w:tc>
        <w:tc>
          <w:tcPr>
            <w:tcW w:w="573" w:type="pct"/>
            <w:shd w:val="clear" w:color="auto" w:fill="auto"/>
            <w:noWrap/>
          </w:tcPr>
          <w:p w14:paraId="6C6CC4A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5FAFF588">
            <w:pPr>
              <w:widowControl/>
              <w:overflowPunct w:val="0"/>
              <w:autoSpaceDE w:val="0"/>
              <w:autoSpaceDN w:val="0"/>
              <w:spacing w:line="240" w:lineRule="auto"/>
              <w:rPr>
                <w:rFonts w:ascii="宋体" w:eastAsia="宋体" w:hAnsi="宋体" w:cs="宋体"/>
                <w:color w:val="000000"/>
                <w:kern w:val="0"/>
                <w:szCs w:val="21"/>
              </w:rPr>
            </w:pPr>
          </w:p>
        </w:tc>
        <w:tc>
          <w:tcPr>
            <w:tcW w:w="536" w:type="pct"/>
            <w:shd w:val="clear" w:color="auto" w:fill="auto"/>
            <w:noWrap/>
          </w:tcPr>
          <w:p w14:paraId="7E690CF4">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89" w:type="pct"/>
            <w:shd w:val="clear" w:color="auto" w:fill="auto"/>
            <w:noWrap/>
          </w:tcPr>
          <w:p w14:paraId="1838AC87">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90" w:type="pct"/>
            <w:gridSpan w:val="3"/>
            <w:shd w:val="clear" w:color="auto" w:fill="auto"/>
            <w:noWrap/>
          </w:tcPr>
          <w:p w14:paraId="4FDA91CA">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59" w:type="pct"/>
            <w:gridSpan w:val="2"/>
          </w:tcPr>
          <w:p w14:paraId="65236779">
            <w:pPr>
              <w:widowControl/>
              <w:overflowPunct w:val="0"/>
              <w:autoSpaceDE w:val="0"/>
              <w:autoSpaceDN w:val="0"/>
              <w:spacing w:line="240" w:lineRule="auto"/>
              <w:rPr>
                <w:rFonts w:ascii="宋体" w:eastAsia="宋体" w:hAnsi="宋体" w:cs="宋体"/>
                <w:color w:val="000000"/>
                <w:kern w:val="0"/>
                <w:szCs w:val="21"/>
              </w:rPr>
            </w:pPr>
          </w:p>
        </w:tc>
      </w:tr>
      <w:tr w14:paraId="149FE3F3">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336BFAAB">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color w:val="000000"/>
                <w:sz w:val="22"/>
                <w:u w:color="auto"/>
              </w:rPr>
              <w:t>二、</w:t>
            </w:r>
            <w:r>
              <w:rPr>
                <w:rFonts w:ascii="宋体" w:eastAsia="宋体" w:hAnsi="宋体" w:cs="宋体"/>
                <w:color w:val="000000"/>
                <w:sz w:val="22"/>
              </w:rPr>
              <w:t>政府性基金预算</w:t>
            </w:r>
          </w:p>
        </w:tc>
        <w:tc>
          <w:tcPr>
            <w:tcW w:w="573" w:type="pct"/>
            <w:shd w:val="clear" w:color="auto" w:fill="auto"/>
            <w:noWrap/>
          </w:tcPr>
          <w:p w14:paraId="46EC42D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05A0CECA">
            <w:pPr>
              <w:widowControl/>
              <w:overflowPunct w:val="0"/>
              <w:autoSpaceDE w:val="0"/>
              <w:autoSpaceDN w:val="0"/>
              <w:spacing w:line="240" w:lineRule="auto"/>
              <w:rPr>
                <w:rFonts w:ascii="宋体" w:eastAsia="宋体" w:hAnsi="宋体" w:cs="宋体"/>
                <w:color w:val="000000"/>
                <w:kern w:val="0"/>
                <w:szCs w:val="21"/>
              </w:rPr>
            </w:pPr>
          </w:p>
        </w:tc>
        <w:tc>
          <w:tcPr>
            <w:tcW w:w="536" w:type="pct"/>
            <w:shd w:val="clear" w:color="auto" w:fill="auto"/>
            <w:noWrap/>
          </w:tcPr>
          <w:p w14:paraId="26F50692">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89" w:type="pct"/>
            <w:shd w:val="clear" w:color="auto" w:fill="auto"/>
            <w:noWrap/>
          </w:tcPr>
          <w:p w14:paraId="45B47733">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90" w:type="pct"/>
            <w:gridSpan w:val="3"/>
            <w:shd w:val="clear" w:color="auto" w:fill="auto"/>
            <w:noWrap/>
          </w:tcPr>
          <w:p w14:paraId="044B81D0">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59" w:type="pct"/>
            <w:gridSpan w:val="2"/>
          </w:tcPr>
          <w:p w14:paraId="1E78BE40">
            <w:pPr>
              <w:widowControl/>
              <w:overflowPunct w:val="0"/>
              <w:autoSpaceDE w:val="0"/>
              <w:autoSpaceDN w:val="0"/>
              <w:spacing w:line="240" w:lineRule="auto"/>
              <w:rPr>
                <w:rFonts w:ascii="宋体" w:eastAsia="宋体" w:hAnsi="宋体" w:cs="宋体"/>
                <w:color w:val="000000"/>
                <w:kern w:val="0"/>
                <w:szCs w:val="21"/>
              </w:rPr>
            </w:pPr>
          </w:p>
        </w:tc>
      </w:tr>
      <w:tr w14:paraId="31299774">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2106D99A">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color w:val="000000"/>
                <w:sz w:val="22"/>
                <w:u w:color="auto"/>
              </w:rPr>
              <w:t>三、</w:t>
            </w:r>
            <w:r>
              <w:rPr>
                <w:rFonts w:ascii="宋体" w:eastAsia="宋体" w:hAnsi="宋体" w:cs="宋体"/>
                <w:color w:val="000000"/>
                <w:sz w:val="22"/>
              </w:rPr>
              <w:t>国有资本经营预算</w:t>
            </w:r>
          </w:p>
        </w:tc>
        <w:tc>
          <w:tcPr>
            <w:tcW w:w="573" w:type="pct"/>
            <w:shd w:val="clear" w:color="auto" w:fill="auto"/>
            <w:noWrap/>
          </w:tcPr>
          <w:p w14:paraId="4313FC9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879" w:type="pct"/>
            <w:gridSpan w:val="2"/>
            <w:shd w:val="clear" w:color="auto" w:fill="auto"/>
            <w:noWrap/>
          </w:tcPr>
          <w:p w14:paraId="24C0962E">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536" w:type="pct"/>
            <w:shd w:val="clear" w:color="auto" w:fill="auto"/>
            <w:noWrap/>
          </w:tcPr>
          <w:p w14:paraId="55062263">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89" w:type="pct"/>
            <w:shd w:val="clear" w:color="auto" w:fill="auto"/>
            <w:noWrap/>
          </w:tcPr>
          <w:p w14:paraId="383E7A9B">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90" w:type="pct"/>
            <w:gridSpan w:val="3"/>
            <w:shd w:val="clear" w:color="auto" w:fill="auto"/>
            <w:noWrap/>
          </w:tcPr>
          <w:p w14:paraId="2D72092D">
            <w:pPr>
              <w:widowControl/>
              <w:overflowPunct w:val="0"/>
              <w:autoSpaceDE w:val="0"/>
              <w:autoSpaceDN w:val="0"/>
              <w:spacing w:line="240" w:lineRule="auto"/>
              <w:rPr>
                <w:rFonts w:ascii="宋体" w:eastAsia="宋体" w:hAnsi="宋体" w:cs="宋体"/>
                <w:color w:val="000000"/>
                <w:kern w:val="0"/>
                <w:szCs w:val="21"/>
              </w:rPr>
            </w:pPr>
            <w:r>
              <w:rPr>
                <w:rFonts w:ascii="宋体" w:eastAsia="宋体" w:hAnsi="宋体" w:cs="宋体" w:hint="eastAsia"/>
                <w:color w:val="000000"/>
                <w:kern w:val="0"/>
                <w:szCs w:val="21"/>
              </w:rPr>
              <w:t>　</w:t>
            </w:r>
          </w:p>
        </w:tc>
        <w:tc>
          <w:tcPr>
            <w:tcW w:w="459" w:type="pct"/>
            <w:gridSpan w:val="2"/>
          </w:tcPr>
          <w:p w14:paraId="1DBAC196">
            <w:pPr>
              <w:widowControl/>
              <w:overflowPunct w:val="0"/>
              <w:autoSpaceDE w:val="0"/>
              <w:autoSpaceDN w:val="0"/>
              <w:spacing w:line="240" w:lineRule="auto"/>
              <w:rPr>
                <w:rFonts w:ascii="宋体" w:eastAsia="宋体" w:hAnsi="宋体" w:cs="宋体"/>
                <w:color w:val="000000"/>
                <w:kern w:val="0"/>
                <w:szCs w:val="21"/>
              </w:rPr>
            </w:pPr>
          </w:p>
        </w:tc>
      </w:tr>
      <w:tr w14:paraId="2F0E8E45">
        <w:tblPrEx>
          <w:tblW w:w="5481" w:type="pct"/>
          <w:tblInd w:w="0" w:type="dxa"/>
          <w:tblLayout w:type="fixed"/>
          <w:tblCellMar>
            <w:top w:w="0" w:type="dxa"/>
            <w:left w:w="108" w:type="dxa"/>
            <w:bottom w:w="0" w:type="dxa"/>
            <w:right w:w="108" w:type="dxa"/>
          </w:tblCellMar>
        </w:tblPrEx>
        <w:trPr>
          <w:trHeight w:val="390"/>
        </w:trPr>
        <w:tc>
          <w:tcPr>
            <w:tcW w:w="1137" w:type="pct"/>
            <w:shd w:val="clear" w:color="auto" w:fill="auto"/>
            <w:noWrap/>
          </w:tcPr>
          <w:p w14:paraId="776DBE07">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b/>
                <w:bCs/>
                <w:color w:val="000000"/>
                <w:kern w:val="0"/>
                <w:szCs w:val="21"/>
              </w:rPr>
              <w:t>总计</w:t>
            </w:r>
          </w:p>
        </w:tc>
        <w:tc>
          <w:tcPr>
            <w:tcW w:w="573" w:type="pct"/>
            <w:shd w:val="clear" w:color="auto" w:fill="auto"/>
            <w:noWrap/>
          </w:tcPr>
          <w:p w14:paraId="516ABE6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7041.84</w:t>
            </w:r>
          </w:p>
        </w:tc>
        <w:tc>
          <w:tcPr>
            <w:tcW w:w="879" w:type="pct"/>
            <w:gridSpan w:val="2"/>
            <w:shd w:val="clear" w:color="auto" w:fill="auto"/>
            <w:noWrap/>
          </w:tcPr>
          <w:p w14:paraId="3E5800FE">
            <w:pPr>
              <w:widowControl/>
              <w:overflowPunct w:val="0"/>
              <w:autoSpaceDE w:val="0"/>
              <w:autoSpaceDN w:val="0"/>
              <w:spacing w:line="240" w:lineRule="auto"/>
              <w:rPr>
                <w:rFonts w:ascii="宋体" w:eastAsia="宋体" w:hAnsi="宋体" w:cs="宋体"/>
                <w:b/>
                <w:bCs/>
                <w:color w:val="000000"/>
                <w:kern w:val="0"/>
                <w:szCs w:val="21"/>
              </w:rPr>
            </w:pPr>
            <w:r>
              <w:rPr>
                <w:rFonts w:ascii="宋体" w:eastAsia="宋体" w:hAnsi="宋体" w:cs="宋体" w:hint="eastAsia"/>
                <w:b/>
                <w:bCs/>
                <w:color w:val="000000"/>
                <w:kern w:val="0"/>
                <w:szCs w:val="21"/>
              </w:rPr>
              <w:t>总计</w:t>
            </w:r>
          </w:p>
        </w:tc>
        <w:tc>
          <w:tcPr>
            <w:tcW w:w="536" w:type="pct"/>
            <w:shd w:val="clear" w:color="auto" w:fill="auto"/>
            <w:noWrap/>
          </w:tcPr>
          <w:p w14:paraId="410D13CD">
            <w:pPr>
              <w:widowControl/>
              <w:overflowPunct w:val="0"/>
              <w:autoSpaceDE w:val="0"/>
              <w:autoSpaceDN w:val="0"/>
              <w:spacing w:line="240" w:lineRule="auto"/>
              <w:jc w:val="center"/>
              <w:rPr>
                <w:rFonts w:ascii="宋体" w:eastAsia="宋体" w:hAnsi="宋体" w:cs="宋体"/>
                <w:b/>
                <w:bCs/>
                <w:color w:val="000000"/>
                <w:kern w:val="0"/>
                <w:szCs w:val="21"/>
              </w:rPr>
            </w:pPr>
            <w:r>
              <w:rPr>
                <w:rFonts w:ascii="宋体" w:eastAsia="宋体" w:hAnsi="宋体" w:cs="宋体" w:hint="eastAsia"/>
                <w:color w:val="000000"/>
                <w:kern w:val="0"/>
                <w:szCs w:val="21"/>
              </w:rPr>
              <w:t>7041.84</w:t>
            </w:r>
          </w:p>
        </w:tc>
        <w:tc>
          <w:tcPr>
            <w:tcW w:w="489" w:type="pct"/>
            <w:shd w:val="clear" w:color="auto" w:fill="auto"/>
            <w:noWrap/>
          </w:tcPr>
          <w:p w14:paraId="3A880D0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7041.84</w:t>
            </w:r>
          </w:p>
        </w:tc>
        <w:tc>
          <w:tcPr>
            <w:tcW w:w="490" w:type="pct"/>
            <w:gridSpan w:val="3"/>
            <w:shd w:val="clear" w:color="auto" w:fill="auto"/>
            <w:noWrap/>
          </w:tcPr>
          <w:p w14:paraId="2FE3166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459" w:type="pct"/>
            <w:gridSpan w:val="2"/>
          </w:tcPr>
          <w:p w14:paraId="2E2F5DD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bl>
    <w:p w14:paraId="02B4E9DE">
      <w:pPr>
        <w:widowControl/>
        <w:overflowPunct w:val="0"/>
        <w:autoSpaceDE w:val="0"/>
        <w:autoSpaceDN w:val="0"/>
        <w:spacing w:line="240" w:lineRule="auto"/>
        <w:jc w:val="left"/>
        <w:rPr>
          <w:rFonts w:ascii="黑体" w:eastAsia="黑体" w:hAnsi="仿宋"/>
          <w:sz w:val="32"/>
          <w:szCs w:val="32"/>
        </w:rPr>
      </w:pPr>
      <w:r>
        <w:rPr>
          <w:rFonts w:ascii="宋体" w:eastAsia="宋体" w:hAnsi="宋体" w:cs="宋体" w:hint="eastAsia"/>
          <w:sz w:val="24"/>
          <w:szCs w:val="24"/>
        </w:rPr>
        <w:t>注：本表反映单位本年度一般公共预算财政拨款、政府性基金预算财政拨款和国有资本经营预算财政拨款的总收支和年末结转结余情况。</w:t>
      </w:r>
      <w:r>
        <w:br w:type="page"/>
      </w:r>
    </w:p>
    <w:p w14:paraId="2F8F665B">
      <w:pPr>
        <w:overflowPunct w:val="0"/>
        <w:autoSpaceDE w:val="0"/>
        <w:autoSpaceDN w:val="0"/>
        <w:jc w:val="left"/>
        <w:outlineLvl w:val="1"/>
        <w:rPr>
          <w:rFonts w:ascii="黑体" w:eastAsia="黑体" w:hAnsi="仿宋"/>
          <w:sz w:val="32"/>
          <w:szCs w:val="32"/>
        </w:rPr>
        <w:sectPr>
          <w:type w:val="continuous"/>
          <w:pgSz w:w="16838" w:h="11906" w:orient="landscape"/>
          <w:pgMar w:top="1440" w:right="1800" w:bottom="1440" w:left="1800" w:header="851" w:footer="992" w:gutter="0"/>
          <w:cols w:num="1" w:space="425"/>
          <w:docGrid w:type="lines" w:linePitch="312" w:charSpace="0"/>
        </w:sectPr>
      </w:pPr>
      <w:bookmarkStart w:id="12" w:name="_GoBack"/>
      <w:bookmarkEnd w:id="12"/>
    </w:p>
    <w:p w14:paraId="2797C313">
      <w:pPr>
        <w:overflowPunct w:val="0"/>
        <w:autoSpaceDE w:val="0"/>
        <w:autoSpaceDN w:val="0"/>
        <w:jc w:val="left"/>
        <w:outlineLvl w:val="1"/>
        <w:rPr>
          <w:rFonts w:ascii="黑体" w:eastAsia="黑体" w:hAnsi="仿宋"/>
          <w:sz w:val="32"/>
          <w:szCs w:val="32"/>
        </w:rPr>
      </w:pPr>
      <w:bookmarkStart w:id="13" w:name="_Toc256000011"/>
      <w:r>
        <w:rPr>
          <w:rFonts w:ascii="黑体" w:eastAsia="黑体" w:hAnsi="仿宋" w:hint="eastAsia"/>
          <w:sz w:val="32"/>
          <w:szCs w:val="32"/>
        </w:rPr>
        <w:t>五、一般公共预算财政拨款支出决算表</w:t>
      </w:r>
      <w:bookmarkEnd w:id="13"/>
    </w:p>
    <w:tbl>
      <w:tblPr>
        <w:tblStyle w:val="TableNormal"/>
        <w:tblW w:w="8522" w:type="dxa"/>
        <w:jc w:val="center"/>
        <w:tblLayout w:type="fixed"/>
        <w:tblCellMar>
          <w:top w:w="0" w:type="dxa"/>
          <w:left w:w="108" w:type="dxa"/>
          <w:bottom w:w="0" w:type="dxa"/>
          <w:right w:w="108" w:type="dxa"/>
        </w:tblCellMar>
      </w:tblPr>
      <w:tblGrid>
        <w:gridCol w:w="1513"/>
        <w:gridCol w:w="2775"/>
        <w:gridCol w:w="1410"/>
        <w:gridCol w:w="6"/>
        <w:gridCol w:w="188"/>
        <w:gridCol w:w="1216"/>
        <w:gridCol w:w="1414"/>
      </w:tblGrid>
      <w:tr w14:paraId="53C9851B">
        <w:tblPrEx>
          <w:tblW w:w="8522" w:type="dxa"/>
          <w:jc w:val="center"/>
          <w:tblLayout w:type="fixed"/>
          <w:tblCellMar>
            <w:top w:w="0" w:type="dxa"/>
            <w:left w:w="108" w:type="dxa"/>
            <w:bottom w:w="0" w:type="dxa"/>
            <w:right w:w="108" w:type="dxa"/>
          </w:tblCellMar>
        </w:tblPrEx>
        <w:trPr>
          <w:trHeight w:val="540"/>
          <w:jc w:val="center"/>
        </w:trPr>
        <w:tc>
          <w:tcPr>
            <w:tcW w:w="8522" w:type="dxa"/>
            <w:gridSpan w:val="7"/>
            <w:tcBorders>
              <w:top w:val="nil"/>
              <w:left w:val="nil"/>
              <w:bottom w:val="nil"/>
              <w:right w:val="nil"/>
            </w:tcBorders>
            <w:shd w:val="clear" w:color="auto" w:fill="auto"/>
            <w:noWrap/>
            <w:vAlign w:val="bottom"/>
          </w:tcPr>
          <w:p w14:paraId="3D98A519">
            <w:pPr>
              <w:widowControl/>
              <w:overflowPunct w:val="0"/>
              <w:autoSpaceDE w:val="0"/>
              <w:autoSpaceDN w:val="0"/>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一般公共预算财政拨款支出决算表</w:t>
            </w:r>
          </w:p>
          <w:p w14:paraId="04E82525">
            <w:pPr>
              <w:widowControl/>
              <w:overflowPunct w:val="0"/>
              <w:autoSpaceDE w:val="0"/>
              <w:autoSpaceDN w:val="0"/>
              <w:spacing w:line="240" w:lineRule="auto"/>
              <w:jc w:val="right"/>
              <w:rPr>
                <w:rFonts w:ascii="黑体" w:eastAsia="黑体" w:hAnsi="Arial" w:cs="Arial"/>
                <w:kern w:val="0"/>
                <w:sz w:val="44"/>
                <w:szCs w:val="44"/>
              </w:rPr>
            </w:pPr>
            <w:r>
              <w:rPr>
                <w:rFonts w:ascii="宋体" w:eastAsia="宋体" w:hAnsi="宋体" w:cs="Arial" w:hint="eastAsia"/>
                <w:kern w:val="0"/>
                <w:sz w:val="20"/>
                <w:szCs w:val="20"/>
              </w:rPr>
              <w:t>公开05表</w:t>
            </w:r>
          </w:p>
        </w:tc>
      </w:tr>
      <w:tr w14:paraId="162E3E06">
        <w:tblPrEx>
          <w:tblW w:w="8522" w:type="dxa"/>
          <w:jc w:val="center"/>
          <w:tblLayout w:type="fixed"/>
          <w:tblCellMar>
            <w:top w:w="0" w:type="dxa"/>
            <w:left w:w="108" w:type="dxa"/>
            <w:bottom w:w="0" w:type="dxa"/>
            <w:right w:w="108" w:type="dxa"/>
          </w:tblCellMar>
        </w:tblPrEx>
        <w:trPr>
          <w:trHeight w:val="510"/>
          <w:jc w:val="center"/>
        </w:trPr>
        <w:tc>
          <w:tcPr>
            <w:tcW w:w="5894" w:type="dxa"/>
            <w:gridSpan w:val="5"/>
            <w:tcBorders>
              <w:top w:val="nil"/>
              <w:left w:val="nil"/>
              <w:bottom w:val="single" w:sz="4" w:space="0" w:color="auto"/>
              <w:right w:val="nil"/>
            </w:tcBorders>
            <w:shd w:val="clear" w:color="auto" w:fill="auto"/>
            <w:noWrap/>
            <w:vAlign w:val="center"/>
          </w:tcPr>
          <w:p w14:paraId="3731C49D">
            <w:pPr>
              <w:widowControl/>
              <w:overflowPunct w:val="0"/>
              <w:autoSpaceDE w:val="0"/>
              <w:autoSpaceDN w:val="0"/>
              <w:spacing w:line="240" w:lineRule="auto"/>
              <w:jc w:val="left"/>
              <w:rPr>
                <w:rFonts w:ascii="宋体" w:eastAsia="宋体" w:hAnsi="宋体" w:cs="Arial"/>
                <w:kern w:val="0"/>
                <w:sz w:val="24"/>
                <w:szCs w:val="24"/>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2628" w:type="dxa"/>
            <w:gridSpan w:val="2"/>
            <w:tcBorders>
              <w:top w:val="nil"/>
              <w:left w:val="nil"/>
              <w:bottom w:val="single" w:sz="4" w:space="0" w:color="auto"/>
              <w:right w:val="nil"/>
            </w:tcBorders>
            <w:shd w:val="clear" w:color="auto" w:fill="auto"/>
            <w:noWrap/>
            <w:vAlign w:val="center"/>
          </w:tcPr>
          <w:p w14:paraId="7E0BE1A4">
            <w:pPr>
              <w:widowControl/>
              <w:overflowPunct w:val="0"/>
              <w:autoSpaceDE w:val="0"/>
              <w:autoSpaceDN w:val="0"/>
              <w:spacing w:line="240" w:lineRule="auto"/>
              <w:jc w:val="right"/>
              <w:rPr>
                <w:rFonts w:ascii="宋体" w:eastAsia="宋体" w:hAnsi="宋体" w:cs="Arial"/>
                <w:kern w:val="0"/>
                <w:sz w:val="20"/>
                <w:szCs w:val="20"/>
              </w:rPr>
            </w:pPr>
            <w:r>
              <w:rPr>
                <w:rFonts w:ascii="宋体" w:eastAsia="宋体" w:hAnsi="宋体" w:cs="Arial" w:hint="eastAsia"/>
                <w:kern w:val="0"/>
                <w:sz w:val="20"/>
                <w:szCs w:val="20"/>
              </w:rPr>
              <w:t>单位：万元</w:t>
            </w:r>
          </w:p>
        </w:tc>
      </w:tr>
      <w:tr w14:paraId="70606457">
        <w:tblPrEx>
          <w:tblW w:w="8522" w:type="dxa"/>
          <w:jc w:val="center"/>
          <w:tblLayout w:type="fixed"/>
          <w:tblCellMar>
            <w:top w:w="0" w:type="dxa"/>
            <w:left w:w="108" w:type="dxa"/>
            <w:bottom w:w="0" w:type="dxa"/>
            <w:right w:w="108" w:type="dxa"/>
          </w:tblCellMar>
        </w:tblPrEx>
        <w:trPr>
          <w:trHeight w:val="510"/>
          <w:jc w:val="center"/>
        </w:trPr>
        <w:tc>
          <w:tcPr>
            <w:tcW w:w="42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AC5A6F">
            <w:pPr>
              <w:widowControl/>
              <w:overflowPunct w:val="0"/>
              <w:autoSpaceDE w:val="0"/>
              <w:autoSpaceDN w:val="0"/>
              <w:spacing w:line="240" w:lineRule="auto"/>
              <w:jc w:val="center"/>
              <w:rPr>
                <w:rFonts w:ascii="宋体" w:eastAsia="宋体" w:hAnsi="宋体" w:cs="Arial"/>
                <w:kern w:val="0"/>
                <w:szCs w:val="21"/>
              </w:rPr>
            </w:pPr>
            <w:r>
              <w:rPr>
                <w:rFonts w:ascii="宋体" w:eastAsia="宋体" w:hAnsi="宋体" w:cs="Arial" w:hint="eastAsia"/>
                <w:kern w:val="0"/>
                <w:szCs w:val="21"/>
              </w:rPr>
              <w:t>项   目</w:t>
            </w:r>
          </w:p>
        </w:tc>
        <w:tc>
          <w:tcPr>
            <w:tcW w:w="4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CB56C9">
            <w:pPr>
              <w:widowControl/>
              <w:overflowPunct w:val="0"/>
              <w:autoSpaceDE w:val="0"/>
              <w:autoSpaceDN w:val="0"/>
              <w:spacing w:line="240" w:lineRule="auto"/>
              <w:jc w:val="center"/>
              <w:rPr>
                <w:rFonts w:ascii="宋体" w:eastAsia="宋体" w:hAnsi="宋体" w:cs="Arial"/>
                <w:kern w:val="0"/>
                <w:szCs w:val="21"/>
              </w:rPr>
            </w:pPr>
            <w:r>
              <w:rPr>
                <w:rFonts w:ascii="宋体" w:eastAsia="宋体" w:hAnsi="宋体" w:cs="Arial" w:hint="eastAsia"/>
                <w:kern w:val="0"/>
                <w:szCs w:val="21"/>
              </w:rPr>
              <w:t>本年支出</w:t>
            </w:r>
          </w:p>
        </w:tc>
      </w:tr>
      <w:tr w14:paraId="2AB00CD6">
        <w:tblPrEx>
          <w:tblW w:w="8522" w:type="dxa"/>
          <w:jc w:val="center"/>
          <w:tblLayout w:type="fixed"/>
          <w:tblCellMar>
            <w:top w:w="0" w:type="dxa"/>
            <w:left w:w="108" w:type="dxa"/>
            <w:bottom w:w="0" w:type="dxa"/>
            <w:right w:w="108" w:type="dxa"/>
          </w:tblCellMar>
        </w:tblPrEx>
        <w:trPr>
          <w:trHeight w:val="540"/>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5D9BF0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功能分类科目编码</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5CF4F866">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科目名称</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64344F6">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小计</w:t>
            </w: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8E78A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基本支出</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279D16">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项目支出</w:t>
            </w:r>
          </w:p>
        </w:tc>
      </w:tr>
      <w:tr w14:paraId="5CADF95A">
        <w:tblPrEx>
          <w:tblW w:w="8522" w:type="dxa"/>
          <w:jc w:val="center"/>
          <w:tblLayout w:type="fixed"/>
          <w:tblCellMar>
            <w:top w:w="0" w:type="dxa"/>
            <w:left w:w="108" w:type="dxa"/>
            <w:bottom w:w="0" w:type="dxa"/>
            <w:right w:w="108" w:type="dxa"/>
          </w:tblCellMar>
        </w:tblPrEx>
        <w:trPr>
          <w:trHeight w:val="435"/>
          <w:jc w:val="center"/>
        </w:trPr>
        <w:tc>
          <w:tcPr>
            <w:tcW w:w="4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58D1D">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合计</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B8C44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7041.84</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5FCB4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6748.27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03CD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293.58</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ED105">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09F02">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一般公共服务支出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71EFD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66195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6DF45">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党委办公厅（室）及相关机构事务</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2013105</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专项业务</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1.17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5003.05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4709.48</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293.58</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教育管理事务</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2050199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其他教育管理事务支出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73.70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普通教育</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4685.26</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4581.47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103.80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2050203</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初中教育</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74.92</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2050204</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高中教育</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4050.54</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4050.54</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2050299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其他普通教育支出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559.80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456.00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103.80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特殊教育</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2050799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其他特殊教育支出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2.85</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教育费附加安排的支出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2050999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其他教育费附加安排的支出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189.78</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2059999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其他教育支出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51.46</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社会保障和就业支出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1050.44</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行政事业单位养老支出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1030.22</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2080502</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事业单位离退休</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287.42</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2080505</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机关事业单位基本养老保险缴费支出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463.95</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2080506</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机关事业单位职业年金缴费支出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278.85</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2089999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其他社会保障和就业支出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20.23</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卫生健康支出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行政事业单位医疗</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330.28</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2101102</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事业单位医疗</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188.63</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2101103</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公务员医疗补助</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141.65</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住房保障支出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住房改革支出</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656.89</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2210201</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住房公积金</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395.37</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2210202</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提租补贴</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72.62</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r w14:paraId="27C0C43C">
        <w:tblPrEx>
          <w:tblW w:w="8522" w:type="dxa"/>
          <w:jc w:val="center"/>
          <w:tblLayout w:type="fixed"/>
          <w:tblCellMar>
            <w:top w:w="0" w:type="dxa"/>
            <w:left w:w="108" w:type="dxa"/>
            <w:bottom w:w="0" w:type="dxa"/>
            <w:right w:w="108" w:type="dxa"/>
          </w:tblCellMar>
        </w:tblPrEx>
        <w:trPr>
          <w:trHeight w:val="405"/>
          <w:jc w:val="center"/>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2210203</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宋体" w:hint="eastAsia"/>
                <w:color w:val="000000"/>
                <w:position w:val="-1"/>
                <w:szCs w:val="21"/>
              </w:rPr>
              <w:t>购房补贴</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188.90</w:t>
            </w: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color w:val="000000"/>
                <w:position w:val="-1"/>
                <w:szCs w:val="21"/>
              </w:rPr>
              <w:t>0.00</w:t>
            </w:r>
          </w:p>
        </w:tc>
      </w:tr>
    </w:tbl>
    <w:p w14:paraId="3F32BCC5">
      <w:pPr>
        <w:widowControl/>
        <w:overflowPunct w:val="0"/>
        <w:autoSpaceDE w:val="0"/>
        <w:autoSpaceDN w:val="0"/>
        <w:spacing w:line="240" w:lineRule="auto"/>
        <w:jc w:val="left"/>
        <w:rPr>
          <w:rFonts w:ascii="宋体" w:eastAsia="宋体" w:hAnsi="宋体" w:cs="宋体"/>
          <w:sz w:val="24"/>
          <w:szCs w:val="24"/>
        </w:rPr>
        <w:sectPr>
          <w:type w:val="continuous"/>
          <w:pgSz w:w="11906" w:h="16838"/>
          <w:pgMar w:top="1440" w:right="1800" w:bottom="1440" w:left="1800" w:header="851" w:footer="992" w:gutter="0"/>
          <w:cols w:num="1" w:space="425"/>
          <w:docGrid w:type="lines" w:linePitch="312" w:charSpace="0"/>
        </w:sectPr>
      </w:pPr>
      <w:r>
        <w:rPr>
          <w:rFonts w:ascii="宋体" w:eastAsia="宋体" w:hAnsi="宋体" w:cs="宋体" w:hint="eastAsia"/>
          <w:sz w:val="24"/>
          <w:szCs w:val="24"/>
        </w:rPr>
        <w:t>注：本表反映单位本年度一般公共预算财政拨款支出情况。</w:t>
      </w:r>
    </w:p>
    <w:p w14:paraId="1F46A613">
      <w:pPr>
        <w:overflowPunct w:val="0"/>
        <w:autoSpaceDE w:val="0"/>
        <w:autoSpaceDN w:val="0"/>
        <w:jc w:val="left"/>
        <w:outlineLvl w:val="1"/>
        <w:rPr>
          <w:rFonts w:ascii="黑体" w:eastAsia="黑体" w:hAnsi="仿宋"/>
          <w:sz w:val="32"/>
          <w:szCs w:val="32"/>
        </w:rPr>
      </w:pPr>
      <w:bookmarkStart w:id="14" w:name="_Toc256000012"/>
      <w:r>
        <w:rPr>
          <w:rFonts w:ascii="黑体" w:eastAsia="黑体" w:hAnsi="仿宋" w:hint="eastAsia"/>
          <w:sz w:val="32"/>
          <w:szCs w:val="32"/>
        </w:rPr>
        <w:t>六、一般公共预算财政拨款基本支出决算表</w:t>
      </w:r>
      <w:bookmarkEnd w:id="14"/>
    </w:p>
    <w:tbl>
      <w:tblPr>
        <w:tblStyle w:val="TableNormal"/>
        <w:tblW w:w="13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15"/>
        <w:gridCol w:w="2860"/>
        <w:gridCol w:w="1178"/>
        <w:gridCol w:w="1261"/>
        <w:gridCol w:w="2019"/>
        <w:gridCol w:w="1047"/>
        <w:gridCol w:w="625"/>
        <w:gridCol w:w="474"/>
        <w:gridCol w:w="1080"/>
        <w:gridCol w:w="1036"/>
        <w:gridCol w:w="1183"/>
      </w:tblGrid>
      <w:tr w14:paraId="293E436D">
        <w:tblPrEx>
          <w:tblW w:w="13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47"/>
        </w:trPr>
        <w:tc>
          <w:tcPr>
            <w:tcW w:w="13878" w:type="dxa"/>
            <w:gridSpan w:val="11"/>
            <w:tcBorders>
              <w:top w:val="nil"/>
              <w:left w:val="nil"/>
              <w:bottom w:val="nil"/>
              <w:right w:val="nil"/>
            </w:tcBorders>
            <w:shd w:val="clear" w:color="auto" w:fill="auto"/>
            <w:noWrap/>
            <w:vAlign w:val="center"/>
          </w:tcPr>
          <w:p w14:paraId="00091BA3">
            <w:pPr>
              <w:widowControl/>
              <w:overflowPunct w:val="0"/>
              <w:autoSpaceDE w:val="0"/>
              <w:autoSpaceDN w:val="0"/>
              <w:spacing w:line="240" w:lineRule="auto"/>
              <w:jc w:val="center"/>
              <w:rPr>
                <w:rFonts w:ascii="黑体" w:eastAsia="黑体" w:hAnsi="Arial" w:cs="Arial"/>
                <w:color w:val="000000"/>
                <w:kern w:val="0"/>
                <w:sz w:val="44"/>
                <w:szCs w:val="44"/>
              </w:rPr>
            </w:pPr>
            <w:r>
              <w:rPr>
                <w:rFonts w:ascii="黑体" w:eastAsia="黑体" w:hAnsi="Arial" w:cs="Arial" w:hint="eastAsia"/>
                <w:color w:val="000000"/>
                <w:kern w:val="0"/>
                <w:sz w:val="36"/>
                <w:szCs w:val="36"/>
              </w:rPr>
              <w:t>一般公共预算财政拨款基本支出决算表</w:t>
            </w:r>
          </w:p>
        </w:tc>
      </w:tr>
      <w:tr w14:paraId="4D67C3D8">
        <w:tblPrEx>
          <w:tblW w:w="13878" w:type="dxa"/>
          <w:tblInd w:w="-318" w:type="dxa"/>
          <w:tblLayout w:type="fixed"/>
          <w:tblCellMar>
            <w:top w:w="0" w:type="dxa"/>
            <w:left w:w="108" w:type="dxa"/>
            <w:bottom w:w="0" w:type="dxa"/>
            <w:right w:w="108" w:type="dxa"/>
          </w:tblCellMar>
        </w:tblPrEx>
        <w:trPr>
          <w:trHeight w:val="416"/>
        </w:trPr>
        <w:tc>
          <w:tcPr>
            <w:tcW w:w="5153" w:type="dxa"/>
            <w:gridSpan w:val="3"/>
            <w:tcBorders>
              <w:top w:val="nil"/>
              <w:left w:val="nil"/>
              <w:bottom w:val="nil"/>
              <w:right w:val="nil"/>
            </w:tcBorders>
            <w:shd w:val="clear" w:color="auto" w:fill="auto"/>
            <w:noWrap/>
            <w:vAlign w:val="center"/>
          </w:tcPr>
          <w:p w14:paraId="680DF929">
            <w:pPr>
              <w:widowControl/>
              <w:overflowPunct w:val="0"/>
              <w:autoSpaceDE w:val="0"/>
              <w:autoSpaceDN w:val="0"/>
              <w:spacing w:line="240" w:lineRule="auto"/>
              <w:jc w:val="left"/>
              <w:rPr>
                <w:rFonts w:ascii="宋体" w:eastAsia="宋体" w:hAnsi="宋体" w:cs="Arial"/>
                <w:color w:val="000000"/>
                <w:kern w:val="0"/>
                <w:sz w:val="22"/>
              </w:rPr>
            </w:pPr>
          </w:p>
        </w:tc>
        <w:tc>
          <w:tcPr>
            <w:tcW w:w="1261" w:type="dxa"/>
            <w:tcBorders>
              <w:top w:val="nil"/>
              <w:left w:val="nil"/>
              <w:bottom w:val="nil"/>
              <w:right w:val="nil"/>
            </w:tcBorders>
            <w:shd w:val="clear" w:color="auto" w:fill="auto"/>
            <w:noWrap/>
            <w:vAlign w:val="bottom"/>
          </w:tcPr>
          <w:p w14:paraId="47B67985">
            <w:pPr>
              <w:widowControl/>
              <w:overflowPunct w:val="0"/>
              <w:autoSpaceDE w:val="0"/>
              <w:autoSpaceDN w:val="0"/>
              <w:spacing w:line="240" w:lineRule="auto"/>
              <w:jc w:val="left"/>
              <w:rPr>
                <w:rFonts w:ascii="Arial" w:eastAsia="宋体" w:hAnsi="Arial" w:cs="Arial"/>
                <w:color w:val="000000"/>
                <w:kern w:val="0"/>
                <w:sz w:val="20"/>
                <w:szCs w:val="20"/>
              </w:rPr>
            </w:pPr>
          </w:p>
        </w:tc>
        <w:tc>
          <w:tcPr>
            <w:tcW w:w="2019" w:type="dxa"/>
            <w:tcBorders>
              <w:top w:val="nil"/>
              <w:left w:val="nil"/>
              <w:bottom w:val="nil"/>
              <w:right w:val="nil"/>
            </w:tcBorders>
            <w:shd w:val="clear" w:color="auto" w:fill="auto"/>
            <w:noWrap/>
            <w:vAlign w:val="bottom"/>
          </w:tcPr>
          <w:p w14:paraId="2BEA66E4">
            <w:pPr>
              <w:widowControl/>
              <w:overflowPunct w:val="0"/>
              <w:autoSpaceDE w:val="0"/>
              <w:autoSpaceDN w:val="0"/>
              <w:spacing w:line="240" w:lineRule="auto"/>
              <w:jc w:val="left"/>
              <w:rPr>
                <w:rFonts w:ascii="Arial" w:eastAsia="宋体" w:hAnsi="Arial" w:cs="Arial"/>
                <w:color w:val="000000"/>
                <w:kern w:val="0"/>
                <w:sz w:val="20"/>
                <w:szCs w:val="20"/>
              </w:rPr>
            </w:pPr>
          </w:p>
        </w:tc>
        <w:tc>
          <w:tcPr>
            <w:tcW w:w="1672" w:type="dxa"/>
            <w:gridSpan w:val="2"/>
            <w:tcBorders>
              <w:top w:val="nil"/>
              <w:left w:val="nil"/>
              <w:bottom w:val="nil"/>
              <w:right w:val="nil"/>
            </w:tcBorders>
            <w:shd w:val="clear" w:color="auto" w:fill="auto"/>
            <w:noWrap/>
            <w:vAlign w:val="bottom"/>
          </w:tcPr>
          <w:p w14:paraId="6FE7E957">
            <w:pPr>
              <w:widowControl/>
              <w:overflowPunct w:val="0"/>
              <w:autoSpaceDE w:val="0"/>
              <w:autoSpaceDN w:val="0"/>
              <w:spacing w:line="240" w:lineRule="auto"/>
              <w:jc w:val="left"/>
              <w:rPr>
                <w:rFonts w:ascii="Arial" w:eastAsia="宋体" w:hAnsi="Arial" w:cs="Arial"/>
                <w:color w:val="000000"/>
                <w:kern w:val="0"/>
                <w:sz w:val="20"/>
                <w:szCs w:val="20"/>
              </w:rPr>
            </w:pPr>
          </w:p>
        </w:tc>
        <w:tc>
          <w:tcPr>
            <w:tcW w:w="474" w:type="dxa"/>
            <w:tcBorders>
              <w:top w:val="nil"/>
              <w:left w:val="nil"/>
              <w:bottom w:val="nil"/>
              <w:right w:val="nil"/>
            </w:tcBorders>
            <w:shd w:val="clear" w:color="auto" w:fill="auto"/>
            <w:noWrap/>
            <w:vAlign w:val="bottom"/>
          </w:tcPr>
          <w:p w14:paraId="1978EE8A">
            <w:pPr>
              <w:widowControl/>
              <w:overflowPunct w:val="0"/>
              <w:autoSpaceDE w:val="0"/>
              <w:autoSpaceDN w:val="0"/>
              <w:spacing w:line="240" w:lineRule="auto"/>
              <w:jc w:val="left"/>
              <w:rPr>
                <w:rFonts w:ascii="Arial" w:eastAsia="宋体" w:hAnsi="Arial" w:cs="Arial"/>
                <w:color w:val="000000"/>
                <w:kern w:val="0"/>
                <w:sz w:val="20"/>
                <w:szCs w:val="20"/>
              </w:rPr>
            </w:pPr>
          </w:p>
        </w:tc>
        <w:tc>
          <w:tcPr>
            <w:tcW w:w="2116" w:type="dxa"/>
            <w:gridSpan w:val="2"/>
            <w:tcBorders>
              <w:top w:val="nil"/>
              <w:left w:val="nil"/>
              <w:bottom w:val="nil"/>
              <w:right w:val="nil"/>
            </w:tcBorders>
            <w:shd w:val="clear" w:color="auto" w:fill="auto"/>
            <w:noWrap/>
            <w:vAlign w:val="bottom"/>
          </w:tcPr>
          <w:p w14:paraId="0F7C4649">
            <w:pPr>
              <w:widowControl/>
              <w:overflowPunct w:val="0"/>
              <w:autoSpaceDE w:val="0"/>
              <w:autoSpaceDN w:val="0"/>
              <w:spacing w:line="240" w:lineRule="auto"/>
              <w:jc w:val="left"/>
              <w:rPr>
                <w:rFonts w:ascii="Arial" w:eastAsia="宋体" w:hAnsi="Arial" w:cs="Arial"/>
                <w:color w:val="000000"/>
                <w:kern w:val="0"/>
                <w:sz w:val="20"/>
                <w:szCs w:val="20"/>
              </w:rPr>
            </w:pPr>
          </w:p>
        </w:tc>
        <w:tc>
          <w:tcPr>
            <w:tcW w:w="1183" w:type="dxa"/>
            <w:tcBorders>
              <w:top w:val="nil"/>
              <w:left w:val="nil"/>
              <w:bottom w:val="nil"/>
              <w:right w:val="nil"/>
            </w:tcBorders>
            <w:shd w:val="clear" w:color="auto" w:fill="auto"/>
            <w:noWrap/>
            <w:vAlign w:val="bottom"/>
          </w:tcPr>
          <w:p w14:paraId="2409BF8D">
            <w:pPr>
              <w:widowControl/>
              <w:overflowPunct w:val="0"/>
              <w:autoSpaceDE w:val="0"/>
              <w:autoSpaceDN w:val="0"/>
              <w:spacing w:line="240" w:lineRule="auto"/>
              <w:jc w:val="left"/>
              <w:rPr>
                <w:rFonts w:ascii="宋体" w:eastAsia="宋体" w:hAnsi="宋体" w:cs="Arial"/>
                <w:color w:val="000000"/>
                <w:kern w:val="0"/>
                <w:sz w:val="22"/>
              </w:rPr>
            </w:pPr>
            <w:r>
              <w:rPr>
                <w:rFonts w:ascii="宋体" w:eastAsia="宋体" w:hAnsi="宋体" w:cs="Arial" w:hint="eastAsia"/>
                <w:color w:val="000000"/>
                <w:kern w:val="0"/>
                <w:sz w:val="22"/>
              </w:rPr>
              <w:t>公开06表</w:t>
            </w:r>
          </w:p>
        </w:tc>
      </w:tr>
      <w:tr w14:paraId="585DC282">
        <w:tblPrEx>
          <w:tblW w:w="13878" w:type="dxa"/>
          <w:tblInd w:w="-318" w:type="dxa"/>
          <w:tblLayout w:type="fixed"/>
          <w:tblCellMar>
            <w:top w:w="0" w:type="dxa"/>
            <w:left w:w="108" w:type="dxa"/>
            <w:bottom w:w="0" w:type="dxa"/>
            <w:right w:w="108" w:type="dxa"/>
          </w:tblCellMar>
        </w:tblPrEx>
        <w:trPr>
          <w:trHeight w:val="416"/>
        </w:trPr>
        <w:tc>
          <w:tcPr>
            <w:tcW w:w="8433" w:type="dxa"/>
            <w:gridSpan w:val="5"/>
            <w:tcBorders>
              <w:top w:val="nil"/>
              <w:left w:val="nil"/>
              <w:bottom w:val="single" w:sz="4" w:space="0" w:color="auto"/>
              <w:right w:val="nil"/>
            </w:tcBorders>
            <w:shd w:val="clear" w:color="auto" w:fill="auto"/>
            <w:noWrap/>
            <w:vAlign w:val="center"/>
          </w:tcPr>
          <w:p w14:paraId="6DB4714F">
            <w:pPr>
              <w:widowControl/>
              <w:overflowPunct w:val="0"/>
              <w:autoSpaceDE w:val="0"/>
              <w:autoSpaceDN w:val="0"/>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1047" w:type="dxa"/>
            <w:tcBorders>
              <w:top w:val="nil"/>
              <w:left w:val="nil"/>
              <w:bottom w:val="single" w:sz="4" w:space="0" w:color="auto"/>
              <w:right w:val="nil"/>
            </w:tcBorders>
            <w:shd w:val="clear" w:color="auto" w:fill="auto"/>
            <w:noWrap/>
            <w:vAlign w:val="bottom"/>
          </w:tcPr>
          <w:p w14:paraId="469363F0">
            <w:pPr>
              <w:widowControl/>
              <w:overflowPunct w:val="0"/>
              <w:autoSpaceDE w:val="0"/>
              <w:autoSpaceDN w:val="0"/>
              <w:spacing w:line="240" w:lineRule="auto"/>
              <w:jc w:val="left"/>
              <w:rPr>
                <w:rFonts w:ascii="Arial" w:eastAsia="宋体" w:hAnsi="Arial" w:cs="Arial"/>
                <w:color w:val="000000"/>
                <w:kern w:val="0"/>
                <w:sz w:val="20"/>
                <w:szCs w:val="20"/>
              </w:rPr>
            </w:pPr>
          </w:p>
        </w:tc>
        <w:tc>
          <w:tcPr>
            <w:tcW w:w="2179" w:type="dxa"/>
            <w:gridSpan w:val="3"/>
            <w:tcBorders>
              <w:top w:val="nil"/>
              <w:left w:val="nil"/>
              <w:bottom w:val="single" w:sz="4" w:space="0" w:color="auto"/>
              <w:right w:val="nil"/>
            </w:tcBorders>
            <w:shd w:val="clear" w:color="auto" w:fill="auto"/>
            <w:noWrap/>
            <w:vAlign w:val="bottom"/>
          </w:tcPr>
          <w:p w14:paraId="3D4DEC3B">
            <w:pPr>
              <w:widowControl/>
              <w:overflowPunct w:val="0"/>
              <w:autoSpaceDE w:val="0"/>
              <w:autoSpaceDN w:val="0"/>
              <w:spacing w:line="240" w:lineRule="auto"/>
              <w:jc w:val="left"/>
              <w:rPr>
                <w:rFonts w:ascii="Arial" w:eastAsia="宋体" w:hAnsi="Arial" w:cs="Arial"/>
                <w:color w:val="000000"/>
                <w:kern w:val="0"/>
                <w:sz w:val="20"/>
                <w:szCs w:val="20"/>
              </w:rPr>
            </w:pPr>
          </w:p>
        </w:tc>
        <w:tc>
          <w:tcPr>
            <w:tcW w:w="2219" w:type="dxa"/>
            <w:gridSpan w:val="2"/>
            <w:tcBorders>
              <w:top w:val="nil"/>
              <w:left w:val="nil"/>
              <w:bottom w:val="single" w:sz="4" w:space="0" w:color="auto"/>
              <w:right w:val="nil"/>
            </w:tcBorders>
            <w:shd w:val="clear" w:color="auto" w:fill="auto"/>
            <w:noWrap/>
            <w:vAlign w:val="bottom"/>
          </w:tcPr>
          <w:p w14:paraId="6C8DD044">
            <w:pPr>
              <w:widowControl/>
              <w:overflowPunct w:val="0"/>
              <w:autoSpaceDE w:val="0"/>
              <w:autoSpaceDN w:val="0"/>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 xml:space="preserve">       单位：万元</w:t>
            </w:r>
          </w:p>
        </w:tc>
      </w:tr>
      <w:tr w14:paraId="65F28FDB">
        <w:tblPrEx>
          <w:tblW w:w="13878" w:type="dxa"/>
          <w:tblInd w:w="-318" w:type="dxa"/>
          <w:tblLayout w:type="fixed"/>
          <w:tblCellMar>
            <w:top w:w="0" w:type="dxa"/>
            <w:left w:w="108" w:type="dxa"/>
            <w:bottom w:w="0" w:type="dxa"/>
            <w:right w:w="108" w:type="dxa"/>
          </w:tblCellMar>
        </w:tblPrEx>
        <w:trPr>
          <w:trHeight w:val="547"/>
        </w:trPr>
        <w:tc>
          <w:tcPr>
            <w:tcW w:w="5153" w:type="dxa"/>
            <w:gridSpan w:val="3"/>
            <w:tcBorders>
              <w:top w:val="single" w:sz="4" w:space="0" w:color="auto"/>
            </w:tcBorders>
            <w:shd w:val="clear" w:color="auto" w:fill="auto"/>
            <w:noWrap/>
            <w:vAlign w:val="center"/>
          </w:tcPr>
          <w:p w14:paraId="34282047">
            <w:pPr>
              <w:widowControl/>
              <w:overflowPunct w:val="0"/>
              <w:autoSpaceDE w:val="0"/>
              <w:autoSpaceDN w:val="0"/>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人员经费</w:t>
            </w:r>
          </w:p>
        </w:tc>
        <w:tc>
          <w:tcPr>
            <w:tcW w:w="8725" w:type="dxa"/>
            <w:gridSpan w:val="8"/>
            <w:tcBorders>
              <w:top w:val="single" w:sz="4" w:space="0" w:color="auto"/>
            </w:tcBorders>
            <w:shd w:val="clear" w:color="auto" w:fill="auto"/>
            <w:noWrap/>
            <w:vAlign w:val="center"/>
          </w:tcPr>
          <w:p w14:paraId="08FD17D1">
            <w:pPr>
              <w:widowControl/>
              <w:overflowPunct w:val="0"/>
              <w:autoSpaceDE w:val="0"/>
              <w:autoSpaceDN w:val="0"/>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公用经费</w:t>
            </w:r>
          </w:p>
        </w:tc>
      </w:tr>
      <w:tr w14:paraId="3898D162">
        <w:tblPrEx>
          <w:tblW w:w="13878" w:type="dxa"/>
          <w:tblInd w:w="-318" w:type="dxa"/>
          <w:tblLayout w:type="fixed"/>
          <w:tblCellMar>
            <w:top w:w="0" w:type="dxa"/>
            <w:left w:w="108" w:type="dxa"/>
            <w:bottom w:w="0" w:type="dxa"/>
            <w:right w:w="108" w:type="dxa"/>
          </w:tblCellMar>
        </w:tblPrEx>
        <w:trPr>
          <w:trHeight w:val="312"/>
        </w:trPr>
        <w:tc>
          <w:tcPr>
            <w:tcW w:w="1115" w:type="dxa"/>
            <w:vMerge w:val="restart"/>
            <w:shd w:val="clear" w:color="auto" w:fill="auto"/>
            <w:vAlign w:val="center"/>
          </w:tcPr>
          <w:p w14:paraId="44E3CED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经济分类科目</w:t>
            </w:r>
            <w:r>
              <w:rPr>
                <w:rFonts w:ascii="宋体" w:eastAsia="宋体" w:hAnsi="宋体" w:cs="宋体" w:hint="eastAsia"/>
                <w:color w:val="000000"/>
                <w:kern w:val="0"/>
                <w:szCs w:val="21"/>
              </w:rPr>
              <w:br/>
            </w:r>
            <w:r>
              <w:rPr>
                <w:rFonts w:ascii="宋体" w:eastAsia="宋体" w:hAnsi="宋体" w:cs="宋体" w:hint="eastAsia"/>
                <w:color w:val="000000"/>
                <w:kern w:val="0"/>
                <w:szCs w:val="21"/>
              </w:rPr>
              <w:t>编码</w:t>
            </w:r>
          </w:p>
        </w:tc>
        <w:tc>
          <w:tcPr>
            <w:tcW w:w="2860" w:type="dxa"/>
            <w:vMerge w:val="restart"/>
            <w:shd w:val="clear" w:color="auto" w:fill="auto"/>
            <w:noWrap/>
            <w:vAlign w:val="center"/>
          </w:tcPr>
          <w:p w14:paraId="1ECAAB2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科目名称</w:t>
            </w:r>
          </w:p>
        </w:tc>
        <w:tc>
          <w:tcPr>
            <w:tcW w:w="1178" w:type="dxa"/>
            <w:vMerge w:val="restart"/>
            <w:shd w:val="clear" w:color="auto" w:fill="auto"/>
            <w:noWrap/>
            <w:vAlign w:val="center"/>
          </w:tcPr>
          <w:p w14:paraId="6A93C94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金额</w:t>
            </w:r>
          </w:p>
        </w:tc>
        <w:tc>
          <w:tcPr>
            <w:tcW w:w="1261" w:type="dxa"/>
            <w:vMerge w:val="restart"/>
            <w:shd w:val="clear" w:color="auto" w:fill="auto"/>
            <w:vAlign w:val="center"/>
          </w:tcPr>
          <w:p w14:paraId="4F281D6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经济分类科目</w:t>
            </w:r>
            <w:r>
              <w:rPr>
                <w:rFonts w:ascii="宋体" w:eastAsia="宋体" w:hAnsi="宋体" w:cs="宋体" w:hint="eastAsia"/>
                <w:color w:val="000000"/>
                <w:kern w:val="0"/>
                <w:szCs w:val="21"/>
              </w:rPr>
              <w:br/>
            </w:r>
            <w:r>
              <w:rPr>
                <w:rFonts w:ascii="宋体" w:eastAsia="宋体" w:hAnsi="宋体" w:cs="宋体" w:hint="eastAsia"/>
                <w:color w:val="000000"/>
                <w:kern w:val="0"/>
                <w:szCs w:val="21"/>
              </w:rPr>
              <w:t>编码</w:t>
            </w:r>
          </w:p>
        </w:tc>
        <w:tc>
          <w:tcPr>
            <w:tcW w:w="2019" w:type="dxa"/>
            <w:vMerge w:val="restart"/>
            <w:shd w:val="clear" w:color="auto" w:fill="auto"/>
            <w:noWrap/>
            <w:vAlign w:val="center"/>
          </w:tcPr>
          <w:p w14:paraId="7822E68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科目名称</w:t>
            </w:r>
          </w:p>
        </w:tc>
        <w:tc>
          <w:tcPr>
            <w:tcW w:w="1047" w:type="dxa"/>
            <w:vMerge w:val="restart"/>
            <w:shd w:val="clear" w:color="auto" w:fill="auto"/>
            <w:noWrap/>
            <w:vAlign w:val="center"/>
          </w:tcPr>
          <w:p w14:paraId="2541890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金额</w:t>
            </w:r>
          </w:p>
        </w:tc>
        <w:tc>
          <w:tcPr>
            <w:tcW w:w="1099" w:type="dxa"/>
            <w:gridSpan w:val="2"/>
            <w:vMerge w:val="restart"/>
            <w:shd w:val="clear" w:color="auto" w:fill="auto"/>
            <w:vAlign w:val="center"/>
          </w:tcPr>
          <w:p w14:paraId="7547CAC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经济分类科目</w:t>
            </w:r>
            <w:r>
              <w:rPr>
                <w:rFonts w:ascii="宋体" w:eastAsia="宋体" w:hAnsi="宋体" w:cs="宋体" w:hint="eastAsia"/>
                <w:color w:val="000000"/>
                <w:kern w:val="0"/>
                <w:szCs w:val="21"/>
              </w:rPr>
              <w:br/>
            </w:r>
            <w:r>
              <w:rPr>
                <w:rFonts w:ascii="宋体" w:eastAsia="宋体" w:hAnsi="宋体" w:cs="宋体" w:hint="eastAsia"/>
                <w:color w:val="000000"/>
                <w:kern w:val="0"/>
                <w:szCs w:val="21"/>
              </w:rPr>
              <w:t>编码</w:t>
            </w:r>
          </w:p>
        </w:tc>
        <w:tc>
          <w:tcPr>
            <w:tcW w:w="2116" w:type="dxa"/>
            <w:gridSpan w:val="2"/>
            <w:vMerge w:val="restart"/>
            <w:shd w:val="clear" w:color="auto" w:fill="auto"/>
            <w:noWrap/>
            <w:vAlign w:val="center"/>
          </w:tcPr>
          <w:p w14:paraId="33F6D08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科目名称</w:t>
            </w:r>
          </w:p>
        </w:tc>
        <w:tc>
          <w:tcPr>
            <w:tcW w:w="1183" w:type="dxa"/>
            <w:vMerge w:val="restart"/>
            <w:shd w:val="clear" w:color="auto" w:fill="auto"/>
            <w:noWrap/>
            <w:vAlign w:val="center"/>
          </w:tcPr>
          <w:p w14:paraId="7BD9EC2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金额</w:t>
            </w:r>
          </w:p>
        </w:tc>
      </w:tr>
      <w:tr w14:paraId="27285C8C">
        <w:tblPrEx>
          <w:tblW w:w="13878" w:type="dxa"/>
          <w:tblInd w:w="-318" w:type="dxa"/>
          <w:tblLayout w:type="fixed"/>
          <w:tblCellMar>
            <w:top w:w="0" w:type="dxa"/>
            <w:left w:w="108" w:type="dxa"/>
            <w:bottom w:w="0" w:type="dxa"/>
            <w:right w:w="108" w:type="dxa"/>
          </w:tblCellMar>
        </w:tblPrEx>
        <w:trPr>
          <w:trHeight w:val="312"/>
        </w:trPr>
        <w:tc>
          <w:tcPr>
            <w:tcW w:w="1115" w:type="dxa"/>
            <w:vMerge/>
            <w:vAlign w:val="center"/>
          </w:tcPr>
          <w:p w14:paraId="4E0D1173">
            <w:pPr>
              <w:widowControl/>
              <w:overflowPunct w:val="0"/>
              <w:autoSpaceDE w:val="0"/>
              <w:autoSpaceDN w:val="0"/>
              <w:spacing w:line="240" w:lineRule="auto"/>
              <w:jc w:val="left"/>
              <w:rPr>
                <w:rFonts w:ascii="宋体" w:eastAsia="宋体" w:hAnsi="宋体" w:cs="宋体"/>
                <w:color w:val="000000"/>
                <w:kern w:val="0"/>
                <w:szCs w:val="21"/>
              </w:rPr>
            </w:pPr>
          </w:p>
        </w:tc>
        <w:tc>
          <w:tcPr>
            <w:tcW w:w="2860" w:type="dxa"/>
            <w:vMerge/>
            <w:vAlign w:val="center"/>
          </w:tcPr>
          <w:p w14:paraId="184AD92F">
            <w:pPr>
              <w:widowControl/>
              <w:overflowPunct w:val="0"/>
              <w:autoSpaceDE w:val="0"/>
              <w:autoSpaceDN w:val="0"/>
              <w:spacing w:line="240" w:lineRule="auto"/>
              <w:jc w:val="left"/>
              <w:rPr>
                <w:rFonts w:ascii="宋体" w:eastAsia="宋体" w:hAnsi="宋体" w:cs="宋体"/>
                <w:color w:val="000000"/>
                <w:kern w:val="0"/>
                <w:szCs w:val="21"/>
              </w:rPr>
            </w:pPr>
          </w:p>
        </w:tc>
        <w:tc>
          <w:tcPr>
            <w:tcW w:w="1178" w:type="dxa"/>
            <w:vMerge/>
            <w:vAlign w:val="center"/>
          </w:tcPr>
          <w:p w14:paraId="7FB30009">
            <w:pPr>
              <w:widowControl/>
              <w:overflowPunct w:val="0"/>
              <w:autoSpaceDE w:val="0"/>
              <w:autoSpaceDN w:val="0"/>
              <w:spacing w:line="240" w:lineRule="auto"/>
              <w:jc w:val="left"/>
              <w:rPr>
                <w:rFonts w:ascii="宋体" w:eastAsia="宋体" w:hAnsi="宋体" w:cs="宋体"/>
                <w:color w:val="000000"/>
                <w:kern w:val="0"/>
                <w:szCs w:val="21"/>
              </w:rPr>
            </w:pPr>
          </w:p>
        </w:tc>
        <w:tc>
          <w:tcPr>
            <w:tcW w:w="1261" w:type="dxa"/>
            <w:vMerge/>
            <w:vAlign w:val="center"/>
          </w:tcPr>
          <w:p w14:paraId="7FB0339F">
            <w:pPr>
              <w:widowControl/>
              <w:overflowPunct w:val="0"/>
              <w:autoSpaceDE w:val="0"/>
              <w:autoSpaceDN w:val="0"/>
              <w:spacing w:line="240" w:lineRule="auto"/>
              <w:jc w:val="left"/>
              <w:rPr>
                <w:rFonts w:ascii="宋体" w:eastAsia="宋体" w:hAnsi="宋体" w:cs="宋体"/>
                <w:color w:val="000000"/>
                <w:kern w:val="0"/>
                <w:szCs w:val="21"/>
              </w:rPr>
            </w:pPr>
          </w:p>
        </w:tc>
        <w:tc>
          <w:tcPr>
            <w:tcW w:w="2019" w:type="dxa"/>
            <w:vMerge/>
            <w:vAlign w:val="center"/>
          </w:tcPr>
          <w:p w14:paraId="26CBCB56">
            <w:pPr>
              <w:widowControl/>
              <w:overflowPunct w:val="0"/>
              <w:autoSpaceDE w:val="0"/>
              <w:autoSpaceDN w:val="0"/>
              <w:spacing w:line="240" w:lineRule="auto"/>
              <w:jc w:val="left"/>
              <w:rPr>
                <w:rFonts w:ascii="宋体" w:eastAsia="宋体" w:hAnsi="宋体" w:cs="宋体"/>
                <w:color w:val="000000"/>
                <w:kern w:val="0"/>
                <w:szCs w:val="21"/>
              </w:rPr>
            </w:pPr>
          </w:p>
        </w:tc>
        <w:tc>
          <w:tcPr>
            <w:tcW w:w="1047" w:type="dxa"/>
            <w:vMerge/>
            <w:vAlign w:val="center"/>
          </w:tcPr>
          <w:p w14:paraId="4923097C">
            <w:pPr>
              <w:widowControl/>
              <w:overflowPunct w:val="0"/>
              <w:autoSpaceDE w:val="0"/>
              <w:autoSpaceDN w:val="0"/>
              <w:spacing w:line="240" w:lineRule="auto"/>
              <w:jc w:val="left"/>
              <w:rPr>
                <w:rFonts w:ascii="宋体" w:eastAsia="宋体" w:hAnsi="宋体" w:cs="宋体"/>
                <w:color w:val="000000"/>
                <w:kern w:val="0"/>
                <w:szCs w:val="21"/>
              </w:rPr>
            </w:pPr>
          </w:p>
        </w:tc>
        <w:tc>
          <w:tcPr>
            <w:tcW w:w="1099" w:type="dxa"/>
            <w:gridSpan w:val="2"/>
            <w:vMerge/>
            <w:vAlign w:val="center"/>
          </w:tcPr>
          <w:p w14:paraId="2F7180F1">
            <w:pPr>
              <w:widowControl/>
              <w:overflowPunct w:val="0"/>
              <w:autoSpaceDE w:val="0"/>
              <w:autoSpaceDN w:val="0"/>
              <w:spacing w:line="240" w:lineRule="auto"/>
              <w:jc w:val="left"/>
              <w:rPr>
                <w:rFonts w:ascii="宋体" w:eastAsia="宋体" w:hAnsi="宋体" w:cs="宋体"/>
                <w:color w:val="000000"/>
                <w:kern w:val="0"/>
                <w:szCs w:val="21"/>
              </w:rPr>
            </w:pPr>
          </w:p>
        </w:tc>
        <w:tc>
          <w:tcPr>
            <w:tcW w:w="2116" w:type="dxa"/>
            <w:gridSpan w:val="2"/>
            <w:vMerge/>
            <w:vAlign w:val="center"/>
          </w:tcPr>
          <w:p w14:paraId="5867D788">
            <w:pPr>
              <w:widowControl/>
              <w:overflowPunct w:val="0"/>
              <w:autoSpaceDE w:val="0"/>
              <w:autoSpaceDN w:val="0"/>
              <w:spacing w:line="240" w:lineRule="auto"/>
              <w:jc w:val="left"/>
              <w:rPr>
                <w:rFonts w:ascii="宋体" w:eastAsia="宋体" w:hAnsi="宋体" w:cs="宋体"/>
                <w:color w:val="000000"/>
                <w:kern w:val="0"/>
                <w:szCs w:val="21"/>
              </w:rPr>
            </w:pPr>
          </w:p>
        </w:tc>
        <w:tc>
          <w:tcPr>
            <w:tcW w:w="1183" w:type="dxa"/>
            <w:vMerge/>
            <w:vAlign w:val="center"/>
          </w:tcPr>
          <w:p w14:paraId="63F62F77">
            <w:pPr>
              <w:widowControl/>
              <w:overflowPunct w:val="0"/>
              <w:autoSpaceDE w:val="0"/>
              <w:autoSpaceDN w:val="0"/>
              <w:spacing w:line="240" w:lineRule="auto"/>
              <w:jc w:val="left"/>
              <w:rPr>
                <w:rFonts w:ascii="宋体" w:eastAsia="宋体" w:hAnsi="宋体" w:cs="宋体"/>
                <w:color w:val="000000"/>
                <w:kern w:val="0"/>
                <w:szCs w:val="21"/>
              </w:rPr>
            </w:pPr>
          </w:p>
        </w:tc>
      </w:tr>
      <w:tr w14:paraId="07FD5E9A">
        <w:tblPrEx>
          <w:tblW w:w="13878" w:type="dxa"/>
          <w:tblInd w:w="-318" w:type="dxa"/>
          <w:tblLayout w:type="fixed"/>
          <w:tblCellMar>
            <w:top w:w="0" w:type="dxa"/>
            <w:left w:w="108" w:type="dxa"/>
            <w:bottom w:w="0" w:type="dxa"/>
            <w:right w:w="108" w:type="dxa"/>
          </w:tblCellMar>
        </w:tblPrEx>
        <w:trPr>
          <w:trHeight w:val="629"/>
        </w:trPr>
        <w:tc>
          <w:tcPr>
            <w:tcW w:w="1115" w:type="dxa"/>
            <w:vMerge/>
            <w:vAlign w:val="center"/>
          </w:tcPr>
          <w:p w14:paraId="00B0D60E">
            <w:pPr>
              <w:widowControl/>
              <w:overflowPunct w:val="0"/>
              <w:autoSpaceDE w:val="0"/>
              <w:autoSpaceDN w:val="0"/>
              <w:spacing w:line="240" w:lineRule="auto"/>
              <w:jc w:val="left"/>
              <w:rPr>
                <w:rFonts w:ascii="宋体" w:eastAsia="宋体" w:hAnsi="宋体" w:cs="宋体"/>
                <w:color w:val="000000"/>
                <w:kern w:val="0"/>
                <w:szCs w:val="21"/>
              </w:rPr>
            </w:pPr>
          </w:p>
        </w:tc>
        <w:tc>
          <w:tcPr>
            <w:tcW w:w="2860" w:type="dxa"/>
            <w:vMerge/>
            <w:vAlign w:val="center"/>
          </w:tcPr>
          <w:p w14:paraId="2F2245A4">
            <w:pPr>
              <w:widowControl/>
              <w:overflowPunct w:val="0"/>
              <w:autoSpaceDE w:val="0"/>
              <w:autoSpaceDN w:val="0"/>
              <w:spacing w:line="240" w:lineRule="auto"/>
              <w:jc w:val="left"/>
              <w:rPr>
                <w:rFonts w:ascii="宋体" w:eastAsia="宋体" w:hAnsi="宋体" w:cs="宋体"/>
                <w:color w:val="000000"/>
                <w:kern w:val="0"/>
                <w:szCs w:val="21"/>
              </w:rPr>
            </w:pPr>
          </w:p>
        </w:tc>
        <w:tc>
          <w:tcPr>
            <w:tcW w:w="1178" w:type="dxa"/>
            <w:vMerge/>
            <w:vAlign w:val="center"/>
          </w:tcPr>
          <w:p w14:paraId="749F0785">
            <w:pPr>
              <w:widowControl/>
              <w:overflowPunct w:val="0"/>
              <w:autoSpaceDE w:val="0"/>
              <w:autoSpaceDN w:val="0"/>
              <w:spacing w:line="240" w:lineRule="auto"/>
              <w:jc w:val="left"/>
              <w:rPr>
                <w:rFonts w:ascii="宋体" w:eastAsia="宋体" w:hAnsi="宋体" w:cs="宋体"/>
                <w:color w:val="000000"/>
                <w:kern w:val="0"/>
                <w:szCs w:val="21"/>
              </w:rPr>
            </w:pPr>
          </w:p>
        </w:tc>
        <w:tc>
          <w:tcPr>
            <w:tcW w:w="1261" w:type="dxa"/>
            <w:vMerge/>
            <w:vAlign w:val="center"/>
          </w:tcPr>
          <w:p w14:paraId="255FF76B">
            <w:pPr>
              <w:widowControl/>
              <w:overflowPunct w:val="0"/>
              <w:autoSpaceDE w:val="0"/>
              <w:autoSpaceDN w:val="0"/>
              <w:spacing w:line="240" w:lineRule="auto"/>
              <w:jc w:val="left"/>
              <w:rPr>
                <w:rFonts w:ascii="宋体" w:eastAsia="宋体" w:hAnsi="宋体" w:cs="宋体"/>
                <w:color w:val="000000"/>
                <w:kern w:val="0"/>
                <w:szCs w:val="21"/>
              </w:rPr>
            </w:pPr>
          </w:p>
        </w:tc>
        <w:tc>
          <w:tcPr>
            <w:tcW w:w="2019" w:type="dxa"/>
            <w:vMerge/>
            <w:vAlign w:val="center"/>
          </w:tcPr>
          <w:p w14:paraId="0B22AF83">
            <w:pPr>
              <w:widowControl/>
              <w:overflowPunct w:val="0"/>
              <w:autoSpaceDE w:val="0"/>
              <w:autoSpaceDN w:val="0"/>
              <w:spacing w:line="240" w:lineRule="auto"/>
              <w:jc w:val="left"/>
              <w:rPr>
                <w:rFonts w:ascii="宋体" w:eastAsia="宋体" w:hAnsi="宋体" w:cs="宋体"/>
                <w:color w:val="000000"/>
                <w:kern w:val="0"/>
                <w:szCs w:val="21"/>
              </w:rPr>
            </w:pPr>
          </w:p>
        </w:tc>
        <w:tc>
          <w:tcPr>
            <w:tcW w:w="1047" w:type="dxa"/>
            <w:vMerge/>
            <w:vAlign w:val="center"/>
          </w:tcPr>
          <w:p w14:paraId="15BE7FC0">
            <w:pPr>
              <w:widowControl/>
              <w:overflowPunct w:val="0"/>
              <w:autoSpaceDE w:val="0"/>
              <w:autoSpaceDN w:val="0"/>
              <w:spacing w:line="240" w:lineRule="auto"/>
              <w:jc w:val="left"/>
              <w:rPr>
                <w:rFonts w:ascii="宋体" w:eastAsia="宋体" w:hAnsi="宋体" w:cs="宋体"/>
                <w:color w:val="000000"/>
                <w:kern w:val="0"/>
                <w:szCs w:val="21"/>
              </w:rPr>
            </w:pPr>
          </w:p>
        </w:tc>
        <w:tc>
          <w:tcPr>
            <w:tcW w:w="1099" w:type="dxa"/>
            <w:gridSpan w:val="2"/>
            <w:vMerge/>
            <w:vAlign w:val="center"/>
          </w:tcPr>
          <w:p w14:paraId="63FE6AAC">
            <w:pPr>
              <w:widowControl/>
              <w:overflowPunct w:val="0"/>
              <w:autoSpaceDE w:val="0"/>
              <w:autoSpaceDN w:val="0"/>
              <w:spacing w:line="240" w:lineRule="auto"/>
              <w:jc w:val="left"/>
              <w:rPr>
                <w:rFonts w:ascii="宋体" w:eastAsia="宋体" w:hAnsi="宋体" w:cs="宋体"/>
                <w:color w:val="000000"/>
                <w:kern w:val="0"/>
                <w:szCs w:val="21"/>
              </w:rPr>
            </w:pPr>
          </w:p>
        </w:tc>
        <w:tc>
          <w:tcPr>
            <w:tcW w:w="2116" w:type="dxa"/>
            <w:gridSpan w:val="2"/>
            <w:vMerge/>
            <w:vAlign w:val="center"/>
          </w:tcPr>
          <w:p w14:paraId="3AD731C6">
            <w:pPr>
              <w:widowControl/>
              <w:overflowPunct w:val="0"/>
              <w:autoSpaceDE w:val="0"/>
              <w:autoSpaceDN w:val="0"/>
              <w:spacing w:line="240" w:lineRule="auto"/>
              <w:jc w:val="left"/>
              <w:rPr>
                <w:rFonts w:ascii="宋体" w:eastAsia="宋体" w:hAnsi="宋体" w:cs="宋体"/>
                <w:color w:val="000000"/>
                <w:kern w:val="0"/>
                <w:szCs w:val="21"/>
              </w:rPr>
            </w:pPr>
          </w:p>
        </w:tc>
        <w:tc>
          <w:tcPr>
            <w:tcW w:w="1183" w:type="dxa"/>
            <w:vMerge/>
            <w:vAlign w:val="center"/>
          </w:tcPr>
          <w:p w14:paraId="599F0FA8">
            <w:pPr>
              <w:widowControl/>
              <w:overflowPunct w:val="0"/>
              <w:autoSpaceDE w:val="0"/>
              <w:autoSpaceDN w:val="0"/>
              <w:spacing w:line="240" w:lineRule="auto"/>
              <w:jc w:val="left"/>
              <w:rPr>
                <w:rFonts w:ascii="宋体" w:eastAsia="宋体" w:hAnsi="宋体" w:cs="宋体"/>
                <w:color w:val="000000"/>
                <w:kern w:val="0"/>
                <w:szCs w:val="21"/>
              </w:rPr>
            </w:pPr>
          </w:p>
        </w:tc>
      </w:tr>
      <w:tr w14:paraId="7DDA70C9">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000597E1">
            <w:pPr>
              <w:overflowPunct w:val="0"/>
              <w:autoSpaceDE w:val="0"/>
              <w:autoSpaceDN w:val="0"/>
              <w:rPr>
                <w:rFonts w:ascii="宋体" w:eastAsia="宋体" w:hAnsi="宋体" w:cs="宋体"/>
                <w:szCs w:val="21"/>
              </w:rPr>
            </w:pPr>
            <w:r>
              <w:rPr>
                <w:rFonts w:ascii="宋体" w:eastAsia="宋体" w:hAnsi="宋体" w:cs="宋体" w:hint="eastAsia"/>
                <w:szCs w:val="21"/>
              </w:rPr>
              <w:t>301</w:t>
            </w:r>
          </w:p>
        </w:tc>
        <w:tc>
          <w:tcPr>
            <w:tcW w:w="2860" w:type="dxa"/>
            <w:shd w:val="clear" w:color="auto" w:fill="auto"/>
            <w:noWrap/>
          </w:tcPr>
          <w:p w14:paraId="2D27F720">
            <w:pPr>
              <w:overflowPunct w:val="0"/>
              <w:autoSpaceDE w:val="0"/>
              <w:autoSpaceDN w:val="0"/>
              <w:jc w:val="left"/>
              <w:rPr>
                <w:rFonts w:ascii="宋体" w:eastAsia="宋体" w:hAnsi="宋体" w:cs="宋体"/>
                <w:szCs w:val="21"/>
              </w:rPr>
            </w:pPr>
            <w:r>
              <w:rPr>
                <w:rFonts w:ascii="宋体" w:eastAsia="宋体" w:hAnsi="宋体" w:cs="宋体" w:hint="eastAsia"/>
                <w:szCs w:val="21"/>
              </w:rPr>
              <w:t>工资福利支出</w:t>
            </w:r>
          </w:p>
        </w:tc>
        <w:tc>
          <w:tcPr>
            <w:tcW w:w="1178" w:type="dxa"/>
            <w:shd w:val="clear" w:color="auto" w:fill="auto"/>
            <w:noWrap/>
          </w:tcPr>
          <w:p w14:paraId="17EE68C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5116.57</w:t>
            </w:r>
          </w:p>
        </w:tc>
        <w:tc>
          <w:tcPr>
            <w:tcW w:w="1261" w:type="dxa"/>
            <w:shd w:val="clear" w:color="auto" w:fill="auto"/>
            <w:noWrap/>
          </w:tcPr>
          <w:p w14:paraId="6B30A4D4">
            <w:pPr>
              <w:overflowPunct w:val="0"/>
              <w:autoSpaceDE w:val="0"/>
              <w:autoSpaceDN w:val="0"/>
              <w:rPr>
                <w:rFonts w:ascii="宋体" w:eastAsia="宋体" w:hAnsi="宋体" w:cs="宋体"/>
                <w:szCs w:val="21"/>
              </w:rPr>
            </w:pPr>
            <w:r>
              <w:rPr>
                <w:rFonts w:ascii="宋体" w:eastAsia="宋体" w:hAnsi="宋体" w:cs="宋体" w:hint="eastAsia"/>
                <w:szCs w:val="21"/>
              </w:rPr>
              <w:t>302</w:t>
            </w:r>
          </w:p>
        </w:tc>
        <w:tc>
          <w:tcPr>
            <w:tcW w:w="2019" w:type="dxa"/>
            <w:shd w:val="clear" w:color="auto" w:fill="auto"/>
            <w:noWrap/>
          </w:tcPr>
          <w:p w14:paraId="1A99A0D7">
            <w:pPr>
              <w:overflowPunct w:val="0"/>
              <w:autoSpaceDE w:val="0"/>
              <w:autoSpaceDN w:val="0"/>
              <w:jc w:val="left"/>
              <w:rPr>
                <w:rFonts w:ascii="宋体" w:eastAsia="宋体" w:hAnsi="宋体" w:cs="宋体"/>
                <w:szCs w:val="21"/>
              </w:rPr>
            </w:pPr>
            <w:r>
              <w:rPr>
                <w:rFonts w:ascii="宋体" w:eastAsia="宋体" w:hAnsi="宋体" w:cs="宋体" w:hint="eastAsia"/>
                <w:szCs w:val="21"/>
              </w:rPr>
              <w:t>商品和服务支出</w:t>
            </w:r>
          </w:p>
        </w:tc>
        <w:tc>
          <w:tcPr>
            <w:tcW w:w="1047" w:type="dxa"/>
            <w:shd w:val="clear" w:color="auto" w:fill="auto"/>
            <w:noWrap/>
          </w:tcPr>
          <w:p w14:paraId="497F1A9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1271.86</w:t>
            </w:r>
          </w:p>
        </w:tc>
        <w:tc>
          <w:tcPr>
            <w:tcW w:w="1099" w:type="dxa"/>
            <w:gridSpan w:val="2"/>
            <w:shd w:val="clear" w:color="auto" w:fill="auto"/>
            <w:noWrap/>
          </w:tcPr>
          <w:p w14:paraId="792FC4C6">
            <w:pPr>
              <w:overflowPunct w:val="0"/>
              <w:autoSpaceDE w:val="0"/>
              <w:autoSpaceDN w:val="0"/>
              <w:rPr>
                <w:rFonts w:ascii="宋体" w:eastAsia="宋体" w:hAnsi="宋体" w:cs="宋体"/>
                <w:szCs w:val="21"/>
              </w:rPr>
            </w:pPr>
            <w:r>
              <w:rPr>
                <w:rFonts w:ascii="宋体" w:eastAsia="宋体" w:hAnsi="宋体" w:cs="宋体" w:hint="eastAsia"/>
                <w:szCs w:val="21"/>
              </w:rPr>
              <w:t>30703</w:t>
            </w:r>
          </w:p>
        </w:tc>
        <w:tc>
          <w:tcPr>
            <w:tcW w:w="2116" w:type="dxa"/>
            <w:gridSpan w:val="2"/>
            <w:shd w:val="clear" w:color="auto" w:fill="auto"/>
            <w:noWrap/>
          </w:tcPr>
          <w:p w14:paraId="0152B649">
            <w:pPr>
              <w:overflowPunct w:val="0"/>
              <w:autoSpaceDE w:val="0"/>
              <w:autoSpaceDN w:val="0"/>
              <w:jc w:val="left"/>
              <w:rPr>
                <w:rFonts w:ascii="宋体" w:eastAsia="宋体" w:hAnsi="宋体" w:cs="宋体"/>
                <w:szCs w:val="21"/>
              </w:rPr>
            </w:pPr>
            <w:r>
              <w:rPr>
                <w:rFonts w:ascii="宋体" w:eastAsia="宋体" w:hAnsi="宋体" w:cs="宋体" w:hint="eastAsia"/>
                <w:szCs w:val="21"/>
              </w:rPr>
              <w:t>国内债务发行费用</w:t>
            </w:r>
          </w:p>
        </w:tc>
        <w:tc>
          <w:tcPr>
            <w:tcW w:w="1183" w:type="dxa"/>
            <w:shd w:val="clear" w:color="auto" w:fill="auto"/>
            <w:noWrap/>
          </w:tcPr>
          <w:p w14:paraId="0723357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D84424F">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6F3309F3">
            <w:pPr>
              <w:overflowPunct w:val="0"/>
              <w:autoSpaceDE w:val="0"/>
              <w:autoSpaceDN w:val="0"/>
              <w:rPr>
                <w:rFonts w:ascii="宋体" w:eastAsia="宋体" w:hAnsi="宋体" w:cs="宋体"/>
                <w:szCs w:val="21"/>
              </w:rPr>
            </w:pPr>
            <w:r>
              <w:rPr>
                <w:rFonts w:ascii="宋体" w:eastAsia="宋体" w:hAnsi="宋体" w:cs="宋体" w:hint="eastAsia"/>
                <w:szCs w:val="21"/>
              </w:rPr>
              <w:t>30101</w:t>
            </w:r>
          </w:p>
        </w:tc>
        <w:tc>
          <w:tcPr>
            <w:tcW w:w="2860" w:type="dxa"/>
            <w:shd w:val="clear" w:color="auto" w:fill="auto"/>
            <w:noWrap/>
          </w:tcPr>
          <w:p w14:paraId="689E6C17">
            <w:pPr>
              <w:overflowPunct w:val="0"/>
              <w:autoSpaceDE w:val="0"/>
              <w:autoSpaceDN w:val="0"/>
              <w:jc w:val="left"/>
              <w:rPr>
                <w:rFonts w:ascii="宋体" w:eastAsia="宋体" w:hAnsi="宋体" w:cs="宋体"/>
                <w:szCs w:val="21"/>
              </w:rPr>
            </w:pPr>
            <w:r>
              <w:rPr>
                <w:rFonts w:ascii="宋体" w:eastAsia="宋体" w:hAnsi="宋体" w:cs="宋体" w:hint="eastAsia"/>
                <w:szCs w:val="21"/>
              </w:rPr>
              <w:t>基本工资</w:t>
            </w:r>
          </w:p>
        </w:tc>
        <w:tc>
          <w:tcPr>
            <w:tcW w:w="1178" w:type="dxa"/>
            <w:shd w:val="clear" w:color="auto" w:fill="auto"/>
            <w:noWrap/>
            <w:vAlign w:val="center"/>
          </w:tcPr>
          <w:p w14:paraId="673B979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1152.54</w:t>
            </w:r>
          </w:p>
        </w:tc>
        <w:tc>
          <w:tcPr>
            <w:tcW w:w="1261" w:type="dxa"/>
            <w:shd w:val="clear" w:color="auto" w:fill="auto"/>
            <w:noWrap/>
          </w:tcPr>
          <w:p w14:paraId="4768D9F5">
            <w:pPr>
              <w:overflowPunct w:val="0"/>
              <w:autoSpaceDE w:val="0"/>
              <w:autoSpaceDN w:val="0"/>
              <w:rPr>
                <w:rFonts w:ascii="宋体" w:eastAsia="宋体" w:hAnsi="宋体" w:cs="宋体"/>
                <w:szCs w:val="21"/>
              </w:rPr>
            </w:pPr>
            <w:r>
              <w:rPr>
                <w:rFonts w:ascii="宋体" w:eastAsia="宋体" w:hAnsi="宋体" w:cs="宋体" w:hint="eastAsia"/>
                <w:szCs w:val="21"/>
              </w:rPr>
              <w:t>30201</w:t>
            </w:r>
          </w:p>
        </w:tc>
        <w:tc>
          <w:tcPr>
            <w:tcW w:w="2019" w:type="dxa"/>
            <w:shd w:val="clear" w:color="auto" w:fill="auto"/>
            <w:noWrap/>
          </w:tcPr>
          <w:p w14:paraId="1634BF44">
            <w:pPr>
              <w:overflowPunct w:val="0"/>
              <w:autoSpaceDE w:val="0"/>
              <w:autoSpaceDN w:val="0"/>
              <w:jc w:val="left"/>
              <w:rPr>
                <w:rFonts w:ascii="宋体" w:eastAsia="宋体" w:hAnsi="宋体" w:cs="宋体"/>
                <w:szCs w:val="21"/>
              </w:rPr>
            </w:pPr>
            <w:r>
              <w:rPr>
                <w:rFonts w:ascii="宋体" w:eastAsia="宋体" w:hAnsi="宋体" w:cs="宋体" w:hint="eastAsia"/>
                <w:szCs w:val="21"/>
              </w:rPr>
              <w:t>办公费</w:t>
            </w:r>
          </w:p>
        </w:tc>
        <w:tc>
          <w:tcPr>
            <w:tcW w:w="1047" w:type="dxa"/>
            <w:shd w:val="clear" w:color="auto" w:fill="auto"/>
            <w:noWrap/>
          </w:tcPr>
          <w:p w14:paraId="3D7AC0E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44.79</w:t>
            </w:r>
          </w:p>
        </w:tc>
        <w:tc>
          <w:tcPr>
            <w:tcW w:w="1099" w:type="dxa"/>
            <w:gridSpan w:val="2"/>
            <w:shd w:val="clear" w:color="auto" w:fill="auto"/>
            <w:noWrap/>
          </w:tcPr>
          <w:p w14:paraId="0763968B">
            <w:pPr>
              <w:overflowPunct w:val="0"/>
              <w:autoSpaceDE w:val="0"/>
              <w:autoSpaceDN w:val="0"/>
              <w:rPr>
                <w:rFonts w:ascii="宋体" w:eastAsia="宋体" w:hAnsi="宋体" w:cs="宋体"/>
                <w:szCs w:val="21"/>
              </w:rPr>
            </w:pPr>
            <w:r>
              <w:rPr>
                <w:rFonts w:ascii="宋体" w:eastAsia="宋体" w:hAnsi="宋体" w:cs="宋体" w:hint="eastAsia"/>
                <w:szCs w:val="21"/>
              </w:rPr>
              <w:t>30704</w:t>
            </w:r>
          </w:p>
        </w:tc>
        <w:tc>
          <w:tcPr>
            <w:tcW w:w="2116" w:type="dxa"/>
            <w:gridSpan w:val="2"/>
            <w:shd w:val="clear" w:color="auto" w:fill="auto"/>
            <w:noWrap/>
          </w:tcPr>
          <w:p w14:paraId="6E5EAEA7">
            <w:pPr>
              <w:overflowPunct w:val="0"/>
              <w:autoSpaceDE w:val="0"/>
              <w:autoSpaceDN w:val="0"/>
              <w:jc w:val="left"/>
              <w:rPr>
                <w:rFonts w:ascii="宋体" w:eastAsia="宋体" w:hAnsi="宋体" w:cs="宋体"/>
                <w:szCs w:val="21"/>
              </w:rPr>
            </w:pPr>
            <w:r>
              <w:rPr>
                <w:rFonts w:ascii="宋体" w:eastAsia="宋体" w:hAnsi="宋体" w:cs="宋体" w:hint="eastAsia"/>
                <w:szCs w:val="21"/>
              </w:rPr>
              <w:t>国外债务发行费用</w:t>
            </w:r>
          </w:p>
        </w:tc>
        <w:tc>
          <w:tcPr>
            <w:tcW w:w="1183" w:type="dxa"/>
            <w:shd w:val="clear" w:color="auto" w:fill="auto"/>
            <w:noWrap/>
          </w:tcPr>
          <w:p w14:paraId="529E89B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8745F4C">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09F17FB0">
            <w:pPr>
              <w:overflowPunct w:val="0"/>
              <w:autoSpaceDE w:val="0"/>
              <w:autoSpaceDN w:val="0"/>
              <w:rPr>
                <w:rFonts w:ascii="宋体" w:eastAsia="宋体" w:hAnsi="宋体" w:cs="宋体"/>
                <w:szCs w:val="21"/>
              </w:rPr>
            </w:pPr>
            <w:r>
              <w:rPr>
                <w:rFonts w:ascii="宋体" w:eastAsia="宋体" w:hAnsi="宋体" w:cs="宋体" w:hint="eastAsia"/>
                <w:szCs w:val="21"/>
              </w:rPr>
              <w:t>30102</w:t>
            </w:r>
          </w:p>
        </w:tc>
        <w:tc>
          <w:tcPr>
            <w:tcW w:w="2860" w:type="dxa"/>
            <w:shd w:val="clear" w:color="auto" w:fill="auto"/>
            <w:noWrap/>
          </w:tcPr>
          <w:p w14:paraId="7BA98AAD">
            <w:pPr>
              <w:overflowPunct w:val="0"/>
              <w:autoSpaceDE w:val="0"/>
              <w:autoSpaceDN w:val="0"/>
              <w:jc w:val="left"/>
              <w:rPr>
                <w:rFonts w:ascii="宋体" w:eastAsia="宋体" w:hAnsi="宋体" w:cs="宋体"/>
                <w:szCs w:val="21"/>
              </w:rPr>
            </w:pPr>
            <w:r>
              <w:rPr>
                <w:rFonts w:ascii="宋体" w:eastAsia="宋体" w:hAnsi="宋体" w:cs="宋体" w:hint="eastAsia"/>
                <w:szCs w:val="21"/>
              </w:rPr>
              <w:t>津贴补贴</w:t>
            </w:r>
          </w:p>
        </w:tc>
        <w:tc>
          <w:tcPr>
            <w:tcW w:w="1178" w:type="dxa"/>
            <w:shd w:val="clear" w:color="auto" w:fill="auto"/>
            <w:noWrap/>
            <w:vAlign w:val="center"/>
          </w:tcPr>
          <w:p w14:paraId="06F9B4D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848.83</w:t>
            </w:r>
          </w:p>
        </w:tc>
        <w:tc>
          <w:tcPr>
            <w:tcW w:w="1261" w:type="dxa"/>
            <w:shd w:val="clear" w:color="auto" w:fill="auto"/>
            <w:noWrap/>
          </w:tcPr>
          <w:p w14:paraId="7FEE62EA">
            <w:pPr>
              <w:overflowPunct w:val="0"/>
              <w:autoSpaceDE w:val="0"/>
              <w:autoSpaceDN w:val="0"/>
              <w:rPr>
                <w:rFonts w:ascii="宋体" w:eastAsia="宋体" w:hAnsi="宋体" w:cs="宋体"/>
                <w:szCs w:val="21"/>
              </w:rPr>
            </w:pPr>
            <w:r>
              <w:rPr>
                <w:rFonts w:ascii="宋体" w:eastAsia="宋体" w:hAnsi="宋体" w:cs="宋体" w:hint="eastAsia"/>
                <w:szCs w:val="21"/>
              </w:rPr>
              <w:t>30202</w:t>
            </w:r>
          </w:p>
        </w:tc>
        <w:tc>
          <w:tcPr>
            <w:tcW w:w="2019" w:type="dxa"/>
            <w:shd w:val="clear" w:color="auto" w:fill="auto"/>
            <w:noWrap/>
          </w:tcPr>
          <w:p w14:paraId="4F0E92C7">
            <w:pPr>
              <w:overflowPunct w:val="0"/>
              <w:autoSpaceDE w:val="0"/>
              <w:autoSpaceDN w:val="0"/>
              <w:jc w:val="left"/>
              <w:rPr>
                <w:rFonts w:ascii="宋体" w:eastAsia="宋体" w:hAnsi="宋体" w:cs="宋体"/>
                <w:szCs w:val="21"/>
              </w:rPr>
            </w:pPr>
            <w:r>
              <w:rPr>
                <w:rFonts w:ascii="宋体" w:eastAsia="宋体" w:hAnsi="宋体" w:cs="宋体" w:hint="eastAsia"/>
                <w:szCs w:val="21"/>
              </w:rPr>
              <w:t>印刷费</w:t>
            </w:r>
          </w:p>
        </w:tc>
        <w:tc>
          <w:tcPr>
            <w:tcW w:w="1047" w:type="dxa"/>
            <w:shd w:val="clear" w:color="auto" w:fill="auto"/>
            <w:noWrap/>
          </w:tcPr>
          <w:p w14:paraId="2D74B89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42.66</w:t>
            </w:r>
          </w:p>
        </w:tc>
        <w:tc>
          <w:tcPr>
            <w:tcW w:w="1099" w:type="dxa"/>
            <w:gridSpan w:val="2"/>
            <w:shd w:val="clear" w:color="auto" w:fill="auto"/>
            <w:noWrap/>
          </w:tcPr>
          <w:p w14:paraId="7DFAF0DF">
            <w:pPr>
              <w:overflowPunct w:val="0"/>
              <w:autoSpaceDE w:val="0"/>
              <w:autoSpaceDN w:val="0"/>
              <w:rPr>
                <w:rFonts w:ascii="宋体" w:eastAsia="宋体" w:hAnsi="宋体" w:cs="宋体"/>
                <w:szCs w:val="21"/>
              </w:rPr>
            </w:pPr>
            <w:r>
              <w:rPr>
                <w:rFonts w:ascii="宋体" w:eastAsia="宋体" w:hAnsi="宋体" w:cs="宋体" w:hint="eastAsia"/>
                <w:szCs w:val="21"/>
              </w:rPr>
              <w:t>310</w:t>
            </w:r>
          </w:p>
        </w:tc>
        <w:tc>
          <w:tcPr>
            <w:tcW w:w="2116" w:type="dxa"/>
            <w:gridSpan w:val="2"/>
            <w:shd w:val="clear" w:color="auto" w:fill="auto"/>
            <w:noWrap/>
          </w:tcPr>
          <w:p w14:paraId="6C98AEC6">
            <w:pPr>
              <w:overflowPunct w:val="0"/>
              <w:autoSpaceDE w:val="0"/>
              <w:autoSpaceDN w:val="0"/>
              <w:jc w:val="left"/>
              <w:rPr>
                <w:rFonts w:ascii="宋体" w:eastAsia="宋体" w:hAnsi="宋体" w:cs="宋体"/>
                <w:szCs w:val="21"/>
              </w:rPr>
            </w:pPr>
            <w:r>
              <w:rPr>
                <w:rFonts w:ascii="宋体" w:eastAsia="宋体" w:hAnsi="宋体" w:cs="宋体" w:hint="eastAsia"/>
                <w:szCs w:val="21"/>
              </w:rPr>
              <w:t>资本性支出</w:t>
            </w:r>
          </w:p>
        </w:tc>
        <w:tc>
          <w:tcPr>
            <w:tcW w:w="1183" w:type="dxa"/>
            <w:shd w:val="clear" w:color="auto" w:fill="auto"/>
            <w:noWrap/>
          </w:tcPr>
          <w:p w14:paraId="382261F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52.60</w:t>
            </w:r>
          </w:p>
        </w:tc>
      </w:tr>
      <w:tr w14:paraId="7224064E">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1508D630">
            <w:pPr>
              <w:overflowPunct w:val="0"/>
              <w:autoSpaceDE w:val="0"/>
              <w:autoSpaceDN w:val="0"/>
              <w:rPr>
                <w:rFonts w:ascii="宋体" w:eastAsia="宋体" w:hAnsi="宋体" w:cs="宋体"/>
                <w:szCs w:val="21"/>
              </w:rPr>
            </w:pPr>
            <w:r>
              <w:rPr>
                <w:rFonts w:ascii="宋体" w:eastAsia="宋体" w:hAnsi="宋体" w:cs="宋体" w:hint="eastAsia"/>
                <w:szCs w:val="21"/>
              </w:rPr>
              <w:t>30103</w:t>
            </w:r>
          </w:p>
        </w:tc>
        <w:tc>
          <w:tcPr>
            <w:tcW w:w="2860" w:type="dxa"/>
            <w:shd w:val="clear" w:color="auto" w:fill="auto"/>
            <w:noWrap/>
          </w:tcPr>
          <w:p w14:paraId="529A68C1">
            <w:pPr>
              <w:overflowPunct w:val="0"/>
              <w:autoSpaceDE w:val="0"/>
              <w:autoSpaceDN w:val="0"/>
              <w:jc w:val="left"/>
              <w:rPr>
                <w:rFonts w:ascii="宋体" w:eastAsia="宋体" w:hAnsi="宋体" w:cs="宋体"/>
                <w:szCs w:val="21"/>
              </w:rPr>
            </w:pPr>
            <w:r>
              <w:rPr>
                <w:rFonts w:ascii="宋体" w:eastAsia="宋体" w:hAnsi="宋体" w:cs="宋体" w:hint="eastAsia"/>
                <w:szCs w:val="21"/>
              </w:rPr>
              <w:t>奖金</w:t>
            </w:r>
          </w:p>
        </w:tc>
        <w:tc>
          <w:tcPr>
            <w:tcW w:w="1178" w:type="dxa"/>
            <w:shd w:val="clear" w:color="auto" w:fill="auto"/>
            <w:noWrap/>
            <w:vAlign w:val="center"/>
          </w:tcPr>
          <w:p w14:paraId="44DC739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1009.17</w:t>
            </w:r>
          </w:p>
        </w:tc>
        <w:tc>
          <w:tcPr>
            <w:tcW w:w="1261" w:type="dxa"/>
            <w:shd w:val="clear" w:color="auto" w:fill="auto"/>
            <w:noWrap/>
          </w:tcPr>
          <w:p w14:paraId="0E7C79A0">
            <w:pPr>
              <w:overflowPunct w:val="0"/>
              <w:autoSpaceDE w:val="0"/>
              <w:autoSpaceDN w:val="0"/>
              <w:rPr>
                <w:rFonts w:ascii="宋体" w:eastAsia="宋体" w:hAnsi="宋体" w:cs="宋体"/>
                <w:szCs w:val="21"/>
              </w:rPr>
            </w:pPr>
            <w:r>
              <w:rPr>
                <w:rFonts w:ascii="宋体" w:eastAsia="宋体" w:hAnsi="宋体" w:cs="宋体" w:hint="eastAsia"/>
                <w:szCs w:val="21"/>
              </w:rPr>
              <w:t>30203</w:t>
            </w:r>
          </w:p>
        </w:tc>
        <w:tc>
          <w:tcPr>
            <w:tcW w:w="2019" w:type="dxa"/>
            <w:shd w:val="clear" w:color="auto" w:fill="auto"/>
            <w:noWrap/>
          </w:tcPr>
          <w:p w14:paraId="040D364D">
            <w:pPr>
              <w:overflowPunct w:val="0"/>
              <w:autoSpaceDE w:val="0"/>
              <w:autoSpaceDN w:val="0"/>
              <w:jc w:val="left"/>
              <w:rPr>
                <w:rFonts w:ascii="宋体" w:eastAsia="宋体" w:hAnsi="宋体" w:cs="宋体"/>
                <w:szCs w:val="21"/>
              </w:rPr>
            </w:pPr>
            <w:r>
              <w:rPr>
                <w:rFonts w:ascii="宋体" w:eastAsia="宋体" w:hAnsi="宋体" w:cs="宋体" w:hint="eastAsia"/>
                <w:szCs w:val="21"/>
              </w:rPr>
              <w:t>咨询费</w:t>
            </w:r>
          </w:p>
        </w:tc>
        <w:tc>
          <w:tcPr>
            <w:tcW w:w="1047" w:type="dxa"/>
            <w:shd w:val="clear" w:color="auto" w:fill="auto"/>
            <w:noWrap/>
          </w:tcPr>
          <w:p w14:paraId="119DEC6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1.08</w:t>
            </w:r>
          </w:p>
        </w:tc>
        <w:tc>
          <w:tcPr>
            <w:tcW w:w="1099" w:type="dxa"/>
            <w:gridSpan w:val="2"/>
            <w:shd w:val="clear" w:color="auto" w:fill="auto"/>
            <w:noWrap/>
          </w:tcPr>
          <w:p w14:paraId="7AFF5FF6">
            <w:pPr>
              <w:overflowPunct w:val="0"/>
              <w:autoSpaceDE w:val="0"/>
              <w:autoSpaceDN w:val="0"/>
              <w:rPr>
                <w:rFonts w:ascii="宋体" w:eastAsia="宋体" w:hAnsi="宋体" w:cs="宋体"/>
                <w:szCs w:val="21"/>
              </w:rPr>
            </w:pPr>
            <w:r>
              <w:rPr>
                <w:rFonts w:ascii="宋体" w:eastAsia="宋体" w:hAnsi="宋体" w:cs="宋体" w:hint="eastAsia"/>
                <w:szCs w:val="21"/>
              </w:rPr>
              <w:t>31001</w:t>
            </w:r>
          </w:p>
        </w:tc>
        <w:tc>
          <w:tcPr>
            <w:tcW w:w="2116" w:type="dxa"/>
            <w:gridSpan w:val="2"/>
            <w:shd w:val="clear" w:color="auto" w:fill="auto"/>
            <w:noWrap/>
          </w:tcPr>
          <w:p w14:paraId="3FD93DFB">
            <w:pPr>
              <w:overflowPunct w:val="0"/>
              <w:autoSpaceDE w:val="0"/>
              <w:autoSpaceDN w:val="0"/>
              <w:jc w:val="left"/>
              <w:rPr>
                <w:rFonts w:ascii="宋体" w:eastAsia="宋体" w:hAnsi="宋体" w:cs="宋体"/>
                <w:szCs w:val="21"/>
              </w:rPr>
            </w:pPr>
            <w:r>
              <w:rPr>
                <w:rFonts w:ascii="宋体" w:eastAsia="宋体" w:hAnsi="宋体" w:cs="宋体" w:hint="eastAsia"/>
                <w:szCs w:val="21"/>
              </w:rPr>
              <w:t>房屋建筑物购建</w:t>
            </w:r>
          </w:p>
        </w:tc>
        <w:tc>
          <w:tcPr>
            <w:tcW w:w="1183" w:type="dxa"/>
            <w:shd w:val="clear" w:color="auto" w:fill="auto"/>
            <w:noWrap/>
          </w:tcPr>
          <w:p w14:paraId="27FD48B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655483D">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048AC65A">
            <w:pPr>
              <w:overflowPunct w:val="0"/>
              <w:autoSpaceDE w:val="0"/>
              <w:autoSpaceDN w:val="0"/>
              <w:rPr>
                <w:rFonts w:ascii="宋体" w:eastAsia="宋体" w:hAnsi="宋体" w:cs="宋体"/>
                <w:szCs w:val="21"/>
              </w:rPr>
            </w:pPr>
            <w:r>
              <w:rPr>
                <w:rFonts w:ascii="宋体" w:eastAsia="宋体" w:hAnsi="宋体" w:cs="宋体" w:hint="eastAsia"/>
                <w:szCs w:val="21"/>
              </w:rPr>
              <w:t>30106</w:t>
            </w:r>
          </w:p>
        </w:tc>
        <w:tc>
          <w:tcPr>
            <w:tcW w:w="2860" w:type="dxa"/>
            <w:shd w:val="clear" w:color="auto" w:fill="auto"/>
            <w:noWrap/>
          </w:tcPr>
          <w:p w14:paraId="124CC9C3">
            <w:pPr>
              <w:overflowPunct w:val="0"/>
              <w:autoSpaceDE w:val="0"/>
              <w:autoSpaceDN w:val="0"/>
              <w:jc w:val="left"/>
              <w:rPr>
                <w:rFonts w:ascii="宋体" w:eastAsia="宋体" w:hAnsi="宋体" w:cs="宋体"/>
                <w:szCs w:val="21"/>
              </w:rPr>
            </w:pPr>
            <w:r>
              <w:rPr>
                <w:rFonts w:ascii="宋体" w:eastAsia="宋体" w:hAnsi="宋体" w:cs="宋体" w:hint="eastAsia"/>
                <w:szCs w:val="21"/>
              </w:rPr>
              <w:t>伙食补助费</w:t>
            </w:r>
          </w:p>
        </w:tc>
        <w:tc>
          <w:tcPr>
            <w:tcW w:w="1178" w:type="dxa"/>
            <w:shd w:val="clear" w:color="auto" w:fill="auto"/>
            <w:noWrap/>
            <w:vAlign w:val="center"/>
          </w:tcPr>
          <w:p w14:paraId="4398106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0BC8051A">
            <w:pPr>
              <w:overflowPunct w:val="0"/>
              <w:autoSpaceDE w:val="0"/>
              <w:autoSpaceDN w:val="0"/>
              <w:rPr>
                <w:rFonts w:ascii="宋体" w:eastAsia="宋体" w:hAnsi="宋体" w:cs="宋体"/>
                <w:szCs w:val="21"/>
              </w:rPr>
            </w:pPr>
            <w:r>
              <w:rPr>
                <w:rFonts w:ascii="宋体" w:eastAsia="宋体" w:hAnsi="宋体" w:cs="宋体" w:hint="eastAsia"/>
                <w:szCs w:val="21"/>
              </w:rPr>
              <w:t>30204</w:t>
            </w:r>
          </w:p>
        </w:tc>
        <w:tc>
          <w:tcPr>
            <w:tcW w:w="2019" w:type="dxa"/>
            <w:shd w:val="clear" w:color="auto" w:fill="auto"/>
            <w:noWrap/>
          </w:tcPr>
          <w:p w14:paraId="1AB52CD2">
            <w:pPr>
              <w:overflowPunct w:val="0"/>
              <w:autoSpaceDE w:val="0"/>
              <w:autoSpaceDN w:val="0"/>
              <w:jc w:val="left"/>
              <w:rPr>
                <w:rFonts w:ascii="宋体" w:eastAsia="宋体" w:hAnsi="宋体" w:cs="宋体"/>
                <w:szCs w:val="21"/>
              </w:rPr>
            </w:pPr>
            <w:r>
              <w:rPr>
                <w:rFonts w:ascii="宋体" w:eastAsia="宋体" w:hAnsi="宋体" w:cs="宋体" w:hint="eastAsia"/>
                <w:szCs w:val="21"/>
              </w:rPr>
              <w:t>手续费</w:t>
            </w:r>
          </w:p>
        </w:tc>
        <w:tc>
          <w:tcPr>
            <w:tcW w:w="1047" w:type="dxa"/>
            <w:shd w:val="clear" w:color="auto" w:fill="auto"/>
            <w:noWrap/>
          </w:tcPr>
          <w:p w14:paraId="31D0FD0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701114B2">
            <w:pPr>
              <w:overflowPunct w:val="0"/>
              <w:autoSpaceDE w:val="0"/>
              <w:autoSpaceDN w:val="0"/>
              <w:rPr>
                <w:rFonts w:ascii="宋体" w:eastAsia="宋体" w:hAnsi="宋体" w:cs="宋体"/>
                <w:szCs w:val="21"/>
              </w:rPr>
            </w:pPr>
            <w:r>
              <w:rPr>
                <w:rFonts w:ascii="宋体" w:eastAsia="宋体" w:hAnsi="宋体" w:cs="宋体" w:hint="eastAsia"/>
                <w:szCs w:val="21"/>
              </w:rPr>
              <w:t>31002</w:t>
            </w:r>
          </w:p>
        </w:tc>
        <w:tc>
          <w:tcPr>
            <w:tcW w:w="2116" w:type="dxa"/>
            <w:gridSpan w:val="2"/>
            <w:shd w:val="clear" w:color="auto" w:fill="auto"/>
            <w:noWrap/>
          </w:tcPr>
          <w:p w14:paraId="16ADF366">
            <w:pPr>
              <w:overflowPunct w:val="0"/>
              <w:autoSpaceDE w:val="0"/>
              <w:autoSpaceDN w:val="0"/>
              <w:jc w:val="left"/>
              <w:rPr>
                <w:rFonts w:ascii="宋体" w:eastAsia="宋体" w:hAnsi="宋体" w:cs="宋体"/>
                <w:szCs w:val="21"/>
              </w:rPr>
            </w:pPr>
            <w:r>
              <w:rPr>
                <w:rFonts w:ascii="宋体" w:eastAsia="宋体" w:hAnsi="宋体" w:cs="宋体" w:hint="eastAsia"/>
                <w:szCs w:val="21"/>
              </w:rPr>
              <w:t>办公设备购置</w:t>
            </w:r>
          </w:p>
        </w:tc>
        <w:tc>
          <w:tcPr>
            <w:tcW w:w="1183" w:type="dxa"/>
            <w:shd w:val="clear" w:color="auto" w:fill="auto"/>
            <w:noWrap/>
          </w:tcPr>
          <w:p w14:paraId="3B97C02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8.95</w:t>
            </w:r>
          </w:p>
        </w:tc>
      </w:tr>
      <w:tr w14:paraId="2F9E1443">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2B8D33E9">
            <w:pPr>
              <w:overflowPunct w:val="0"/>
              <w:autoSpaceDE w:val="0"/>
              <w:autoSpaceDN w:val="0"/>
              <w:rPr>
                <w:rFonts w:ascii="宋体" w:eastAsia="宋体" w:hAnsi="宋体" w:cs="宋体"/>
                <w:szCs w:val="21"/>
              </w:rPr>
            </w:pPr>
            <w:r>
              <w:rPr>
                <w:rFonts w:ascii="宋体" w:eastAsia="宋体" w:hAnsi="宋体" w:cs="宋体" w:hint="eastAsia"/>
                <w:szCs w:val="21"/>
              </w:rPr>
              <w:t>30107</w:t>
            </w:r>
          </w:p>
        </w:tc>
        <w:tc>
          <w:tcPr>
            <w:tcW w:w="2860" w:type="dxa"/>
            <w:shd w:val="clear" w:color="auto" w:fill="auto"/>
            <w:noWrap/>
          </w:tcPr>
          <w:p w14:paraId="02E4624B">
            <w:pPr>
              <w:overflowPunct w:val="0"/>
              <w:autoSpaceDE w:val="0"/>
              <w:autoSpaceDN w:val="0"/>
              <w:jc w:val="left"/>
              <w:rPr>
                <w:rFonts w:ascii="宋体" w:eastAsia="宋体" w:hAnsi="宋体" w:cs="宋体"/>
                <w:szCs w:val="21"/>
              </w:rPr>
            </w:pPr>
            <w:r>
              <w:rPr>
                <w:rFonts w:ascii="宋体" w:eastAsia="宋体" w:hAnsi="宋体" w:cs="宋体" w:hint="eastAsia"/>
                <w:szCs w:val="21"/>
              </w:rPr>
              <w:t>绩效工资</w:t>
            </w:r>
          </w:p>
        </w:tc>
        <w:tc>
          <w:tcPr>
            <w:tcW w:w="1178" w:type="dxa"/>
            <w:shd w:val="clear" w:color="auto" w:fill="auto"/>
            <w:noWrap/>
            <w:vAlign w:val="center"/>
          </w:tcPr>
          <w:p w14:paraId="127ED36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592.20</w:t>
            </w:r>
          </w:p>
        </w:tc>
        <w:tc>
          <w:tcPr>
            <w:tcW w:w="1261" w:type="dxa"/>
            <w:shd w:val="clear" w:color="auto" w:fill="auto"/>
            <w:noWrap/>
          </w:tcPr>
          <w:p w14:paraId="152B11B4">
            <w:pPr>
              <w:overflowPunct w:val="0"/>
              <w:autoSpaceDE w:val="0"/>
              <w:autoSpaceDN w:val="0"/>
              <w:rPr>
                <w:rFonts w:ascii="宋体" w:eastAsia="宋体" w:hAnsi="宋体" w:cs="宋体"/>
                <w:szCs w:val="21"/>
              </w:rPr>
            </w:pPr>
            <w:r>
              <w:rPr>
                <w:rFonts w:ascii="宋体" w:eastAsia="宋体" w:hAnsi="宋体" w:cs="宋体" w:hint="eastAsia"/>
                <w:szCs w:val="21"/>
              </w:rPr>
              <w:t>30205</w:t>
            </w:r>
          </w:p>
        </w:tc>
        <w:tc>
          <w:tcPr>
            <w:tcW w:w="2019" w:type="dxa"/>
            <w:shd w:val="clear" w:color="auto" w:fill="auto"/>
            <w:noWrap/>
          </w:tcPr>
          <w:p w14:paraId="7A7B6843">
            <w:pPr>
              <w:overflowPunct w:val="0"/>
              <w:autoSpaceDE w:val="0"/>
              <w:autoSpaceDN w:val="0"/>
              <w:jc w:val="left"/>
              <w:rPr>
                <w:rFonts w:ascii="宋体" w:eastAsia="宋体" w:hAnsi="宋体" w:cs="宋体"/>
                <w:szCs w:val="21"/>
              </w:rPr>
            </w:pPr>
            <w:r>
              <w:rPr>
                <w:rFonts w:ascii="宋体" w:eastAsia="宋体" w:hAnsi="宋体" w:cs="宋体" w:hint="eastAsia"/>
                <w:szCs w:val="21"/>
              </w:rPr>
              <w:t>水费</w:t>
            </w:r>
          </w:p>
        </w:tc>
        <w:tc>
          <w:tcPr>
            <w:tcW w:w="1047" w:type="dxa"/>
            <w:shd w:val="clear" w:color="auto" w:fill="auto"/>
            <w:noWrap/>
          </w:tcPr>
          <w:p w14:paraId="6DDEEF4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30.91</w:t>
            </w:r>
          </w:p>
        </w:tc>
        <w:tc>
          <w:tcPr>
            <w:tcW w:w="1099" w:type="dxa"/>
            <w:gridSpan w:val="2"/>
            <w:shd w:val="clear" w:color="auto" w:fill="auto"/>
            <w:noWrap/>
          </w:tcPr>
          <w:p w14:paraId="5C6C7E08">
            <w:pPr>
              <w:overflowPunct w:val="0"/>
              <w:autoSpaceDE w:val="0"/>
              <w:autoSpaceDN w:val="0"/>
              <w:rPr>
                <w:rFonts w:ascii="宋体" w:eastAsia="宋体" w:hAnsi="宋体" w:cs="宋体"/>
                <w:szCs w:val="21"/>
              </w:rPr>
            </w:pPr>
            <w:r>
              <w:rPr>
                <w:rFonts w:ascii="宋体" w:eastAsia="宋体" w:hAnsi="宋体" w:cs="宋体" w:hint="eastAsia"/>
                <w:szCs w:val="21"/>
              </w:rPr>
              <w:t>31003</w:t>
            </w:r>
          </w:p>
        </w:tc>
        <w:tc>
          <w:tcPr>
            <w:tcW w:w="2116" w:type="dxa"/>
            <w:gridSpan w:val="2"/>
            <w:shd w:val="clear" w:color="auto" w:fill="auto"/>
            <w:noWrap/>
          </w:tcPr>
          <w:p w14:paraId="0CE5B806">
            <w:pPr>
              <w:overflowPunct w:val="0"/>
              <w:autoSpaceDE w:val="0"/>
              <w:autoSpaceDN w:val="0"/>
              <w:jc w:val="left"/>
              <w:rPr>
                <w:rFonts w:ascii="宋体" w:eastAsia="宋体" w:hAnsi="宋体" w:cs="宋体"/>
                <w:szCs w:val="21"/>
              </w:rPr>
            </w:pPr>
            <w:r>
              <w:rPr>
                <w:rFonts w:ascii="宋体" w:eastAsia="宋体" w:hAnsi="宋体" w:cs="宋体" w:hint="eastAsia"/>
                <w:szCs w:val="21"/>
              </w:rPr>
              <w:t>专用设备购置</w:t>
            </w:r>
          </w:p>
        </w:tc>
        <w:tc>
          <w:tcPr>
            <w:tcW w:w="1183" w:type="dxa"/>
            <w:shd w:val="clear" w:color="auto" w:fill="auto"/>
            <w:noWrap/>
          </w:tcPr>
          <w:p w14:paraId="39E3512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42.70</w:t>
            </w:r>
          </w:p>
        </w:tc>
      </w:tr>
      <w:tr w14:paraId="6958F023">
        <w:tblPrEx>
          <w:tblW w:w="13878" w:type="dxa"/>
          <w:tblInd w:w="-318" w:type="dxa"/>
          <w:tblLayout w:type="fixed"/>
          <w:tblCellMar>
            <w:top w:w="0" w:type="dxa"/>
            <w:left w:w="108" w:type="dxa"/>
            <w:bottom w:w="0" w:type="dxa"/>
            <w:right w:w="108" w:type="dxa"/>
          </w:tblCellMar>
        </w:tblPrEx>
        <w:trPr>
          <w:trHeight w:val="391"/>
        </w:trPr>
        <w:tc>
          <w:tcPr>
            <w:tcW w:w="1115" w:type="dxa"/>
            <w:shd w:val="clear" w:color="auto" w:fill="auto"/>
            <w:noWrap/>
          </w:tcPr>
          <w:p w14:paraId="0738DC5B">
            <w:pPr>
              <w:overflowPunct w:val="0"/>
              <w:autoSpaceDE w:val="0"/>
              <w:autoSpaceDN w:val="0"/>
              <w:rPr>
                <w:rFonts w:ascii="宋体" w:eastAsia="宋体" w:hAnsi="宋体" w:cs="宋体"/>
                <w:szCs w:val="21"/>
              </w:rPr>
            </w:pPr>
            <w:r>
              <w:rPr>
                <w:rFonts w:ascii="宋体" w:eastAsia="宋体" w:hAnsi="宋体" w:cs="宋体" w:hint="eastAsia"/>
                <w:szCs w:val="21"/>
              </w:rPr>
              <w:t>30108</w:t>
            </w:r>
          </w:p>
        </w:tc>
        <w:tc>
          <w:tcPr>
            <w:tcW w:w="2860" w:type="dxa"/>
            <w:shd w:val="clear" w:color="auto" w:fill="auto"/>
          </w:tcPr>
          <w:p w14:paraId="41827133">
            <w:pPr>
              <w:overflowPunct w:val="0"/>
              <w:autoSpaceDE w:val="0"/>
              <w:autoSpaceDN w:val="0"/>
              <w:jc w:val="left"/>
              <w:rPr>
                <w:rFonts w:ascii="宋体" w:eastAsia="宋体" w:hAnsi="宋体" w:cs="宋体"/>
                <w:szCs w:val="21"/>
              </w:rPr>
            </w:pPr>
            <w:r>
              <w:rPr>
                <w:rFonts w:ascii="宋体" w:eastAsia="宋体" w:hAnsi="宋体" w:cs="宋体" w:hint="eastAsia"/>
                <w:szCs w:val="21"/>
              </w:rPr>
              <w:t>机关事业单位基本养老保险缴费</w:t>
            </w:r>
          </w:p>
        </w:tc>
        <w:tc>
          <w:tcPr>
            <w:tcW w:w="1178" w:type="dxa"/>
            <w:shd w:val="clear" w:color="auto" w:fill="auto"/>
            <w:noWrap/>
            <w:vAlign w:val="center"/>
          </w:tcPr>
          <w:p w14:paraId="52A50F2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463.93</w:t>
            </w:r>
          </w:p>
        </w:tc>
        <w:tc>
          <w:tcPr>
            <w:tcW w:w="1261" w:type="dxa"/>
            <w:shd w:val="clear" w:color="auto" w:fill="auto"/>
            <w:noWrap/>
          </w:tcPr>
          <w:p w14:paraId="46FFD7D1">
            <w:pPr>
              <w:overflowPunct w:val="0"/>
              <w:autoSpaceDE w:val="0"/>
              <w:autoSpaceDN w:val="0"/>
              <w:rPr>
                <w:rFonts w:ascii="宋体" w:eastAsia="宋体" w:hAnsi="宋体" w:cs="宋体"/>
                <w:szCs w:val="21"/>
              </w:rPr>
            </w:pPr>
            <w:r>
              <w:rPr>
                <w:rFonts w:ascii="宋体" w:eastAsia="宋体" w:hAnsi="宋体" w:cs="宋体" w:hint="eastAsia"/>
                <w:szCs w:val="21"/>
              </w:rPr>
              <w:t>30206</w:t>
            </w:r>
          </w:p>
        </w:tc>
        <w:tc>
          <w:tcPr>
            <w:tcW w:w="2019" w:type="dxa"/>
            <w:shd w:val="clear" w:color="auto" w:fill="auto"/>
            <w:noWrap/>
          </w:tcPr>
          <w:p w14:paraId="5F1C38A7">
            <w:pPr>
              <w:overflowPunct w:val="0"/>
              <w:autoSpaceDE w:val="0"/>
              <w:autoSpaceDN w:val="0"/>
              <w:jc w:val="left"/>
              <w:rPr>
                <w:rFonts w:ascii="宋体" w:eastAsia="宋体" w:hAnsi="宋体" w:cs="宋体"/>
                <w:szCs w:val="21"/>
              </w:rPr>
            </w:pPr>
            <w:r>
              <w:rPr>
                <w:rFonts w:ascii="宋体" w:eastAsia="宋体" w:hAnsi="宋体" w:cs="宋体" w:hint="eastAsia"/>
                <w:szCs w:val="21"/>
              </w:rPr>
              <w:t>电费</w:t>
            </w:r>
          </w:p>
        </w:tc>
        <w:tc>
          <w:tcPr>
            <w:tcW w:w="1047" w:type="dxa"/>
            <w:shd w:val="clear" w:color="auto" w:fill="auto"/>
            <w:noWrap/>
          </w:tcPr>
          <w:p w14:paraId="2D517DD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89.96</w:t>
            </w:r>
          </w:p>
        </w:tc>
        <w:tc>
          <w:tcPr>
            <w:tcW w:w="1099" w:type="dxa"/>
            <w:gridSpan w:val="2"/>
            <w:shd w:val="clear" w:color="auto" w:fill="auto"/>
            <w:noWrap/>
          </w:tcPr>
          <w:p w14:paraId="72A3C043">
            <w:pPr>
              <w:overflowPunct w:val="0"/>
              <w:autoSpaceDE w:val="0"/>
              <w:autoSpaceDN w:val="0"/>
              <w:rPr>
                <w:rFonts w:ascii="宋体" w:eastAsia="宋体" w:hAnsi="宋体" w:cs="宋体"/>
                <w:szCs w:val="21"/>
              </w:rPr>
            </w:pPr>
            <w:r>
              <w:rPr>
                <w:rFonts w:ascii="宋体" w:eastAsia="宋体" w:hAnsi="宋体" w:cs="宋体" w:hint="eastAsia"/>
                <w:szCs w:val="21"/>
              </w:rPr>
              <w:t>31005</w:t>
            </w:r>
          </w:p>
        </w:tc>
        <w:tc>
          <w:tcPr>
            <w:tcW w:w="2116" w:type="dxa"/>
            <w:gridSpan w:val="2"/>
            <w:shd w:val="clear" w:color="auto" w:fill="auto"/>
          </w:tcPr>
          <w:p w14:paraId="70764454">
            <w:pPr>
              <w:overflowPunct w:val="0"/>
              <w:autoSpaceDE w:val="0"/>
              <w:autoSpaceDN w:val="0"/>
              <w:jc w:val="left"/>
              <w:rPr>
                <w:rFonts w:ascii="宋体" w:eastAsia="宋体" w:hAnsi="宋体" w:cs="宋体"/>
                <w:szCs w:val="21"/>
              </w:rPr>
            </w:pPr>
            <w:r>
              <w:rPr>
                <w:rFonts w:ascii="宋体" w:eastAsia="宋体" w:hAnsi="宋体" w:cs="宋体" w:hint="eastAsia"/>
                <w:szCs w:val="21"/>
              </w:rPr>
              <w:t>基础设施建设</w:t>
            </w:r>
          </w:p>
        </w:tc>
        <w:tc>
          <w:tcPr>
            <w:tcW w:w="1183" w:type="dxa"/>
            <w:shd w:val="clear" w:color="auto" w:fill="auto"/>
            <w:noWrap/>
          </w:tcPr>
          <w:p w14:paraId="662C030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045BA5D">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1DC01288">
            <w:pPr>
              <w:overflowPunct w:val="0"/>
              <w:autoSpaceDE w:val="0"/>
              <w:autoSpaceDN w:val="0"/>
              <w:rPr>
                <w:rFonts w:ascii="宋体" w:eastAsia="宋体" w:hAnsi="宋体" w:cs="宋体"/>
                <w:szCs w:val="21"/>
              </w:rPr>
            </w:pPr>
            <w:r>
              <w:rPr>
                <w:rFonts w:ascii="宋体" w:eastAsia="宋体" w:hAnsi="宋体" w:cs="宋体" w:hint="eastAsia"/>
                <w:szCs w:val="21"/>
              </w:rPr>
              <w:t>30109</w:t>
            </w:r>
          </w:p>
        </w:tc>
        <w:tc>
          <w:tcPr>
            <w:tcW w:w="2860" w:type="dxa"/>
            <w:shd w:val="clear" w:color="auto" w:fill="auto"/>
            <w:noWrap/>
          </w:tcPr>
          <w:p w14:paraId="7C2F712F">
            <w:pPr>
              <w:overflowPunct w:val="0"/>
              <w:autoSpaceDE w:val="0"/>
              <w:autoSpaceDN w:val="0"/>
              <w:jc w:val="left"/>
              <w:rPr>
                <w:rFonts w:ascii="宋体" w:eastAsia="宋体" w:hAnsi="宋体" w:cs="宋体"/>
                <w:szCs w:val="21"/>
              </w:rPr>
            </w:pPr>
            <w:r>
              <w:rPr>
                <w:rFonts w:ascii="宋体" w:eastAsia="宋体" w:hAnsi="宋体" w:cs="宋体" w:hint="eastAsia"/>
                <w:szCs w:val="21"/>
              </w:rPr>
              <w:t>职业年金缴费</w:t>
            </w:r>
          </w:p>
        </w:tc>
        <w:tc>
          <w:tcPr>
            <w:tcW w:w="1178" w:type="dxa"/>
            <w:shd w:val="clear" w:color="auto" w:fill="auto"/>
            <w:noWrap/>
            <w:vAlign w:val="center"/>
          </w:tcPr>
          <w:p w14:paraId="7DFCC9A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278.85</w:t>
            </w:r>
          </w:p>
        </w:tc>
        <w:tc>
          <w:tcPr>
            <w:tcW w:w="1261" w:type="dxa"/>
            <w:shd w:val="clear" w:color="auto" w:fill="auto"/>
            <w:noWrap/>
          </w:tcPr>
          <w:p w14:paraId="19664553">
            <w:pPr>
              <w:overflowPunct w:val="0"/>
              <w:autoSpaceDE w:val="0"/>
              <w:autoSpaceDN w:val="0"/>
              <w:rPr>
                <w:rFonts w:ascii="宋体" w:eastAsia="宋体" w:hAnsi="宋体" w:cs="宋体"/>
                <w:szCs w:val="21"/>
              </w:rPr>
            </w:pPr>
            <w:r>
              <w:rPr>
                <w:rFonts w:ascii="宋体" w:eastAsia="宋体" w:hAnsi="宋体" w:cs="宋体" w:hint="eastAsia"/>
                <w:szCs w:val="21"/>
              </w:rPr>
              <w:t>30207</w:t>
            </w:r>
          </w:p>
        </w:tc>
        <w:tc>
          <w:tcPr>
            <w:tcW w:w="2019" w:type="dxa"/>
            <w:shd w:val="clear" w:color="auto" w:fill="auto"/>
            <w:noWrap/>
          </w:tcPr>
          <w:p w14:paraId="353982EB">
            <w:pPr>
              <w:overflowPunct w:val="0"/>
              <w:autoSpaceDE w:val="0"/>
              <w:autoSpaceDN w:val="0"/>
              <w:jc w:val="left"/>
              <w:rPr>
                <w:rFonts w:ascii="宋体" w:eastAsia="宋体" w:hAnsi="宋体" w:cs="宋体"/>
                <w:szCs w:val="21"/>
              </w:rPr>
            </w:pPr>
            <w:r>
              <w:rPr>
                <w:rFonts w:ascii="宋体" w:eastAsia="宋体" w:hAnsi="宋体" w:cs="宋体" w:hint="eastAsia"/>
                <w:szCs w:val="21"/>
              </w:rPr>
              <w:t>邮电费</w:t>
            </w:r>
          </w:p>
        </w:tc>
        <w:tc>
          <w:tcPr>
            <w:tcW w:w="1047" w:type="dxa"/>
            <w:shd w:val="clear" w:color="auto" w:fill="auto"/>
            <w:noWrap/>
          </w:tcPr>
          <w:p w14:paraId="2EC8CCD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12.09</w:t>
            </w:r>
          </w:p>
        </w:tc>
        <w:tc>
          <w:tcPr>
            <w:tcW w:w="1099" w:type="dxa"/>
            <w:gridSpan w:val="2"/>
            <w:shd w:val="clear" w:color="auto" w:fill="auto"/>
            <w:noWrap/>
          </w:tcPr>
          <w:p w14:paraId="7BC70C50">
            <w:pPr>
              <w:overflowPunct w:val="0"/>
              <w:autoSpaceDE w:val="0"/>
              <w:autoSpaceDN w:val="0"/>
              <w:rPr>
                <w:rFonts w:ascii="宋体" w:eastAsia="宋体" w:hAnsi="宋体" w:cs="宋体"/>
                <w:szCs w:val="21"/>
              </w:rPr>
            </w:pPr>
            <w:r>
              <w:rPr>
                <w:rFonts w:ascii="宋体" w:eastAsia="宋体" w:hAnsi="宋体" w:cs="宋体" w:hint="eastAsia"/>
                <w:szCs w:val="21"/>
              </w:rPr>
              <w:t>31006</w:t>
            </w:r>
          </w:p>
        </w:tc>
        <w:tc>
          <w:tcPr>
            <w:tcW w:w="2116" w:type="dxa"/>
            <w:gridSpan w:val="2"/>
            <w:shd w:val="clear" w:color="auto" w:fill="auto"/>
            <w:noWrap/>
          </w:tcPr>
          <w:p w14:paraId="19BE12B8">
            <w:pPr>
              <w:overflowPunct w:val="0"/>
              <w:autoSpaceDE w:val="0"/>
              <w:autoSpaceDN w:val="0"/>
              <w:jc w:val="left"/>
              <w:rPr>
                <w:rFonts w:ascii="宋体" w:eastAsia="宋体" w:hAnsi="宋体" w:cs="宋体"/>
                <w:szCs w:val="21"/>
              </w:rPr>
            </w:pPr>
            <w:r>
              <w:rPr>
                <w:rFonts w:ascii="宋体" w:eastAsia="宋体" w:hAnsi="宋体" w:cs="宋体" w:hint="eastAsia"/>
                <w:szCs w:val="21"/>
              </w:rPr>
              <w:t>大型修缮</w:t>
            </w:r>
          </w:p>
        </w:tc>
        <w:tc>
          <w:tcPr>
            <w:tcW w:w="1183" w:type="dxa"/>
            <w:shd w:val="clear" w:color="auto" w:fill="auto"/>
            <w:noWrap/>
          </w:tcPr>
          <w:p w14:paraId="2EBB97C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589B4D1A">
        <w:tblPrEx>
          <w:tblW w:w="13878" w:type="dxa"/>
          <w:tblInd w:w="-318" w:type="dxa"/>
          <w:tblLayout w:type="fixed"/>
          <w:tblCellMar>
            <w:top w:w="0" w:type="dxa"/>
            <w:left w:w="108" w:type="dxa"/>
            <w:bottom w:w="0" w:type="dxa"/>
            <w:right w:w="108" w:type="dxa"/>
          </w:tblCellMar>
        </w:tblPrEx>
        <w:trPr>
          <w:trHeight w:val="208"/>
        </w:trPr>
        <w:tc>
          <w:tcPr>
            <w:tcW w:w="1115" w:type="dxa"/>
            <w:shd w:val="clear" w:color="auto" w:fill="auto"/>
            <w:noWrap/>
          </w:tcPr>
          <w:p w14:paraId="51194544">
            <w:pPr>
              <w:overflowPunct w:val="0"/>
              <w:autoSpaceDE w:val="0"/>
              <w:autoSpaceDN w:val="0"/>
              <w:rPr>
                <w:rFonts w:ascii="宋体" w:eastAsia="宋体" w:hAnsi="宋体" w:cs="宋体"/>
                <w:szCs w:val="21"/>
              </w:rPr>
            </w:pPr>
            <w:r>
              <w:rPr>
                <w:rFonts w:ascii="宋体" w:eastAsia="宋体" w:hAnsi="宋体" w:cs="宋体" w:hint="eastAsia"/>
                <w:szCs w:val="21"/>
              </w:rPr>
              <w:t>30110</w:t>
            </w:r>
          </w:p>
        </w:tc>
        <w:tc>
          <w:tcPr>
            <w:tcW w:w="2860" w:type="dxa"/>
            <w:shd w:val="clear" w:color="auto" w:fill="auto"/>
            <w:noWrap/>
          </w:tcPr>
          <w:p w14:paraId="020FD81C">
            <w:pPr>
              <w:overflowPunct w:val="0"/>
              <w:autoSpaceDE w:val="0"/>
              <w:autoSpaceDN w:val="0"/>
              <w:jc w:val="left"/>
              <w:rPr>
                <w:rFonts w:ascii="宋体" w:eastAsia="宋体" w:hAnsi="宋体" w:cs="宋体"/>
                <w:szCs w:val="21"/>
              </w:rPr>
            </w:pPr>
            <w:r>
              <w:rPr>
                <w:rFonts w:ascii="宋体" w:eastAsia="宋体" w:hAnsi="宋体" w:cs="宋体" w:hint="eastAsia"/>
                <w:szCs w:val="21"/>
              </w:rPr>
              <w:t>职工基本医疗保险缴费</w:t>
            </w:r>
          </w:p>
        </w:tc>
        <w:tc>
          <w:tcPr>
            <w:tcW w:w="1178" w:type="dxa"/>
            <w:shd w:val="clear" w:color="auto" w:fill="auto"/>
            <w:noWrap/>
            <w:vAlign w:val="center"/>
          </w:tcPr>
          <w:p w14:paraId="6C9DC35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188.64</w:t>
            </w:r>
          </w:p>
        </w:tc>
        <w:tc>
          <w:tcPr>
            <w:tcW w:w="1261" w:type="dxa"/>
            <w:shd w:val="clear" w:color="auto" w:fill="auto"/>
            <w:noWrap/>
          </w:tcPr>
          <w:p w14:paraId="6EEF2742">
            <w:pPr>
              <w:overflowPunct w:val="0"/>
              <w:autoSpaceDE w:val="0"/>
              <w:autoSpaceDN w:val="0"/>
              <w:rPr>
                <w:rFonts w:ascii="宋体" w:eastAsia="宋体" w:hAnsi="宋体" w:cs="宋体"/>
                <w:szCs w:val="21"/>
              </w:rPr>
            </w:pPr>
            <w:r>
              <w:rPr>
                <w:rFonts w:ascii="宋体" w:eastAsia="宋体" w:hAnsi="宋体" w:cs="宋体" w:hint="eastAsia"/>
                <w:szCs w:val="21"/>
              </w:rPr>
              <w:t>30208</w:t>
            </w:r>
          </w:p>
        </w:tc>
        <w:tc>
          <w:tcPr>
            <w:tcW w:w="2019" w:type="dxa"/>
            <w:shd w:val="clear" w:color="auto" w:fill="auto"/>
            <w:noWrap/>
          </w:tcPr>
          <w:p w14:paraId="293FCD53">
            <w:pPr>
              <w:overflowPunct w:val="0"/>
              <w:autoSpaceDE w:val="0"/>
              <w:autoSpaceDN w:val="0"/>
              <w:jc w:val="left"/>
              <w:rPr>
                <w:rFonts w:ascii="宋体" w:eastAsia="宋体" w:hAnsi="宋体" w:cs="宋体"/>
                <w:szCs w:val="21"/>
              </w:rPr>
            </w:pPr>
            <w:r>
              <w:rPr>
                <w:rFonts w:ascii="宋体" w:eastAsia="宋体" w:hAnsi="宋体" w:cs="宋体" w:hint="eastAsia"/>
                <w:szCs w:val="21"/>
              </w:rPr>
              <w:t>取暖费</w:t>
            </w:r>
          </w:p>
        </w:tc>
        <w:tc>
          <w:tcPr>
            <w:tcW w:w="1047" w:type="dxa"/>
            <w:shd w:val="clear" w:color="auto" w:fill="auto"/>
            <w:noWrap/>
          </w:tcPr>
          <w:p w14:paraId="393A15A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0898920D">
            <w:pPr>
              <w:overflowPunct w:val="0"/>
              <w:autoSpaceDE w:val="0"/>
              <w:autoSpaceDN w:val="0"/>
              <w:rPr>
                <w:rFonts w:ascii="宋体" w:eastAsia="宋体" w:hAnsi="宋体" w:cs="宋体"/>
                <w:szCs w:val="21"/>
              </w:rPr>
            </w:pPr>
            <w:r>
              <w:rPr>
                <w:rFonts w:ascii="宋体" w:eastAsia="宋体" w:hAnsi="宋体" w:cs="宋体" w:hint="eastAsia"/>
                <w:szCs w:val="21"/>
              </w:rPr>
              <w:t>31007</w:t>
            </w:r>
          </w:p>
        </w:tc>
        <w:tc>
          <w:tcPr>
            <w:tcW w:w="2116" w:type="dxa"/>
            <w:gridSpan w:val="2"/>
            <w:shd w:val="clear" w:color="auto" w:fill="auto"/>
            <w:noWrap/>
          </w:tcPr>
          <w:p w14:paraId="74A0C4A7">
            <w:pPr>
              <w:overflowPunct w:val="0"/>
              <w:autoSpaceDE w:val="0"/>
              <w:autoSpaceDN w:val="0"/>
              <w:jc w:val="left"/>
              <w:rPr>
                <w:rFonts w:ascii="宋体" w:eastAsia="宋体" w:hAnsi="宋体" w:cs="宋体"/>
                <w:szCs w:val="21"/>
              </w:rPr>
            </w:pPr>
            <w:r>
              <w:rPr>
                <w:rFonts w:ascii="宋体" w:eastAsia="宋体" w:hAnsi="宋体" w:cs="宋体" w:hint="eastAsia"/>
                <w:szCs w:val="21"/>
              </w:rPr>
              <w:t>信息网络及软件购置更新</w:t>
            </w:r>
          </w:p>
        </w:tc>
        <w:tc>
          <w:tcPr>
            <w:tcW w:w="1183" w:type="dxa"/>
            <w:shd w:val="clear" w:color="auto" w:fill="auto"/>
            <w:noWrap/>
          </w:tcPr>
          <w:p w14:paraId="62896F4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EE8805F">
        <w:tblPrEx>
          <w:tblW w:w="13878" w:type="dxa"/>
          <w:tblInd w:w="-318" w:type="dxa"/>
          <w:tblLayout w:type="fixed"/>
          <w:tblCellMar>
            <w:top w:w="0" w:type="dxa"/>
            <w:left w:w="108" w:type="dxa"/>
            <w:bottom w:w="0" w:type="dxa"/>
            <w:right w:w="108" w:type="dxa"/>
          </w:tblCellMar>
        </w:tblPrEx>
        <w:trPr>
          <w:trHeight w:val="208"/>
        </w:trPr>
        <w:tc>
          <w:tcPr>
            <w:tcW w:w="1115" w:type="dxa"/>
            <w:shd w:val="clear" w:color="auto" w:fill="auto"/>
            <w:noWrap/>
          </w:tcPr>
          <w:p w14:paraId="2F123E52">
            <w:pPr>
              <w:overflowPunct w:val="0"/>
              <w:autoSpaceDE w:val="0"/>
              <w:autoSpaceDN w:val="0"/>
              <w:rPr>
                <w:rFonts w:ascii="宋体" w:eastAsia="宋体" w:hAnsi="宋体" w:cs="宋体"/>
                <w:szCs w:val="21"/>
              </w:rPr>
            </w:pPr>
            <w:r>
              <w:rPr>
                <w:rFonts w:ascii="宋体" w:eastAsia="宋体" w:hAnsi="宋体" w:cs="宋体" w:hint="eastAsia"/>
                <w:szCs w:val="21"/>
              </w:rPr>
              <w:t>30111</w:t>
            </w:r>
          </w:p>
        </w:tc>
        <w:tc>
          <w:tcPr>
            <w:tcW w:w="2860" w:type="dxa"/>
            <w:shd w:val="clear" w:color="auto" w:fill="auto"/>
            <w:noWrap/>
          </w:tcPr>
          <w:p w14:paraId="7226260A">
            <w:pPr>
              <w:overflowPunct w:val="0"/>
              <w:autoSpaceDE w:val="0"/>
              <w:autoSpaceDN w:val="0"/>
              <w:jc w:val="left"/>
              <w:rPr>
                <w:rFonts w:ascii="宋体" w:eastAsia="宋体" w:hAnsi="宋体" w:cs="宋体"/>
                <w:szCs w:val="21"/>
              </w:rPr>
            </w:pPr>
            <w:r>
              <w:rPr>
                <w:rFonts w:ascii="宋体" w:eastAsia="宋体" w:hAnsi="宋体" w:cs="宋体" w:hint="eastAsia"/>
                <w:szCs w:val="21"/>
              </w:rPr>
              <w:t>公务员医疗补助缴费</w:t>
            </w:r>
          </w:p>
        </w:tc>
        <w:tc>
          <w:tcPr>
            <w:tcW w:w="1178" w:type="dxa"/>
            <w:shd w:val="clear" w:color="auto" w:fill="auto"/>
            <w:noWrap/>
            <w:vAlign w:val="bottom"/>
          </w:tcPr>
          <w:p w14:paraId="642E015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141.65</w:t>
            </w:r>
          </w:p>
        </w:tc>
        <w:tc>
          <w:tcPr>
            <w:tcW w:w="1261" w:type="dxa"/>
            <w:shd w:val="clear" w:color="auto" w:fill="auto"/>
            <w:noWrap/>
          </w:tcPr>
          <w:p w14:paraId="4D77702B">
            <w:pPr>
              <w:overflowPunct w:val="0"/>
              <w:autoSpaceDE w:val="0"/>
              <w:autoSpaceDN w:val="0"/>
              <w:rPr>
                <w:rFonts w:ascii="宋体" w:eastAsia="宋体" w:hAnsi="宋体" w:cs="宋体"/>
                <w:szCs w:val="21"/>
              </w:rPr>
            </w:pPr>
            <w:r>
              <w:rPr>
                <w:rFonts w:ascii="宋体" w:eastAsia="宋体" w:hAnsi="宋体" w:cs="宋体" w:hint="eastAsia"/>
                <w:szCs w:val="21"/>
              </w:rPr>
              <w:t>30209</w:t>
            </w:r>
          </w:p>
        </w:tc>
        <w:tc>
          <w:tcPr>
            <w:tcW w:w="2019" w:type="dxa"/>
            <w:shd w:val="clear" w:color="auto" w:fill="auto"/>
            <w:noWrap/>
          </w:tcPr>
          <w:p w14:paraId="2310D4D7">
            <w:pPr>
              <w:overflowPunct w:val="0"/>
              <w:autoSpaceDE w:val="0"/>
              <w:autoSpaceDN w:val="0"/>
              <w:jc w:val="left"/>
              <w:rPr>
                <w:rFonts w:ascii="宋体" w:eastAsia="宋体" w:hAnsi="宋体" w:cs="宋体"/>
                <w:szCs w:val="21"/>
              </w:rPr>
            </w:pPr>
            <w:r>
              <w:rPr>
                <w:rFonts w:ascii="宋体" w:eastAsia="宋体" w:hAnsi="宋体" w:cs="宋体" w:hint="eastAsia"/>
                <w:szCs w:val="21"/>
              </w:rPr>
              <w:t>物业管理费</w:t>
            </w:r>
          </w:p>
        </w:tc>
        <w:tc>
          <w:tcPr>
            <w:tcW w:w="1047" w:type="dxa"/>
            <w:shd w:val="clear" w:color="auto" w:fill="auto"/>
            <w:noWrap/>
          </w:tcPr>
          <w:p w14:paraId="58B01F7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121.66</w:t>
            </w:r>
          </w:p>
        </w:tc>
        <w:tc>
          <w:tcPr>
            <w:tcW w:w="1099" w:type="dxa"/>
            <w:gridSpan w:val="2"/>
            <w:shd w:val="clear" w:color="auto" w:fill="auto"/>
            <w:noWrap/>
          </w:tcPr>
          <w:p w14:paraId="2F17BEDD">
            <w:pPr>
              <w:overflowPunct w:val="0"/>
              <w:autoSpaceDE w:val="0"/>
              <w:autoSpaceDN w:val="0"/>
              <w:rPr>
                <w:rFonts w:ascii="宋体" w:eastAsia="宋体" w:hAnsi="宋体" w:cs="宋体"/>
                <w:szCs w:val="21"/>
              </w:rPr>
            </w:pPr>
            <w:r>
              <w:rPr>
                <w:rFonts w:ascii="宋体" w:eastAsia="宋体" w:hAnsi="宋体" w:cs="宋体" w:hint="eastAsia"/>
                <w:szCs w:val="21"/>
              </w:rPr>
              <w:t>31008</w:t>
            </w:r>
          </w:p>
        </w:tc>
        <w:tc>
          <w:tcPr>
            <w:tcW w:w="2116" w:type="dxa"/>
            <w:gridSpan w:val="2"/>
            <w:shd w:val="clear" w:color="auto" w:fill="auto"/>
            <w:noWrap/>
          </w:tcPr>
          <w:p w14:paraId="0F174937">
            <w:pPr>
              <w:overflowPunct w:val="0"/>
              <w:autoSpaceDE w:val="0"/>
              <w:autoSpaceDN w:val="0"/>
              <w:jc w:val="left"/>
              <w:rPr>
                <w:rFonts w:ascii="宋体" w:eastAsia="宋体" w:hAnsi="宋体" w:cs="宋体"/>
                <w:szCs w:val="21"/>
              </w:rPr>
            </w:pPr>
            <w:r>
              <w:rPr>
                <w:rFonts w:ascii="宋体" w:eastAsia="宋体" w:hAnsi="宋体" w:cs="宋体" w:hint="eastAsia"/>
                <w:szCs w:val="21"/>
              </w:rPr>
              <w:t>物资储备</w:t>
            </w:r>
          </w:p>
        </w:tc>
        <w:tc>
          <w:tcPr>
            <w:tcW w:w="1183" w:type="dxa"/>
            <w:shd w:val="clear" w:color="auto" w:fill="auto"/>
            <w:noWrap/>
          </w:tcPr>
          <w:p w14:paraId="3DA7B22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113A558">
        <w:tblPrEx>
          <w:tblW w:w="13878" w:type="dxa"/>
          <w:tblInd w:w="-318" w:type="dxa"/>
          <w:tblLayout w:type="fixed"/>
          <w:tblCellMar>
            <w:top w:w="0" w:type="dxa"/>
            <w:left w:w="108" w:type="dxa"/>
            <w:bottom w:w="0" w:type="dxa"/>
            <w:right w:w="108" w:type="dxa"/>
          </w:tblCellMar>
        </w:tblPrEx>
        <w:trPr>
          <w:trHeight w:val="391"/>
        </w:trPr>
        <w:tc>
          <w:tcPr>
            <w:tcW w:w="1115" w:type="dxa"/>
            <w:shd w:val="clear" w:color="auto" w:fill="auto"/>
            <w:noWrap/>
          </w:tcPr>
          <w:p w14:paraId="1D6375A0">
            <w:pPr>
              <w:overflowPunct w:val="0"/>
              <w:autoSpaceDE w:val="0"/>
              <w:autoSpaceDN w:val="0"/>
              <w:rPr>
                <w:rFonts w:ascii="宋体" w:eastAsia="宋体" w:hAnsi="宋体" w:cs="宋体"/>
                <w:szCs w:val="21"/>
              </w:rPr>
            </w:pPr>
            <w:r>
              <w:rPr>
                <w:rFonts w:ascii="宋体" w:eastAsia="宋体" w:hAnsi="宋体" w:cs="宋体" w:hint="eastAsia"/>
                <w:szCs w:val="21"/>
              </w:rPr>
              <w:t>30112</w:t>
            </w:r>
          </w:p>
        </w:tc>
        <w:tc>
          <w:tcPr>
            <w:tcW w:w="2860" w:type="dxa"/>
            <w:shd w:val="clear" w:color="auto" w:fill="auto"/>
            <w:noWrap/>
          </w:tcPr>
          <w:p w14:paraId="095BEA62">
            <w:pPr>
              <w:overflowPunct w:val="0"/>
              <w:autoSpaceDE w:val="0"/>
              <w:autoSpaceDN w:val="0"/>
              <w:jc w:val="left"/>
              <w:rPr>
                <w:rFonts w:ascii="宋体" w:eastAsia="宋体" w:hAnsi="宋体" w:cs="宋体"/>
                <w:szCs w:val="21"/>
              </w:rPr>
            </w:pPr>
            <w:r>
              <w:rPr>
                <w:rFonts w:ascii="宋体" w:eastAsia="宋体" w:hAnsi="宋体" w:cs="宋体" w:hint="eastAsia"/>
                <w:szCs w:val="21"/>
              </w:rPr>
              <w:t>其他社会保障缴费</w:t>
            </w:r>
          </w:p>
        </w:tc>
        <w:tc>
          <w:tcPr>
            <w:tcW w:w="1178" w:type="dxa"/>
            <w:shd w:val="clear" w:color="auto" w:fill="auto"/>
            <w:noWrap/>
          </w:tcPr>
          <w:p w14:paraId="234FBA2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45.40</w:t>
            </w:r>
          </w:p>
        </w:tc>
        <w:tc>
          <w:tcPr>
            <w:tcW w:w="1261" w:type="dxa"/>
            <w:shd w:val="clear" w:color="auto" w:fill="auto"/>
            <w:noWrap/>
          </w:tcPr>
          <w:p w14:paraId="6ECF1C1C">
            <w:pPr>
              <w:overflowPunct w:val="0"/>
              <w:autoSpaceDE w:val="0"/>
              <w:autoSpaceDN w:val="0"/>
              <w:rPr>
                <w:rFonts w:ascii="宋体" w:eastAsia="宋体" w:hAnsi="宋体" w:cs="宋体"/>
                <w:szCs w:val="21"/>
              </w:rPr>
            </w:pPr>
            <w:r>
              <w:rPr>
                <w:rFonts w:ascii="宋体" w:eastAsia="宋体" w:hAnsi="宋体" w:cs="宋体" w:hint="eastAsia"/>
                <w:szCs w:val="21"/>
              </w:rPr>
              <w:t>30211</w:t>
            </w:r>
          </w:p>
        </w:tc>
        <w:tc>
          <w:tcPr>
            <w:tcW w:w="2019" w:type="dxa"/>
            <w:shd w:val="clear" w:color="auto" w:fill="auto"/>
            <w:noWrap/>
          </w:tcPr>
          <w:p w14:paraId="0841DC49">
            <w:pPr>
              <w:overflowPunct w:val="0"/>
              <w:autoSpaceDE w:val="0"/>
              <w:autoSpaceDN w:val="0"/>
              <w:jc w:val="left"/>
              <w:rPr>
                <w:rFonts w:ascii="宋体" w:eastAsia="宋体" w:hAnsi="宋体" w:cs="宋体"/>
                <w:szCs w:val="21"/>
              </w:rPr>
            </w:pPr>
            <w:r>
              <w:rPr>
                <w:rFonts w:ascii="宋体" w:eastAsia="宋体" w:hAnsi="宋体" w:cs="宋体" w:hint="eastAsia"/>
                <w:szCs w:val="21"/>
              </w:rPr>
              <w:t>差旅费</w:t>
            </w:r>
          </w:p>
        </w:tc>
        <w:tc>
          <w:tcPr>
            <w:tcW w:w="1047" w:type="dxa"/>
            <w:shd w:val="clear" w:color="auto" w:fill="auto"/>
            <w:noWrap/>
          </w:tcPr>
          <w:p w14:paraId="7C4EB2D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4.40</w:t>
            </w:r>
          </w:p>
        </w:tc>
        <w:tc>
          <w:tcPr>
            <w:tcW w:w="1099" w:type="dxa"/>
            <w:gridSpan w:val="2"/>
            <w:shd w:val="clear" w:color="auto" w:fill="auto"/>
            <w:noWrap/>
          </w:tcPr>
          <w:p w14:paraId="445DF204">
            <w:pPr>
              <w:overflowPunct w:val="0"/>
              <w:autoSpaceDE w:val="0"/>
              <w:autoSpaceDN w:val="0"/>
              <w:rPr>
                <w:rFonts w:ascii="宋体" w:eastAsia="宋体" w:hAnsi="宋体" w:cs="宋体"/>
                <w:szCs w:val="21"/>
              </w:rPr>
            </w:pPr>
            <w:r>
              <w:rPr>
                <w:rFonts w:ascii="宋体" w:eastAsia="宋体" w:hAnsi="宋体" w:cs="宋体" w:hint="eastAsia"/>
                <w:szCs w:val="21"/>
              </w:rPr>
              <w:t>31009</w:t>
            </w:r>
          </w:p>
        </w:tc>
        <w:tc>
          <w:tcPr>
            <w:tcW w:w="2116" w:type="dxa"/>
            <w:gridSpan w:val="2"/>
            <w:shd w:val="clear" w:color="auto" w:fill="auto"/>
          </w:tcPr>
          <w:p w14:paraId="441BE6A9">
            <w:pPr>
              <w:overflowPunct w:val="0"/>
              <w:autoSpaceDE w:val="0"/>
              <w:autoSpaceDN w:val="0"/>
              <w:jc w:val="left"/>
              <w:rPr>
                <w:rFonts w:ascii="宋体" w:eastAsia="宋体" w:hAnsi="宋体" w:cs="宋体"/>
                <w:szCs w:val="21"/>
              </w:rPr>
            </w:pPr>
            <w:r>
              <w:rPr>
                <w:rFonts w:ascii="宋体" w:eastAsia="宋体" w:hAnsi="宋体" w:cs="宋体" w:hint="eastAsia"/>
                <w:szCs w:val="21"/>
              </w:rPr>
              <w:t>土地补偿</w:t>
            </w:r>
          </w:p>
        </w:tc>
        <w:tc>
          <w:tcPr>
            <w:tcW w:w="1183" w:type="dxa"/>
            <w:shd w:val="clear" w:color="auto" w:fill="auto"/>
            <w:noWrap/>
          </w:tcPr>
          <w:p w14:paraId="0975902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B692A44">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7B7DF19B">
            <w:pPr>
              <w:overflowPunct w:val="0"/>
              <w:autoSpaceDE w:val="0"/>
              <w:autoSpaceDN w:val="0"/>
              <w:rPr>
                <w:rFonts w:ascii="宋体" w:eastAsia="宋体" w:hAnsi="宋体" w:cs="宋体"/>
                <w:szCs w:val="21"/>
              </w:rPr>
            </w:pPr>
            <w:r>
              <w:rPr>
                <w:rFonts w:ascii="宋体" w:eastAsia="宋体" w:hAnsi="宋体" w:cs="宋体" w:hint="eastAsia"/>
                <w:szCs w:val="21"/>
              </w:rPr>
              <w:t>30113</w:t>
            </w:r>
          </w:p>
        </w:tc>
        <w:tc>
          <w:tcPr>
            <w:tcW w:w="2860" w:type="dxa"/>
            <w:shd w:val="clear" w:color="auto" w:fill="auto"/>
            <w:noWrap/>
          </w:tcPr>
          <w:p w14:paraId="2AA3DA1F">
            <w:pPr>
              <w:overflowPunct w:val="0"/>
              <w:autoSpaceDE w:val="0"/>
              <w:autoSpaceDN w:val="0"/>
              <w:jc w:val="left"/>
              <w:rPr>
                <w:rFonts w:ascii="宋体" w:eastAsia="宋体" w:hAnsi="宋体" w:cs="宋体"/>
                <w:szCs w:val="21"/>
              </w:rPr>
            </w:pPr>
            <w:r>
              <w:rPr>
                <w:rFonts w:ascii="宋体" w:eastAsia="宋体" w:hAnsi="宋体" w:cs="宋体" w:hint="eastAsia"/>
                <w:szCs w:val="21"/>
              </w:rPr>
              <w:t>住房公积金</w:t>
            </w:r>
          </w:p>
        </w:tc>
        <w:tc>
          <w:tcPr>
            <w:tcW w:w="1178" w:type="dxa"/>
            <w:shd w:val="clear" w:color="auto" w:fill="auto"/>
            <w:noWrap/>
          </w:tcPr>
          <w:p w14:paraId="0FA975E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395.37</w:t>
            </w:r>
          </w:p>
        </w:tc>
        <w:tc>
          <w:tcPr>
            <w:tcW w:w="1261" w:type="dxa"/>
            <w:shd w:val="clear" w:color="auto" w:fill="auto"/>
            <w:noWrap/>
          </w:tcPr>
          <w:p w14:paraId="0C545F32">
            <w:pPr>
              <w:overflowPunct w:val="0"/>
              <w:autoSpaceDE w:val="0"/>
              <w:autoSpaceDN w:val="0"/>
              <w:rPr>
                <w:rFonts w:ascii="宋体" w:eastAsia="宋体" w:hAnsi="宋体" w:cs="宋体"/>
                <w:szCs w:val="21"/>
              </w:rPr>
            </w:pPr>
            <w:r>
              <w:rPr>
                <w:rFonts w:ascii="宋体" w:eastAsia="宋体" w:hAnsi="宋体" w:cs="宋体" w:hint="eastAsia"/>
                <w:szCs w:val="21"/>
              </w:rPr>
              <w:t>30212</w:t>
            </w:r>
          </w:p>
        </w:tc>
        <w:tc>
          <w:tcPr>
            <w:tcW w:w="2019" w:type="dxa"/>
            <w:shd w:val="clear" w:color="auto" w:fill="auto"/>
            <w:noWrap/>
          </w:tcPr>
          <w:p w14:paraId="569C4B3B">
            <w:pPr>
              <w:overflowPunct w:val="0"/>
              <w:autoSpaceDE w:val="0"/>
              <w:autoSpaceDN w:val="0"/>
              <w:jc w:val="left"/>
              <w:rPr>
                <w:rFonts w:ascii="宋体" w:eastAsia="宋体" w:hAnsi="宋体" w:cs="宋体"/>
                <w:szCs w:val="21"/>
              </w:rPr>
            </w:pPr>
            <w:r>
              <w:rPr>
                <w:rFonts w:ascii="宋体" w:eastAsia="宋体" w:hAnsi="宋体" w:cs="宋体" w:hint="eastAsia"/>
                <w:szCs w:val="21"/>
              </w:rPr>
              <w:t>因公出国（境）费用</w:t>
            </w:r>
          </w:p>
        </w:tc>
        <w:tc>
          <w:tcPr>
            <w:tcW w:w="1047" w:type="dxa"/>
            <w:shd w:val="clear" w:color="auto" w:fill="auto"/>
            <w:noWrap/>
          </w:tcPr>
          <w:p w14:paraId="5176514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523419BC">
            <w:pPr>
              <w:overflowPunct w:val="0"/>
              <w:autoSpaceDE w:val="0"/>
              <w:autoSpaceDN w:val="0"/>
              <w:rPr>
                <w:rFonts w:ascii="宋体" w:eastAsia="宋体" w:hAnsi="宋体" w:cs="宋体"/>
                <w:szCs w:val="21"/>
              </w:rPr>
            </w:pPr>
            <w:r>
              <w:rPr>
                <w:rFonts w:ascii="宋体" w:eastAsia="宋体" w:hAnsi="宋体" w:cs="宋体" w:hint="eastAsia"/>
                <w:szCs w:val="21"/>
              </w:rPr>
              <w:t>31010</w:t>
            </w:r>
          </w:p>
        </w:tc>
        <w:tc>
          <w:tcPr>
            <w:tcW w:w="2116" w:type="dxa"/>
            <w:gridSpan w:val="2"/>
            <w:shd w:val="clear" w:color="auto" w:fill="auto"/>
            <w:noWrap/>
          </w:tcPr>
          <w:p w14:paraId="2577F4B0">
            <w:pPr>
              <w:overflowPunct w:val="0"/>
              <w:autoSpaceDE w:val="0"/>
              <w:autoSpaceDN w:val="0"/>
              <w:jc w:val="left"/>
              <w:rPr>
                <w:rFonts w:ascii="宋体" w:eastAsia="宋体" w:hAnsi="宋体" w:cs="宋体"/>
                <w:szCs w:val="21"/>
              </w:rPr>
            </w:pPr>
            <w:r>
              <w:rPr>
                <w:rFonts w:ascii="宋体" w:eastAsia="宋体" w:hAnsi="宋体" w:cs="宋体" w:hint="eastAsia"/>
                <w:szCs w:val="21"/>
              </w:rPr>
              <w:t>安置补助</w:t>
            </w:r>
          </w:p>
        </w:tc>
        <w:tc>
          <w:tcPr>
            <w:tcW w:w="1183" w:type="dxa"/>
            <w:shd w:val="clear" w:color="auto" w:fill="auto"/>
            <w:noWrap/>
          </w:tcPr>
          <w:p w14:paraId="50AC704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B415D3F">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65BE1796">
            <w:pPr>
              <w:overflowPunct w:val="0"/>
              <w:autoSpaceDE w:val="0"/>
              <w:autoSpaceDN w:val="0"/>
              <w:rPr>
                <w:rFonts w:ascii="宋体" w:eastAsia="宋体" w:hAnsi="宋体" w:cs="宋体"/>
                <w:szCs w:val="21"/>
              </w:rPr>
            </w:pPr>
            <w:r>
              <w:rPr>
                <w:rFonts w:ascii="宋体" w:eastAsia="宋体" w:hAnsi="宋体" w:cs="宋体" w:hint="eastAsia"/>
                <w:szCs w:val="21"/>
              </w:rPr>
              <w:t>30114</w:t>
            </w:r>
          </w:p>
        </w:tc>
        <w:tc>
          <w:tcPr>
            <w:tcW w:w="2860" w:type="dxa"/>
            <w:shd w:val="clear" w:color="auto" w:fill="auto"/>
            <w:noWrap/>
          </w:tcPr>
          <w:p w14:paraId="018E7D4F">
            <w:pPr>
              <w:overflowPunct w:val="0"/>
              <w:autoSpaceDE w:val="0"/>
              <w:autoSpaceDN w:val="0"/>
              <w:jc w:val="left"/>
              <w:rPr>
                <w:rFonts w:ascii="宋体" w:eastAsia="宋体" w:hAnsi="宋体" w:cs="宋体"/>
                <w:szCs w:val="21"/>
              </w:rPr>
            </w:pPr>
            <w:r>
              <w:rPr>
                <w:rFonts w:ascii="宋体" w:eastAsia="宋体" w:hAnsi="宋体" w:cs="宋体" w:hint="eastAsia"/>
                <w:szCs w:val="21"/>
              </w:rPr>
              <w:t>医疗费</w:t>
            </w:r>
          </w:p>
        </w:tc>
        <w:tc>
          <w:tcPr>
            <w:tcW w:w="1178" w:type="dxa"/>
            <w:shd w:val="clear" w:color="auto" w:fill="auto"/>
            <w:noWrap/>
          </w:tcPr>
          <w:p w14:paraId="717C7AC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6400285B">
            <w:pPr>
              <w:overflowPunct w:val="0"/>
              <w:autoSpaceDE w:val="0"/>
              <w:autoSpaceDN w:val="0"/>
              <w:rPr>
                <w:rFonts w:ascii="宋体" w:eastAsia="宋体" w:hAnsi="宋体" w:cs="宋体"/>
                <w:szCs w:val="21"/>
              </w:rPr>
            </w:pPr>
            <w:r>
              <w:rPr>
                <w:rFonts w:ascii="宋体" w:eastAsia="宋体" w:hAnsi="宋体" w:cs="宋体" w:hint="eastAsia"/>
                <w:szCs w:val="21"/>
              </w:rPr>
              <w:t>30213</w:t>
            </w:r>
          </w:p>
        </w:tc>
        <w:tc>
          <w:tcPr>
            <w:tcW w:w="2019" w:type="dxa"/>
            <w:shd w:val="clear" w:color="auto" w:fill="auto"/>
            <w:noWrap/>
          </w:tcPr>
          <w:p w14:paraId="407DFABF">
            <w:pPr>
              <w:overflowPunct w:val="0"/>
              <w:autoSpaceDE w:val="0"/>
              <w:autoSpaceDN w:val="0"/>
              <w:jc w:val="left"/>
              <w:rPr>
                <w:rFonts w:ascii="宋体" w:eastAsia="宋体" w:hAnsi="宋体" w:cs="宋体"/>
                <w:szCs w:val="21"/>
              </w:rPr>
            </w:pPr>
            <w:r>
              <w:rPr>
                <w:rFonts w:ascii="宋体" w:eastAsia="宋体" w:hAnsi="宋体" w:cs="宋体" w:hint="eastAsia"/>
                <w:szCs w:val="21"/>
              </w:rPr>
              <w:t>维修（护）费</w:t>
            </w:r>
          </w:p>
        </w:tc>
        <w:tc>
          <w:tcPr>
            <w:tcW w:w="1047" w:type="dxa"/>
            <w:shd w:val="clear" w:color="auto" w:fill="auto"/>
            <w:noWrap/>
          </w:tcPr>
          <w:p w14:paraId="62E0607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202.62</w:t>
            </w:r>
          </w:p>
        </w:tc>
        <w:tc>
          <w:tcPr>
            <w:tcW w:w="1099" w:type="dxa"/>
            <w:gridSpan w:val="2"/>
            <w:shd w:val="clear" w:color="auto" w:fill="auto"/>
            <w:noWrap/>
          </w:tcPr>
          <w:p w14:paraId="448BDB61">
            <w:pPr>
              <w:overflowPunct w:val="0"/>
              <w:autoSpaceDE w:val="0"/>
              <w:autoSpaceDN w:val="0"/>
              <w:rPr>
                <w:rFonts w:ascii="宋体" w:eastAsia="宋体" w:hAnsi="宋体" w:cs="宋体"/>
                <w:szCs w:val="21"/>
              </w:rPr>
            </w:pPr>
            <w:r>
              <w:rPr>
                <w:rFonts w:ascii="宋体" w:eastAsia="宋体" w:hAnsi="宋体" w:cs="宋体" w:hint="eastAsia"/>
                <w:szCs w:val="21"/>
              </w:rPr>
              <w:t>31011</w:t>
            </w:r>
          </w:p>
        </w:tc>
        <w:tc>
          <w:tcPr>
            <w:tcW w:w="2116" w:type="dxa"/>
            <w:gridSpan w:val="2"/>
            <w:shd w:val="clear" w:color="auto" w:fill="auto"/>
            <w:noWrap/>
          </w:tcPr>
          <w:p w14:paraId="215B0E2F">
            <w:pPr>
              <w:overflowPunct w:val="0"/>
              <w:autoSpaceDE w:val="0"/>
              <w:autoSpaceDN w:val="0"/>
              <w:jc w:val="left"/>
              <w:rPr>
                <w:rFonts w:ascii="宋体" w:eastAsia="宋体" w:hAnsi="宋体" w:cs="宋体"/>
                <w:szCs w:val="21"/>
              </w:rPr>
            </w:pPr>
            <w:r>
              <w:rPr>
                <w:rFonts w:ascii="宋体" w:eastAsia="宋体" w:hAnsi="宋体" w:cs="宋体" w:hint="eastAsia"/>
                <w:szCs w:val="21"/>
              </w:rPr>
              <w:t>地上附着物和青苗补偿</w:t>
            </w:r>
          </w:p>
        </w:tc>
        <w:tc>
          <w:tcPr>
            <w:tcW w:w="1183" w:type="dxa"/>
            <w:shd w:val="clear" w:color="auto" w:fill="auto"/>
            <w:noWrap/>
          </w:tcPr>
          <w:p w14:paraId="05E456B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4096351">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4294161A">
            <w:pPr>
              <w:overflowPunct w:val="0"/>
              <w:autoSpaceDE w:val="0"/>
              <w:autoSpaceDN w:val="0"/>
              <w:rPr>
                <w:rFonts w:ascii="宋体" w:eastAsia="宋体" w:hAnsi="宋体" w:cs="宋体"/>
                <w:szCs w:val="21"/>
              </w:rPr>
            </w:pPr>
            <w:r>
              <w:rPr>
                <w:rFonts w:ascii="宋体" w:eastAsia="宋体" w:hAnsi="宋体" w:cs="宋体" w:hint="eastAsia"/>
                <w:szCs w:val="21"/>
              </w:rPr>
              <w:t>30199</w:t>
            </w:r>
          </w:p>
        </w:tc>
        <w:tc>
          <w:tcPr>
            <w:tcW w:w="2860" w:type="dxa"/>
            <w:shd w:val="clear" w:color="auto" w:fill="auto"/>
            <w:noWrap/>
          </w:tcPr>
          <w:p w14:paraId="04B93D8D">
            <w:pPr>
              <w:overflowPunct w:val="0"/>
              <w:autoSpaceDE w:val="0"/>
              <w:autoSpaceDN w:val="0"/>
              <w:jc w:val="left"/>
              <w:rPr>
                <w:rFonts w:ascii="宋体" w:eastAsia="宋体" w:hAnsi="宋体" w:cs="宋体"/>
                <w:szCs w:val="21"/>
              </w:rPr>
            </w:pPr>
            <w:r>
              <w:rPr>
                <w:rFonts w:ascii="宋体" w:eastAsia="宋体" w:hAnsi="宋体" w:cs="宋体" w:hint="eastAsia"/>
                <w:szCs w:val="21"/>
              </w:rPr>
              <w:t>其他工资福利支出</w:t>
            </w:r>
          </w:p>
        </w:tc>
        <w:tc>
          <w:tcPr>
            <w:tcW w:w="1178" w:type="dxa"/>
            <w:shd w:val="clear" w:color="auto" w:fill="auto"/>
            <w:noWrap/>
          </w:tcPr>
          <w:p w14:paraId="67A5A66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1D8E4DC0">
            <w:pPr>
              <w:overflowPunct w:val="0"/>
              <w:autoSpaceDE w:val="0"/>
              <w:autoSpaceDN w:val="0"/>
              <w:rPr>
                <w:rFonts w:ascii="宋体" w:eastAsia="宋体" w:hAnsi="宋体" w:cs="宋体"/>
                <w:szCs w:val="21"/>
              </w:rPr>
            </w:pPr>
            <w:r>
              <w:rPr>
                <w:rFonts w:ascii="宋体" w:eastAsia="宋体" w:hAnsi="宋体" w:cs="宋体" w:hint="eastAsia"/>
                <w:szCs w:val="21"/>
              </w:rPr>
              <w:t>30214</w:t>
            </w:r>
          </w:p>
        </w:tc>
        <w:tc>
          <w:tcPr>
            <w:tcW w:w="2019" w:type="dxa"/>
            <w:shd w:val="clear" w:color="auto" w:fill="auto"/>
            <w:noWrap/>
          </w:tcPr>
          <w:p w14:paraId="1BBF1198">
            <w:pPr>
              <w:overflowPunct w:val="0"/>
              <w:autoSpaceDE w:val="0"/>
              <w:autoSpaceDN w:val="0"/>
              <w:jc w:val="left"/>
              <w:rPr>
                <w:rFonts w:ascii="宋体" w:eastAsia="宋体" w:hAnsi="宋体" w:cs="宋体"/>
                <w:szCs w:val="21"/>
              </w:rPr>
            </w:pPr>
            <w:r>
              <w:rPr>
                <w:rFonts w:ascii="宋体" w:eastAsia="宋体" w:hAnsi="宋体" w:cs="宋体" w:hint="eastAsia"/>
                <w:szCs w:val="21"/>
              </w:rPr>
              <w:t>租赁费</w:t>
            </w:r>
          </w:p>
        </w:tc>
        <w:tc>
          <w:tcPr>
            <w:tcW w:w="1047" w:type="dxa"/>
            <w:shd w:val="clear" w:color="auto" w:fill="auto"/>
            <w:noWrap/>
          </w:tcPr>
          <w:p w14:paraId="538C2F6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2.52</w:t>
            </w:r>
          </w:p>
        </w:tc>
        <w:tc>
          <w:tcPr>
            <w:tcW w:w="1099" w:type="dxa"/>
            <w:gridSpan w:val="2"/>
            <w:shd w:val="clear" w:color="auto" w:fill="auto"/>
            <w:noWrap/>
          </w:tcPr>
          <w:p w14:paraId="1807DF46">
            <w:pPr>
              <w:overflowPunct w:val="0"/>
              <w:autoSpaceDE w:val="0"/>
              <w:autoSpaceDN w:val="0"/>
              <w:rPr>
                <w:rFonts w:ascii="宋体" w:eastAsia="宋体" w:hAnsi="宋体" w:cs="宋体"/>
                <w:szCs w:val="21"/>
              </w:rPr>
            </w:pPr>
            <w:r>
              <w:rPr>
                <w:rFonts w:ascii="宋体" w:eastAsia="宋体" w:hAnsi="宋体" w:cs="宋体" w:hint="eastAsia"/>
                <w:szCs w:val="21"/>
              </w:rPr>
              <w:t>31012</w:t>
            </w:r>
          </w:p>
        </w:tc>
        <w:tc>
          <w:tcPr>
            <w:tcW w:w="2116" w:type="dxa"/>
            <w:gridSpan w:val="2"/>
            <w:shd w:val="clear" w:color="auto" w:fill="auto"/>
            <w:noWrap/>
          </w:tcPr>
          <w:p w14:paraId="3295BE45">
            <w:pPr>
              <w:overflowPunct w:val="0"/>
              <w:autoSpaceDE w:val="0"/>
              <w:autoSpaceDN w:val="0"/>
              <w:jc w:val="left"/>
              <w:rPr>
                <w:rFonts w:ascii="宋体" w:eastAsia="宋体" w:hAnsi="宋体" w:cs="宋体"/>
                <w:szCs w:val="21"/>
              </w:rPr>
            </w:pPr>
            <w:r>
              <w:rPr>
                <w:rFonts w:ascii="宋体" w:eastAsia="宋体" w:hAnsi="宋体" w:cs="宋体" w:hint="eastAsia"/>
                <w:szCs w:val="21"/>
              </w:rPr>
              <w:t>拆迁补偿</w:t>
            </w:r>
          </w:p>
        </w:tc>
        <w:tc>
          <w:tcPr>
            <w:tcW w:w="1183" w:type="dxa"/>
            <w:shd w:val="clear" w:color="auto" w:fill="auto"/>
            <w:noWrap/>
          </w:tcPr>
          <w:p w14:paraId="3AFABE1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0C51648">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41064EF4">
            <w:pPr>
              <w:overflowPunct w:val="0"/>
              <w:autoSpaceDE w:val="0"/>
              <w:autoSpaceDN w:val="0"/>
              <w:rPr>
                <w:rFonts w:ascii="宋体" w:eastAsia="宋体" w:hAnsi="宋体" w:cs="宋体"/>
                <w:szCs w:val="21"/>
              </w:rPr>
            </w:pPr>
            <w:r>
              <w:rPr>
                <w:rFonts w:ascii="宋体" w:eastAsia="宋体" w:hAnsi="宋体" w:cs="宋体" w:hint="eastAsia"/>
                <w:szCs w:val="21"/>
              </w:rPr>
              <w:t>303</w:t>
            </w:r>
          </w:p>
        </w:tc>
        <w:tc>
          <w:tcPr>
            <w:tcW w:w="2860" w:type="dxa"/>
            <w:shd w:val="clear" w:color="auto" w:fill="auto"/>
            <w:noWrap/>
          </w:tcPr>
          <w:p w14:paraId="52F8C012">
            <w:pPr>
              <w:overflowPunct w:val="0"/>
              <w:autoSpaceDE w:val="0"/>
              <w:autoSpaceDN w:val="0"/>
              <w:jc w:val="left"/>
              <w:rPr>
                <w:rFonts w:ascii="宋体" w:eastAsia="宋体" w:hAnsi="宋体" w:cs="宋体"/>
                <w:szCs w:val="21"/>
              </w:rPr>
            </w:pPr>
            <w:r>
              <w:rPr>
                <w:rFonts w:ascii="宋体" w:eastAsia="宋体" w:hAnsi="宋体" w:cs="宋体" w:hint="eastAsia"/>
                <w:szCs w:val="21"/>
              </w:rPr>
              <w:t>对个人和家庭的补助</w:t>
            </w:r>
          </w:p>
        </w:tc>
        <w:tc>
          <w:tcPr>
            <w:tcW w:w="1178" w:type="dxa"/>
            <w:shd w:val="clear" w:color="auto" w:fill="auto"/>
            <w:noWrap/>
          </w:tcPr>
          <w:p w14:paraId="59671B1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307.23</w:t>
            </w:r>
          </w:p>
        </w:tc>
        <w:tc>
          <w:tcPr>
            <w:tcW w:w="1261" w:type="dxa"/>
            <w:shd w:val="clear" w:color="auto" w:fill="auto"/>
            <w:noWrap/>
          </w:tcPr>
          <w:p w14:paraId="08AB637D">
            <w:pPr>
              <w:overflowPunct w:val="0"/>
              <w:autoSpaceDE w:val="0"/>
              <w:autoSpaceDN w:val="0"/>
              <w:rPr>
                <w:rFonts w:ascii="宋体" w:eastAsia="宋体" w:hAnsi="宋体" w:cs="宋体"/>
                <w:szCs w:val="21"/>
              </w:rPr>
            </w:pPr>
            <w:r>
              <w:rPr>
                <w:rFonts w:ascii="宋体" w:eastAsia="宋体" w:hAnsi="宋体" w:cs="宋体" w:hint="eastAsia"/>
                <w:szCs w:val="21"/>
              </w:rPr>
              <w:t>30215</w:t>
            </w:r>
          </w:p>
        </w:tc>
        <w:tc>
          <w:tcPr>
            <w:tcW w:w="2019" w:type="dxa"/>
            <w:shd w:val="clear" w:color="auto" w:fill="auto"/>
            <w:noWrap/>
          </w:tcPr>
          <w:p w14:paraId="5784F602">
            <w:pPr>
              <w:overflowPunct w:val="0"/>
              <w:autoSpaceDE w:val="0"/>
              <w:autoSpaceDN w:val="0"/>
              <w:jc w:val="left"/>
              <w:rPr>
                <w:rFonts w:ascii="宋体" w:eastAsia="宋体" w:hAnsi="宋体" w:cs="宋体"/>
                <w:szCs w:val="21"/>
              </w:rPr>
            </w:pPr>
            <w:r>
              <w:rPr>
                <w:rFonts w:ascii="宋体" w:eastAsia="宋体" w:hAnsi="宋体" w:cs="宋体" w:hint="eastAsia"/>
                <w:szCs w:val="21"/>
              </w:rPr>
              <w:t>会议费</w:t>
            </w:r>
          </w:p>
        </w:tc>
        <w:tc>
          <w:tcPr>
            <w:tcW w:w="1047" w:type="dxa"/>
            <w:shd w:val="clear" w:color="auto" w:fill="auto"/>
            <w:noWrap/>
          </w:tcPr>
          <w:p w14:paraId="7233662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3502D533">
            <w:pPr>
              <w:overflowPunct w:val="0"/>
              <w:autoSpaceDE w:val="0"/>
              <w:autoSpaceDN w:val="0"/>
              <w:rPr>
                <w:rFonts w:ascii="宋体" w:eastAsia="宋体" w:hAnsi="宋体" w:cs="宋体"/>
                <w:szCs w:val="21"/>
              </w:rPr>
            </w:pPr>
            <w:r>
              <w:rPr>
                <w:rFonts w:ascii="宋体" w:eastAsia="宋体" w:hAnsi="宋体" w:cs="宋体" w:hint="eastAsia"/>
                <w:szCs w:val="21"/>
              </w:rPr>
              <w:t>31013</w:t>
            </w:r>
          </w:p>
        </w:tc>
        <w:tc>
          <w:tcPr>
            <w:tcW w:w="2116" w:type="dxa"/>
            <w:gridSpan w:val="2"/>
            <w:shd w:val="clear" w:color="auto" w:fill="auto"/>
            <w:noWrap/>
          </w:tcPr>
          <w:p w14:paraId="3D0A175F">
            <w:pPr>
              <w:overflowPunct w:val="0"/>
              <w:autoSpaceDE w:val="0"/>
              <w:autoSpaceDN w:val="0"/>
              <w:jc w:val="left"/>
              <w:rPr>
                <w:rFonts w:ascii="宋体" w:eastAsia="宋体" w:hAnsi="宋体" w:cs="宋体"/>
                <w:szCs w:val="21"/>
              </w:rPr>
            </w:pPr>
            <w:r>
              <w:rPr>
                <w:rFonts w:ascii="宋体" w:eastAsia="宋体" w:hAnsi="宋体" w:cs="宋体" w:hint="eastAsia"/>
                <w:szCs w:val="21"/>
              </w:rPr>
              <w:t>公务用车购置</w:t>
            </w:r>
          </w:p>
        </w:tc>
        <w:tc>
          <w:tcPr>
            <w:tcW w:w="1183" w:type="dxa"/>
            <w:shd w:val="clear" w:color="auto" w:fill="auto"/>
            <w:noWrap/>
          </w:tcPr>
          <w:p w14:paraId="094E6CB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06B1A68">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0D493C00">
            <w:pPr>
              <w:overflowPunct w:val="0"/>
              <w:autoSpaceDE w:val="0"/>
              <w:autoSpaceDN w:val="0"/>
              <w:rPr>
                <w:rFonts w:ascii="宋体" w:eastAsia="宋体" w:hAnsi="宋体" w:cs="宋体"/>
                <w:szCs w:val="21"/>
              </w:rPr>
            </w:pPr>
            <w:r>
              <w:rPr>
                <w:rFonts w:ascii="宋体" w:eastAsia="宋体" w:hAnsi="宋体" w:cs="宋体" w:hint="eastAsia"/>
                <w:szCs w:val="21"/>
              </w:rPr>
              <w:t>30301</w:t>
            </w:r>
          </w:p>
        </w:tc>
        <w:tc>
          <w:tcPr>
            <w:tcW w:w="2860" w:type="dxa"/>
            <w:shd w:val="clear" w:color="auto" w:fill="auto"/>
            <w:noWrap/>
          </w:tcPr>
          <w:p w14:paraId="3107C193">
            <w:pPr>
              <w:overflowPunct w:val="0"/>
              <w:autoSpaceDE w:val="0"/>
              <w:autoSpaceDN w:val="0"/>
              <w:jc w:val="left"/>
              <w:rPr>
                <w:rFonts w:ascii="宋体" w:eastAsia="宋体" w:hAnsi="宋体" w:cs="宋体"/>
                <w:szCs w:val="21"/>
              </w:rPr>
            </w:pPr>
            <w:r>
              <w:rPr>
                <w:rFonts w:ascii="宋体" w:eastAsia="宋体" w:hAnsi="宋体" w:cs="宋体" w:hint="eastAsia"/>
                <w:szCs w:val="21"/>
              </w:rPr>
              <w:t>离休费</w:t>
            </w:r>
          </w:p>
        </w:tc>
        <w:tc>
          <w:tcPr>
            <w:tcW w:w="1178" w:type="dxa"/>
            <w:shd w:val="clear" w:color="auto" w:fill="auto"/>
            <w:noWrap/>
          </w:tcPr>
          <w:p w14:paraId="68E235B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6FD6069E">
            <w:pPr>
              <w:overflowPunct w:val="0"/>
              <w:autoSpaceDE w:val="0"/>
              <w:autoSpaceDN w:val="0"/>
              <w:rPr>
                <w:rFonts w:ascii="宋体" w:eastAsia="宋体" w:hAnsi="宋体" w:cs="宋体"/>
                <w:szCs w:val="21"/>
              </w:rPr>
            </w:pPr>
            <w:r>
              <w:rPr>
                <w:rFonts w:ascii="宋体" w:eastAsia="宋体" w:hAnsi="宋体" w:cs="宋体" w:hint="eastAsia"/>
                <w:szCs w:val="21"/>
              </w:rPr>
              <w:t>30216</w:t>
            </w:r>
          </w:p>
        </w:tc>
        <w:tc>
          <w:tcPr>
            <w:tcW w:w="2019" w:type="dxa"/>
            <w:shd w:val="clear" w:color="auto" w:fill="auto"/>
            <w:noWrap/>
          </w:tcPr>
          <w:p w14:paraId="39E6BB2A">
            <w:pPr>
              <w:overflowPunct w:val="0"/>
              <w:autoSpaceDE w:val="0"/>
              <w:autoSpaceDN w:val="0"/>
              <w:jc w:val="left"/>
              <w:rPr>
                <w:rFonts w:ascii="宋体" w:eastAsia="宋体" w:hAnsi="宋体" w:cs="宋体"/>
                <w:szCs w:val="21"/>
              </w:rPr>
            </w:pPr>
            <w:r>
              <w:rPr>
                <w:rFonts w:ascii="宋体" w:eastAsia="宋体" w:hAnsi="宋体" w:cs="宋体" w:hint="eastAsia"/>
                <w:szCs w:val="21"/>
              </w:rPr>
              <w:t>培训费</w:t>
            </w:r>
          </w:p>
        </w:tc>
        <w:tc>
          <w:tcPr>
            <w:tcW w:w="1047" w:type="dxa"/>
            <w:shd w:val="clear" w:color="auto" w:fill="auto"/>
            <w:noWrap/>
          </w:tcPr>
          <w:p w14:paraId="2849151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34.40</w:t>
            </w:r>
          </w:p>
        </w:tc>
        <w:tc>
          <w:tcPr>
            <w:tcW w:w="1099" w:type="dxa"/>
            <w:gridSpan w:val="2"/>
            <w:shd w:val="clear" w:color="auto" w:fill="auto"/>
            <w:noWrap/>
          </w:tcPr>
          <w:p w14:paraId="20CF86D5">
            <w:pPr>
              <w:overflowPunct w:val="0"/>
              <w:autoSpaceDE w:val="0"/>
              <w:autoSpaceDN w:val="0"/>
              <w:rPr>
                <w:rFonts w:ascii="宋体" w:eastAsia="宋体" w:hAnsi="宋体" w:cs="宋体"/>
                <w:szCs w:val="21"/>
              </w:rPr>
            </w:pPr>
            <w:r>
              <w:rPr>
                <w:rFonts w:ascii="宋体" w:eastAsia="宋体" w:hAnsi="宋体" w:cs="宋体" w:hint="eastAsia"/>
                <w:szCs w:val="21"/>
              </w:rPr>
              <w:t>31019</w:t>
            </w:r>
          </w:p>
        </w:tc>
        <w:tc>
          <w:tcPr>
            <w:tcW w:w="2116" w:type="dxa"/>
            <w:gridSpan w:val="2"/>
            <w:shd w:val="clear" w:color="auto" w:fill="auto"/>
            <w:noWrap/>
          </w:tcPr>
          <w:p w14:paraId="3C0A90E3">
            <w:pPr>
              <w:overflowPunct w:val="0"/>
              <w:autoSpaceDE w:val="0"/>
              <w:autoSpaceDN w:val="0"/>
              <w:jc w:val="left"/>
              <w:rPr>
                <w:rFonts w:ascii="宋体" w:eastAsia="宋体" w:hAnsi="宋体" w:cs="宋体"/>
                <w:szCs w:val="21"/>
              </w:rPr>
            </w:pPr>
            <w:r>
              <w:rPr>
                <w:rFonts w:ascii="宋体" w:eastAsia="宋体" w:hAnsi="宋体" w:cs="宋体" w:hint="eastAsia"/>
                <w:szCs w:val="21"/>
              </w:rPr>
              <w:t>其他交通工具购置</w:t>
            </w:r>
          </w:p>
        </w:tc>
        <w:tc>
          <w:tcPr>
            <w:tcW w:w="1183" w:type="dxa"/>
            <w:shd w:val="clear" w:color="auto" w:fill="auto"/>
            <w:noWrap/>
          </w:tcPr>
          <w:p w14:paraId="1C1B83C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634096CF">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76AD6106">
            <w:pPr>
              <w:overflowPunct w:val="0"/>
              <w:autoSpaceDE w:val="0"/>
              <w:autoSpaceDN w:val="0"/>
              <w:rPr>
                <w:rFonts w:ascii="宋体" w:eastAsia="宋体" w:hAnsi="宋体" w:cs="宋体"/>
                <w:szCs w:val="21"/>
              </w:rPr>
            </w:pPr>
            <w:r>
              <w:rPr>
                <w:rFonts w:ascii="宋体" w:eastAsia="宋体" w:hAnsi="宋体" w:cs="宋体" w:hint="eastAsia"/>
                <w:szCs w:val="21"/>
              </w:rPr>
              <w:t>30302</w:t>
            </w:r>
          </w:p>
        </w:tc>
        <w:tc>
          <w:tcPr>
            <w:tcW w:w="2860" w:type="dxa"/>
            <w:shd w:val="clear" w:color="auto" w:fill="auto"/>
            <w:noWrap/>
          </w:tcPr>
          <w:p w14:paraId="79AD6D3A">
            <w:pPr>
              <w:overflowPunct w:val="0"/>
              <w:autoSpaceDE w:val="0"/>
              <w:autoSpaceDN w:val="0"/>
              <w:jc w:val="left"/>
              <w:rPr>
                <w:rFonts w:ascii="宋体" w:eastAsia="宋体" w:hAnsi="宋体" w:cs="宋体"/>
                <w:szCs w:val="21"/>
              </w:rPr>
            </w:pPr>
            <w:r>
              <w:rPr>
                <w:rFonts w:ascii="宋体" w:eastAsia="宋体" w:hAnsi="宋体" w:cs="宋体" w:hint="eastAsia"/>
                <w:szCs w:val="21"/>
              </w:rPr>
              <w:t>退休费</w:t>
            </w:r>
          </w:p>
        </w:tc>
        <w:tc>
          <w:tcPr>
            <w:tcW w:w="1178" w:type="dxa"/>
            <w:shd w:val="clear" w:color="auto" w:fill="auto"/>
            <w:noWrap/>
          </w:tcPr>
          <w:p w14:paraId="5CE4521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295E8431">
            <w:pPr>
              <w:overflowPunct w:val="0"/>
              <w:autoSpaceDE w:val="0"/>
              <w:autoSpaceDN w:val="0"/>
              <w:rPr>
                <w:rFonts w:ascii="宋体" w:eastAsia="宋体" w:hAnsi="宋体" w:cs="宋体"/>
                <w:szCs w:val="21"/>
              </w:rPr>
            </w:pPr>
            <w:r>
              <w:rPr>
                <w:rFonts w:ascii="宋体" w:eastAsia="宋体" w:hAnsi="宋体" w:cs="宋体" w:hint="eastAsia"/>
                <w:szCs w:val="21"/>
              </w:rPr>
              <w:t>30217</w:t>
            </w:r>
          </w:p>
        </w:tc>
        <w:tc>
          <w:tcPr>
            <w:tcW w:w="2019" w:type="dxa"/>
            <w:shd w:val="clear" w:color="auto" w:fill="auto"/>
            <w:noWrap/>
          </w:tcPr>
          <w:p w14:paraId="25DC5B22">
            <w:pPr>
              <w:overflowPunct w:val="0"/>
              <w:autoSpaceDE w:val="0"/>
              <w:autoSpaceDN w:val="0"/>
              <w:jc w:val="left"/>
              <w:rPr>
                <w:rFonts w:ascii="宋体" w:eastAsia="宋体" w:hAnsi="宋体" w:cs="宋体"/>
                <w:szCs w:val="21"/>
              </w:rPr>
            </w:pPr>
            <w:r>
              <w:rPr>
                <w:rFonts w:ascii="宋体" w:eastAsia="宋体" w:hAnsi="宋体" w:cs="宋体" w:hint="eastAsia"/>
                <w:szCs w:val="21"/>
              </w:rPr>
              <w:t>公务接待费</w:t>
            </w:r>
          </w:p>
        </w:tc>
        <w:tc>
          <w:tcPr>
            <w:tcW w:w="1047" w:type="dxa"/>
            <w:shd w:val="clear" w:color="auto" w:fill="auto"/>
            <w:noWrap/>
          </w:tcPr>
          <w:p w14:paraId="7D1F326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15990D25">
            <w:pPr>
              <w:overflowPunct w:val="0"/>
              <w:autoSpaceDE w:val="0"/>
              <w:autoSpaceDN w:val="0"/>
              <w:rPr>
                <w:rFonts w:ascii="宋体" w:eastAsia="宋体" w:hAnsi="宋体" w:cs="宋体"/>
                <w:szCs w:val="21"/>
              </w:rPr>
            </w:pPr>
            <w:r>
              <w:rPr>
                <w:rFonts w:ascii="宋体" w:eastAsia="宋体" w:hAnsi="宋体" w:cs="宋体" w:hint="eastAsia"/>
                <w:szCs w:val="21"/>
              </w:rPr>
              <w:t>31021</w:t>
            </w:r>
          </w:p>
        </w:tc>
        <w:tc>
          <w:tcPr>
            <w:tcW w:w="2116" w:type="dxa"/>
            <w:gridSpan w:val="2"/>
            <w:shd w:val="clear" w:color="auto" w:fill="auto"/>
            <w:noWrap/>
          </w:tcPr>
          <w:p w14:paraId="3B00A44D">
            <w:pPr>
              <w:overflowPunct w:val="0"/>
              <w:autoSpaceDE w:val="0"/>
              <w:autoSpaceDN w:val="0"/>
              <w:jc w:val="left"/>
              <w:rPr>
                <w:rFonts w:ascii="宋体" w:eastAsia="宋体" w:hAnsi="宋体" w:cs="宋体"/>
                <w:szCs w:val="21"/>
              </w:rPr>
            </w:pPr>
            <w:r>
              <w:rPr>
                <w:rFonts w:ascii="宋体" w:eastAsia="宋体" w:hAnsi="宋体" w:cs="宋体" w:hint="eastAsia"/>
                <w:szCs w:val="21"/>
              </w:rPr>
              <w:t>文物和陈列品购置</w:t>
            </w:r>
          </w:p>
        </w:tc>
        <w:tc>
          <w:tcPr>
            <w:tcW w:w="1183" w:type="dxa"/>
            <w:shd w:val="clear" w:color="auto" w:fill="auto"/>
            <w:noWrap/>
          </w:tcPr>
          <w:p w14:paraId="3848249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AEC8DEF">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5C4C0127">
            <w:pPr>
              <w:overflowPunct w:val="0"/>
              <w:autoSpaceDE w:val="0"/>
              <w:autoSpaceDN w:val="0"/>
              <w:rPr>
                <w:rFonts w:ascii="宋体" w:eastAsia="宋体" w:hAnsi="宋体" w:cs="宋体"/>
                <w:szCs w:val="21"/>
              </w:rPr>
            </w:pPr>
            <w:r>
              <w:rPr>
                <w:rFonts w:ascii="宋体" w:eastAsia="宋体" w:hAnsi="宋体" w:cs="宋体" w:hint="eastAsia"/>
                <w:szCs w:val="21"/>
              </w:rPr>
              <w:t>30303</w:t>
            </w:r>
          </w:p>
        </w:tc>
        <w:tc>
          <w:tcPr>
            <w:tcW w:w="2860" w:type="dxa"/>
            <w:shd w:val="clear" w:color="auto" w:fill="auto"/>
            <w:noWrap/>
          </w:tcPr>
          <w:p w14:paraId="1229EB45">
            <w:pPr>
              <w:overflowPunct w:val="0"/>
              <w:autoSpaceDE w:val="0"/>
              <w:autoSpaceDN w:val="0"/>
              <w:jc w:val="left"/>
              <w:rPr>
                <w:rFonts w:ascii="宋体" w:eastAsia="宋体" w:hAnsi="宋体" w:cs="宋体"/>
                <w:szCs w:val="21"/>
              </w:rPr>
            </w:pPr>
            <w:r>
              <w:rPr>
                <w:rFonts w:ascii="宋体" w:eastAsia="宋体" w:hAnsi="宋体" w:cs="宋体" w:hint="eastAsia"/>
                <w:szCs w:val="21"/>
              </w:rPr>
              <w:t>退职（役）费</w:t>
            </w:r>
          </w:p>
        </w:tc>
        <w:tc>
          <w:tcPr>
            <w:tcW w:w="1178" w:type="dxa"/>
            <w:shd w:val="clear" w:color="auto" w:fill="auto"/>
            <w:noWrap/>
          </w:tcPr>
          <w:p w14:paraId="0DB5710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21FF5DCF">
            <w:pPr>
              <w:overflowPunct w:val="0"/>
              <w:autoSpaceDE w:val="0"/>
              <w:autoSpaceDN w:val="0"/>
              <w:rPr>
                <w:rFonts w:ascii="宋体" w:eastAsia="宋体" w:hAnsi="宋体" w:cs="宋体"/>
                <w:szCs w:val="21"/>
              </w:rPr>
            </w:pPr>
            <w:r>
              <w:rPr>
                <w:rFonts w:ascii="宋体" w:eastAsia="宋体" w:hAnsi="宋体" w:cs="宋体" w:hint="eastAsia"/>
                <w:szCs w:val="21"/>
              </w:rPr>
              <w:t>30218</w:t>
            </w:r>
          </w:p>
        </w:tc>
        <w:tc>
          <w:tcPr>
            <w:tcW w:w="2019" w:type="dxa"/>
            <w:shd w:val="clear" w:color="auto" w:fill="auto"/>
            <w:noWrap/>
          </w:tcPr>
          <w:p w14:paraId="6BAD1A76">
            <w:pPr>
              <w:overflowPunct w:val="0"/>
              <w:autoSpaceDE w:val="0"/>
              <w:autoSpaceDN w:val="0"/>
              <w:jc w:val="left"/>
              <w:rPr>
                <w:rFonts w:ascii="宋体" w:eastAsia="宋体" w:hAnsi="宋体" w:cs="宋体"/>
                <w:szCs w:val="21"/>
              </w:rPr>
            </w:pPr>
            <w:r>
              <w:rPr>
                <w:rFonts w:ascii="宋体" w:eastAsia="宋体" w:hAnsi="宋体" w:cs="宋体" w:hint="eastAsia"/>
                <w:szCs w:val="21"/>
              </w:rPr>
              <w:t>专用材料费</w:t>
            </w:r>
          </w:p>
        </w:tc>
        <w:tc>
          <w:tcPr>
            <w:tcW w:w="1047" w:type="dxa"/>
            <w:shd w:val="clear" w:color="auto" w:fill="auto"/>
            <w:noWrap/>
          </w:tcPr>
          <w:p w14:paraId="342046A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21.50</w:t>
            </w:r>
          </w:p>
        </w:tc>
        <w:tc>
          <w:tcPr>
            <w:tcW w:w="1099" w:type="dxa"/>
            <w:gridSpan w:val="2"/>
            <w:shd w:val="clear" w:color="auto" w:fill="auto"/>
            <w:noWrap/>
          </w:tcPr>
          <w:p w14:paraId="33C07F7F">
            <w:pPr>
              <w:overflowPunct w:val="0"/>
              <w:autoSpaceDE w:val="0"/>
              <w:autoSpaceDN w:val="0"/>
              <w:rPr>
                <w:rFonts w:ascii="宋体" w:eastAsia="宋体" w:hAnsi="宋体" w:cs="宋体"/>
                <w:szCs w:val="21"/>
              </w:rPr>
            </w:pPr>
            <w:r>
              <w:rPr>
                <w:rFonts w:ascii="宋体" w:eastAsia="宋体" w:hAnsi="宋体" w:cs="宋体" w:hint="eastAsia"/>
                <w:szCs w:val="21"/>
              </w:rPr>
              <w:t>31022</w:t>
            </w:r>
          </w:p>
        </w:tc>
        <w:tc>
          <w:tcPr>
            <w:tcW w:w="2116" w:type="dxa"/>
            <w:gridSpan w:val="2"/>
            <w:shd w:val="clear" w:color="auto" w:fill="auto"/>
            <w:noWrap/>
          </w:tcPr>
          <w:p w14:paraId="2C60B3D5">
            <w:pPr>
              <w:overflowPunct w:val="0"/>
              <w:autoSpaceDE w:val="0"/>
              <w:autoSpaceDN w:val="0"/>
              <w:jc w:val="left"/>
              <w:rPr>
                <w:rFonts w:ascii="宋体" w:eastAsia="宋体" w:hAnsi="宋体" w:cs="宋体"/>
                <w:szCs w:val="21"/>
              </w:rPr>
            </w:pPr>
            <w:r>
              <w:rPr>
                <w:rFonts w:ascii="宋体" w:eastAsia="宋体" w:hAnsi="宋体" w:cs="宋体" w:hint="eastAsia"/>
                <w:szCs w:val="21"/>
              </w:rPr>
              <w:t>无形资产购置</w:t>
            </w:r>
          </w:p>
        </w:tc>
        <w:tc>
          <w:tcPr>
            <w:tcW w:w="1183" w:type="dxa"/>
            <w:shd w:val="clear" w:color="auto" w:fill="auto"/>
            <w:noWrap/>
          </w:tcPr>
          <w:p w14:paraId="6B00AD5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0B1FA1C">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0CB32A46">
            <w:pPr>
              <w:overflowPunct w:val="0"/>
              <w:autoSpaceDE w:val="0"/>
              <w:autoSpaceDN w:val="0"/>
              <w:rPr>
                <w:rFonts w:ascii="宋体" w:eastAsia="宋体" w:hAnsi="宋体" w:cs="宋体"/>
                <w:szCs w:val="21"/>
              </w:rPr>
            </w:pPr>
            <w:r>
              <w:rPr>
                <w:rFonts w:ascii="宋体" w:eastAsia="宋体" w:hAnsi="宋体" w:cs="宋体" w:hint="eastAsia"/>
                <w:szCs w:val="21"/>
              </w:rPr>
              <w:t>30304</w:t>
            </w:r>
          </w:p>
        </w:tc>
        <w:tc>
          <w:tcPr>
            <w:tcW w:w="2860" w:type="dxa"/>
            <w:shd w:val="clear" w:color="auto" w:fill="auto"/>
            <w:noWrap/>
          </w:tcPr>
          <w:p w14:paraId="42E882E8">
            <w:pPr>
              <w:overflowPunct w:val="0"/>
              <w:autoSpaceDE w:val="0"/>
              <w:autoSpaceDN w:val="0"/>
              <w:jc w:val="left"/>
              <w:rPr>
                <w:rFonts w:ascii="宋体" w:eastAsia="宋体" w:hAnsi="宋体" w:cs="宋体"/>
                <w:szCs w:val="21"/>
              </w:rPr>
            </w:pPr>
            <w:r>
              <w:rPr>
                <w:rFonts w:ascii="宋体" w:eastAsia="宋体" w:hAnsi="宋体" w:cs="宋体" w:hint="eastAsia"/>
                <w:szCs w:val="21"/>
              </w:rPr>
              <w:t>抚恤金</w:t>
            </w:r>
          </w:p>
        </w:tc>
        <w:tc>
          <w:tcPr>
            <w:tcW w:w="1178" w:type="dxa"/>
            <w:shd w:val="clear" w:color="auto" w:fill="auto"/>
            <w:noWrap/>
          </w:tcPr>
          <w:p w14:paraId="2718467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420D4D33">
            <w:pPr>
              <w:overflowPunct w:val="0"/>
              <w:autoSpaceDE w:val="0"/>
              <w:autoSpaceDN w:val="0"/>
              <w:rPr>
                <w:rFonts w:ascii="宋体" w:eastAsia="宋体" w:hAnsi="宋体" w:cs="宋体"/>
                <w:szCs w:val="21"/>
              </w:rPr>
            </w:pPr>
            <w:r>
              <w:rPr>
                <w:rFonts w:ascii="宋体" w:eastAsia="宋体" w:hAnsi="宋体" w:cs="宋体" w:hint="eastAsia"/>
                <w:szCs w:val="21"/>
              </w:rPr>
              <w:t>30224</w:t>
            </w:r>
          </w:p>
        </w:tc>
        <w:tc>
          <w:tcPr>
            <w:tcW w:w="2019" w:type="dxa"/>
            <w:shd w:val="clear" w:color="auto" w:fill="auto"/>
            <w:noWrap/>
          </w:tcPr>
          <w:p w14:paraId="020379C9">
            <w:pPr>
              <w:overflowPunct w:val="0"/>
              <w:autoSpaceDE w:val="0"/>
              <w:autoSpaceDN w:val="0"/>
              <w:jc w:val="left"/>
              <w:rPr>
                <w:rFonts w:ascii="宋体" w:eastAsia="宋体" w:hAnsi="宋体" w:cs="宋体"/>
                <w:szCs w:val="21"/>
              </w:rPr>
            </w:pPr>
            <w:r>
              <w:rPr>
                <w:rFonts w:ascii="宋体" w:eastAsia="宋体" w:hAnsi="宋体" w:cs="宋体" w:hint="eastAsia"/>
                <w:szCs w:val="21"/>
              </w:rPr>
              <w:t>被装购置费</w:t>
            </w:r>
          </w:p>
        </w:tc>
        <w:tc>
          <w:tcPr>
            <w:tcW w:w="1047" w:type="dxa"/>
            <w:shd w:val="clear" w:color="auto" w:fill="auto"/>
            <w:noWrap/>
          </w:tcPr>
          <w:p w14:paraId="4C78F73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0AC02B35">
            <w:pPr>
              <w:overflowPunct w:val="0"/>
              <w:autoSpaceDE w:val="0"/>
              <w:autoSpaceDN w:val="0"/>
              <w:rPr>
                <w:rFonts w:ascii="宋体" w:eastAsia="宋体" w:hAnsi="宋体" w:cs="宋体"/>
                <w:szCs w:val="21"/>
              </w:rPr>
            </w:pPr>
            <w:r>
              <w:rPr>
                <w:rFonts w:ascii="宋体" w:eastAsia="宋体" w:hAnsi="宋体" w:cs="宋体" w:hint="eastAsia"/>
                <w:szCs w:val="21"/>
              </w:rPr>
              <w:t>31099</w:t>
            </w:r>
          </w:p>
        </w:tc>
        <w:tc>
          <w:tcPr>
            <w:tcW w:w="2116" w:type="dxa"/>
            <w:gridSpan w:val="2"/>
            <w:shd w:val="clear" w:color="auto" w:fill="auto"/>
            <w:noWrap/>
          </w:tcPr>
          <w:p w14:paraId="33BA8148">
            <w:pPr>
              <w:overflowPunct w:val="0"/>
              <w:autoSpaceDE w:val="0"/>
              <w:autoSpaceDN w:val="0"/>
              <w:jc w:val="left"/>
              <w:rPr>
                <w:rFonts w:ascii="宋体" w:eastAsia="宋体" w:hAnsi="宋体" w:cs="宋体"/>
                <w:szCs w:val="21"/>
              </w:rPr>
            </w:pPr>
            <w:r>
              <w:rPr>
                <w:rFonts w:ascii="宋体" w:eastAsia="宋体" w:hAnsi="宋体" w:cs="宋体" w:hint="eastAsia"/>
                <w:szCs w:val="21"/>
              </w:rPr>
              <w:t>其他资本性支出</w:t>
            </w:r>
          </w:p>
        </w:tc>
        <w:tc>
          <w:tcPr>
            <w:tcW w:w="1183" w:type="dxa"/>
            <w:shd w:val="clear" w:color="auto" w:fill="auto"/>
            <w:noWrap/>
          </w:tcPr>
          <w:p w14:paraId="2C7A0F5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0.95</w:t>
            </w:r>
          </w:p>
        </w:tc>
      </w:tr>
      <w:tr w14:paraId="0A66D3B2">
        <w:tblPrEx>
          <w:tblW w:w="13878" w:type="dxa"/>
          <w:tblInd w:w="-318" w:type="dxa"/>
          <w:tblLayout w:type="fixed"/>
          <w:tblCellMar>
            <w:top w:w="0" w:type="dxa"/>
            <w:left w:w="108" w:type="dxa"/>
            <w:bottom w:w="0" w:type="dxa"/>
            <w:right w:w="108" w:type="dxa"/>
          </w:tblCellMar>
        </w:tblPrEx>
        <w:trPr>
          <w:trHeight w:val="391"/>
        </w:trPr>
        <w:tc>
          <w:tcPr>
            <w:tcW w:w="1115" w:type="dxa"/>
            <w:shd w:val="clear" w:color="auto" w:fill="auto"/>
            <w:noWrap/>
          </w:tcPr>
          <w:p w14:paraId="1D878DD1">
            <w:pPr>
              <w:overflowPunct w:val="0"/>
              <w:autoSpaceDE w:val="0"/>
              <w:autoSpaceDN w:val="0"/>
              <w:rPr>
                <w:rFonts w:ascii="宋体" w:eastAsia="宋体" w:hAnsi="宋体" w:cs="宋体"/>
                <w:szCs w:val="21"/>
              </w:rPr>
            </w:pPr>
            <w:r>
              <w:rPr>
                <w:rFonts w:ascii="宋体" w:eastAsia="宋体" w:hAnsi="宋体" w:cs="宋体" w:hint="eastAsia"/>
                <w:szCs w:val="21"/>
              </w:rPr>
              <w:t>30305</w:t>
            </w:r>
          </w:p>
        </w:tc>
        <w:tc>
          <w:tcPr>
            <w:tcW w:w="2860" w:type="dxa"/>
            <w:shd w:val="clear" w:color="auto" w:fill="auto"/>
            <w:noWrap/>
          </w:tcPr>
          <w:p w14:paraId="55BC2BC7">
            <w:pPr>
              <w:overflowPunct w:val="0"/>
              <w:autoSpaceDE w:val="0"/>
              <w:autoSpaceDN w:val="0"/>
              <w:jc w:val="left"/>
              <w:rPr>
                <w:rFonts w:ascii="宋体" w:eastAsia="宋体" w:hAnsi="宋体" w:cs="宋体"/>
                <w:szCs w:val="21"/>
              </w:rPr>
            </w:pPr>
            <w:r>
              <w:rPr>
                <w:rFonts w:ascii="宋体" w:eastAsia="宋体" w:hAnsi="宋体" w:cs="宋体" w:hint="eastAsia"/>
                <w:szCs w:val="21"/>
              </w:rPr>
              <w:t>生活补助</w:t>
            </w:r>
          </w:p>
        </w:tc>
        <w:tc>
          <w:tcPr>
            <w:tcW w:w="1178" w:type="dxa"/>
            <w:shd w:val="clear" w:color="auto" w:fill="auto"/>
            <w:noWrap/>
          </w:tcPr>
          <w:p w14:paraId="4DC3B97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7C6F8CE5">
            <w:pPr>
              <w:overflowPunct w:val="0"/>
              <w:autoSpaceDE w:val="0"/>
              <w:autoSpaceDN w:val="0"/>
              <w:rPr>
                <w:rFonts w:ascii="宋体" w:eastAsia="宋体" w:hAnsi="宋体" w:cs="宋体"/>
                <w:szCs w:val="21"/>
              </w:rPr>
            </w:pPr>
            <w:r>
              <w:rPr>
                <w:rFonts w:ascii="宋体" w:eastAsia="宋体" w:hAnsi="宋体" w:cs="宋体" w:hint="eastAsia"/>
                <w:szCs w:val="21"/>
              </w:rPr>
              <w:t>30225</w:t>
            </w:r>
          </w:p>
        </w:tc>
        <w:tc>
          <w:tcPr>
            <w:tcW w:w="2019" w:type="dxa"/>
            <w:shd w:val="clear" w:color="auto" w:fill="auto"/>
            <w:noWrap/>
          </w:tcPr>
          <w:p w14:paraId="5EE89770">
            <w:pPr>
              <w:overflowPunct w:val="0"/>
              <w:autoSpaceDE w:val="0"/>
              <w:autoSpaceDN w:val="0"/>
              <w:jc w:val="left"/>
              <w:rPr>
                <w:rFonts w:ascii="宋体" w:eastAsia="宋体" w:hAnsi="宋体" w:cs="宋体"/>
                <w:szCs w:val="21"/>
              </w:rPr>
            </w:pPr>
            <w:r>
              <w:rPr>
                <w:rFonts w:ascii="宋体" w:eastAsia="宋体" w:hAnsi="宋体" w:cs="宋体" w:hint="eastAsia"/>
                <w:szCs w:val="21"/>
              </w:rPr>
              <w:t>专用燃料费</w:t>
            </w:r>
          </w:p>
        </w:tc>
        <w:tc>
          <w:tcPr>
            <w:tcW w:w="1047" w:type="dxa"/>
            <w:shd w:val="clear" w:color="auto" w:fill="auto"/>
            <w:noWrap/>
          </w:tcPr>
          <w:p w14:paraId="16A0FCB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10BA7842">
            <w:pPr>
              <w:overflowPunct w:val="0"/>
              <w:autoSpaceDE w:val="0"/>
              <w:autoSpaceDN w:val="0"/>
              <w:rPr>
                <w:rFonts w:ascii="宋体" w:eastAsia="宋体" w:hAnsi="宋体" w:cs="宋体"/>
                <w:szCs w:val="21"/>
              </w:rPr>
            </w:pPr>
            <w:r>
              <w:rPr>
                <w:rFonts w:ascii="宋体" w:eastAsia="宋体" w:hAnsi="宋体" w:cs="宋体" w:hint="eastAsia"/>
                <w:szCs w:val="21"/>
              </w:rPr>
              <w:t>312</w:t>
            </w:r>
          </w:p>
        </w:tc>
        <w:tc>
          <w:tcPr>
            <w:tcW w:w="2116" w:type="dxa"/>
            <w:gridSpan w:val="2"/>
            <w:shd w:val="clear" w:color="auto" w:fill="auto"/>
          </w:tcPr>
          <w:p w14:paraId="7FD30E8E">
            <w:pPr>
              <w:overflowPunct w:val="0"/>
              <w:autoSpaceDE w:val="0"/>
              <w:autoSpaceDN w:val="0"/>
              <w:jc w:val="left"/>
              <w:rPr>
                <w:rFonts w:ascii="宋体" w:eastAsia="宋体" w:hAnsi="宋体" w:cs="宋体"/>
                <w:szCs w:val="21"/>
              </w:rPr>
            </w:pPr>
            <w:r>
              <w:rPr>
                <w:rFonts w:ascii="宋体" w:eastAsia="宋体" w:hAnsi="宋体" w:cs="宋体" w:hint="eastAsia"/>
                <w:szCs w:val="21"/>
              </w:rPr>
              <w:t>对企业补助</w:t>
            </w:r>
          </w:p>
        </w:tc>
        <w:tc>
          <w:tcPr>
            <w:tcW w:w="1183" w:type="dxa"/>
            <w:shd w:val="clear" w:color="auto" w:fill="auto"/>
            <w:noWrap/>
          </w:tcPr>
          <w:p w14:paraId="7D51658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4409095A">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54B5EE97">
            <w:pPr>
              <w:overflowPunct w:val="0"/>
              <w:autoSpaceDE w:val="0"/>
              <w:autoSpaceDN w:val="0"/>
              <w:rPr>
                <w:rFonts w:ascii="宋体" w:eastAsia="宋体" w:hAnsi="宋体" w:cs="宋体"/>
                <w:szCs w:val="21"/>
              </w:rPr>
            </w:pPr>
            <w:r>
              <w:rPr>
                <w:rFonts w:ascii="宋体" w:eastAsia="宋体" w:hAnsi="宋体" w:cs="宋体" w:hint="eastAsia"/>
                <w:szCs w:val="21"/>
              </w:rPr>
              <w:t>30306</w:t>
            </w:r>
          </w:p>
        </w:tc>
        <w:tc>
          <w:tcPr>
            <w:tcW w:w="2860" w:type="dxa"/>
            <w:shd w:val="clear" w:color="auto" w:fill="auto"/>
            <w:noWrap/>
          </w:tcPr>
          <w:p w14:paraId="349A91AD">
            <w:pPr>
              <w:overflowPunct w:val="0"/>
              <w:autoSpaceDE w:val="0"/>
              <w:autoSpaceDN w:val="0"/>
              <w:jc w:val="left"/>
              <w:rPr>
                <w:rFonts w:ascii="宋体" w:eastAsia="宋体" w:hAnsi="宋体" w:cs="宋体"/>
                <w:szCs w:val="21"/>
              </w:rPr>
            </w:pPr>
            <w:r>
              <w:rPr>
                <w:rFonts w:ascii="宋体" w:eastAsia="宋体" w:hAnsi="宋体" w:cs="宋体" w:hint="eastAsia"/>
                <w:szCs w:val="21"/>
              </w:rPr>
              <w:t>救济费</w:t>
            </w:r>
          </w:p>
        </w:tc>
        <w:tc>
          <w:tcPr>
            <w:tcW w:w="1178" w:type="dxa"/>
            <w:shd w:val="clear" w:color="auto" w:fill="auto"/>
            <w:noWrap/>
          </w:tcPr>
          <w:p w14:paraId="16A3943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17408E14">
            <w:pPr>
              <w:overflowPunct w:val="0"/>
              <w:autoSpaceDE w:val="0"/>
              <w:autoSpaceDN w:val="0"/>
              <w:rPr>
                <w:rFonts w:ascii="宋体" w:eastAsia="宋体" w:hAnsi="宋体" w:cs="宋体"/>
                <w:szCs w:val="21"/>
              </w:rPr>
            </w:pPr>
            <w:r>
              <w:rPr>
                <w:rFonts w:ascii="宋体" w:eastAsia="宋体" w:hAnsi="宋体" w:cs="宋体" w:hint="eastAsia"/>
                <w:szCs w:val="21"/>
              </w:rPr>
              <w:t>30226</w:t>
            </w:r>
          </w:p>
        </w:tc>
        <w:tc>
          <w:tcPr>
            <w:tcW w:w="2019" w:type="dxa"/>
            <w:shd w:val="clear" w:color="auto" w:fill="auto"/>
            <w:noWrap/>
          </w:tcPr>
          <w:p w14:paraId="64E5A444">
            <w:pPr>
              <w:overflowPunct w:val="0"/>
              <w:autoSpaceDE w:val="0"/>
              <w:autoSpaceDN w:val="0"/>
              <w:jc w:val="left"/>
              <w:rPr>
                <w:rFonts w:ascii="宋体" w:eastAsia="宋体" w:hAnsi="宋体" w:cs="宋体"/>
                <w:szCs w:val="21"/>
              </w:rPr>
            </w:pPr>
            <w:r>
              <w:rPr>
                <w:rFonts w:ascii="宋体" w:eastAsia="宋体" w:hAnsi="宋体" w:cs="宋体" w:hint="eastAsia"/>
                <w:szCs w:val="21"/>
              </w:rPr>
              <w:t>劳务费</w:t>
            </w:r>
          </w:p>
        </w:tc>
        <w:tc>
          <w:tcPr>
            <w:tcW w:w="1047" w:type="dxa"/>
            <w:shd w:val="clear" w:color="auto" w:fill="auto"/>
            <w:noWrap/>
          </w:tcPr>
          <w:p w14:paraId="58894D7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420.34</w:t>
            </w:r>
          </w:p>
        </w:tc>
        <w:tc>
          <w:tcPr>
            <w:tcW w:w="1099" w:type="dxa"/>
            <w:gridSpan w:val="2"/>
            <w:shd w:val="clear" w:color="auto" w:fill="auto"/>
            <w:noWrap/>
          </w:tcPr>
          <w:p w14:paraId="55C05589">
            <w:pPr>
              <w:overflowPunct w:val="0"/>
              <w:autoSpaceDE w:val="0"/>
              <w:autoSpaceDN w:val="0"/>
              <w:rPr>
                <w:rFonts w:ascii="宋体" w:eastAsia="宋体" w:hAnsi="宋体" w:cs="宋体"/>
                <w:szCs w:val="21"/>
              </w:rPr>
            </w:pPr>
            <w:r>
              <w:rPr>
                <w:rFonts w:ascii="宋体" w:eastAsia="宋体" w:hAnsi="宋体" w:cs="宋体" w:hint="eastAsia"/>
                <w:szCs w:val="21"/>
              </w:rPr>
              <w:t>31201</w:t>
            </w:r>
          </w:p>
        </w:tc>
        <w:tc>
          <w:tcPr>
            <w:tcW w:w="2116" w:type="dxa"/>
            <w:gridSpan w:val="2"/>
            <w:shd w:val="clear" w:color="auto" w:fill="auto"/>
            <w:noWrap/>
          </w:tcPr>
          <w:p w14:paraId="636E290E">
            <w:pPr>
              <w:overflowPunct w:val="0"/>
              <w:autoSpaceDE w:val="0"/>
              <w:autoSpaceDN w:val="0"/>
              <w:jc w:val="left"/>
              <w:rPr>
                <w:rFonts w:ascii="宋体" w:eastAsia="宋体" w:hAnsi="宋体" w:cs="宋体"/>
                <w:szCs w:val="21"/>
              </w:rPr>
            </w:pPr>
            <w:r>
              <w:rPr>
                <w:rFonts w:ascii="宋体" w:eastAsia="宋体" w:hAnsi="宋体" w:cs="宋体" w:hint="eastAsia"/>
                <w:szCs w:val="21"/>
              </w:rPr>
              <w:t>资本金注入</w:t>
            </w:r>
          </w:p>
        </w:tc>
        <w:tc>
          <w:tcPr>
            <w:tcW w:w="1183" w:type="dxa"/>
            <w:shd w:val="clear" w:color="auto" w:fill="auto"/>
            <w:noWrap/>
          </w:tcPr>
          <w:p w14:paraId="651E888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0B69A5A1">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504BD830">
            <w:pPr>
              <w:overflowPunct w:val="0"/>
              <w:autoSpaceDE w:val="0"/>
              <w:autoSpaceDN w:val="0"/>
              <w:rPr>
                <w:rFonts w:ascii="宋体" w:eastAsia="宋体" w:hAnsi="宋体" w:cs="宋体"/>
                <w:szCs w:val="21"/>
              </w:rPr>
            </w:pPr>
            <w:r>
              <w:rPr>
                <w:rFonts w:ascii="宋体" w:eastAsia="宋体" w:hAnsi="宋体" w:cs="宋体" w:hint="eastAsia"/>
                <w:szCs w:val="21"/>
              </w:rPr>
              <w:t>30307</w:t>
            </w:r>
          </w:p>
        </w:tc>
        <w:tc>
          <w:tcPr>
            <w:tcW w:w="2860" w:type="dxa"/>
            <w:shd w:val="clear" w:color="auto" w:fill="auto"/>
            <w:noWrap/>
          </w:tcPr>
          <w:p w14:paraId="6B7E8063">
            <w:pPr>
              <w:overflowPunct w:val="0"/>
              <w:autoSpaceDE w:val="0"/>
              <w:autoSpaceDN w:val="0"/>
              <w:jc w:val="left"/>
              <w:rPr>
                <w:rFonts w:ascii="宋体" w:eastAsia="宋体" w:hAnsi="宋体" w:cs="宋体"/>
                <w:szCs w:val="21"/>
              </w:rPr>
            </w:pPr>
            <w:r>
              <w:rPr>
                <w:rFonts w:ascii="宋体" w:eastAsia="宋体" w:hAnsi="宋体" w:cs="宋体" w:hint="eastAsia"/>
                <w:szCs w:val="21"/>
              </w:rPr>
              <w:t>医疗费补助</w:t>
            </w:r>
          </w:p>
        </w:tc>
        <w:tc>
          <w:tcPr>
            <w:tcW w:w="1178" w:type="dxa"/>
            <w:shd w:val="clear" w:color="auto" w:fill="auto"/>
            <w:noWrap/>
          </w:tcPr>
          <w:p w14:paraId="5639808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61412A17">
            <w:pPr>
              <w:overflowPunct w:val="0"/>
              <w:autoSpaceDE w:val="0"/>
              <w:autoSpaceDN w:val="0"/>
              <w:rPr>
                <w:rFonts w:ascii="宋体" w:eastAsia="宋体" w:hAnsi="宋体" w:cs="宋体"/>
                <w:szCs w:val="21"/>
              </w:rPr>
            </w:pPr>
            <w:r>
              <w:rPr>
                <w:rFonts w:ascii="宋体" w:eastAsia="宋体" w:hAnsi="宋体" w:cs="宋体" w:hint="eastAsia"/>
                <w:szCs w:val="21"/>
              </w:rPr>
              <w:t>30227</w:t>
            </w:r>
          </w:p>
        </w:tc>
        <w:tc>
          <w:tcPr>
            <w:tcW w:w="2019" w:type="dxa"/>
            <w:shd w:val="clear" w:color="auto" w:fill="auto"/>
            <w:noWrap/>
          </w:tcPr>
          <w:p w14:paraId="2D70115B">
            <w:pPr>
              <w:overflowPunct w:val="0"/>
              <w:autoSpaceDE w:val="0"/>
              <w:autoSpaceDN w:val="0"/>
              <w:jc w:val="left"/>
              <w:rPr>
                <w:rFonts w:ascii="宋体" w:eastAsia="宋体" w:hAnsi="宋体" w:cs="宋体"/>
                <w:szCs w:val="21"/>
              </w:rPr>
            </w:pPr>
            <w:r>
              <w:rPr>
                <w:rFonts w:ascii="宋体" w:eastAsia="宋体" w:hAnsi="宋体" w:cs="宋体" w:hint="eastAsia"/>
                <w:szCs w:val="21"/>
              </w:rPr>
              <w:t>委托业务费</w:t>
            </w:r>
          </w:p>
        </w:tc>
        <w:tc>
          <w:tcPr>
            <w:tcW w:w="1047" w:type="dxa"/>
            <w:shd w:val="clear" w:color="auto" w:fill="auto"/>
            <w:noWrap/>
          </w:tcPr>
          <w:p w14:paraId="0CF93B5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8.50</w:t>
            </w:r>
          </w:p>
        </w:tc>
        <w:tc>
          <w:tcPr>
            <w:tcW w:w="1099" w:type="dxa"/>
            <w:gridSpan w:val="2"/>
            <w:shd w:val="clear" w:color="auto" w:fill="auto"/>
            <w:noWrap/>
          </w:tcPr>
          <w:p w14:paraId="56192026">
            <w:pPr>
              <w:overflowPunct w:val="0"/>
              <w:autoSpaceDE w:val="0"/>
              <w:autoSpaceDN w:val="0"/>
              <w:rPr>
                <w:rFonts w:ascii="宋体" w:eastAsia="宋体" w:hAnsi="宋体" w:cs="宋体"/>
                <w:szCs w:val="21"/>
              </w:rPr>
            </w:pPr>
            <w:r>
              <w:rPr>
                <w:rFonts w:ascii="宋体" w:eastAsia="宋体" w:hAnsi="宋体" w:cs="宋体" w:hint="eastAsia"/>
                <w:szCs w:val="21"/>
              </w:rPr>
              <w:t>31203</w:t>
            </w:r>
          </w:p>
        </w:tc>
        <w:tc>
          <w:tcPr>
            <w:tcW w:w="2116" w:type="dxa"/>
            <w:gridSpan w:val="2"/>
            <w:shd w:val="clear" w:color="auto" w:fill="auto"/>
            <w:noWrap/>
          </w:tcPr>
          <w:p w14:paraId="7DA8C944">
            <w:pPr>
              <w:overflowPunct w:val="0"/>
              <w:autoSpaceDE w:val="0"/>
              <w:autoSpaceDN w:val="0"/>
              <w:jc w:val="left"/>
              <w:rPr>
                <w:rFonts w:ascii="宋体" w:eastAsia="宋体" w:hAnsi="宋体" w:cs="宋体"/>
                <w:szCs w:val="21"/>
              </w:rPr>
            </w:pPr>
            <w:r>
              <w:rPr>
                <w:rFonts w:ascii="宋体" w:eastAsia="宋体" w:hAnsi="宋体" w:cs="宋体" w:hint="eastAsia"/>
                <w:szCs w:val="21"/>
              </w:rPr>
              <w:t>政府投资基金股权投资</w:t>
            </w:r>
          </w:p>
        </w:tc>
        <w:tc>
          <w:tcPr>
            <w:tcW w:w="1183" w:type="dxa"/>
            <w:shd w:val="clear" w:color="auto" w:fill="auto"/>
            <w:noWrap/>
          </w:tcPr>
          <w:p w14:paraId="008BDF0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05389C8">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59F9301B">
            <w:pPr>
              <w:overflowPunct w:val="0"/>
              <w:autoSpaceDE w:val="0"/>
              <w:autoSpaceDN w:val="0"/>
              <w:rPr>
                <w:rFonts w:ascii="宋体" w:eastAsia="宋体" w:hAnsi="宋体" w:cs="宋体"/>
                <w:szCs w:val="21"/>
              </w:rPr>
            </w:pPr>
            <w:r>
              <w:rPr>
                <w:rFonts w:ascii="宋体" w:eastAsia="宋体" w:hAnsi="宋体" w:cs="宋体" w:hint="eastAsia"/>
                <w:szCs w:val="21"/>
              </w:rPr>
              <w:t>30308</w:t>
            </w:r>
          </w:p>
        </w:tc>
        <w:tc>
          <w:tcPr>
            <w:tcW w:w="2860" w:type="dxa"/>
            <w:shd w:val="clear" w:color="auto" w:fill="auto"/>
            <w:noWrap/>
          </w:tcPr>
          <w:p w14:paraId="767875FC">
            <w:pPr>
              <w:overflowPunct w:val="0"/>
              <w:autoSpaceDE w:val="0"/>
              <w:autoSpaceDN w:val="0"/>
              <w:jc w:val="left"/>
              <w:rPr>
                <w:rFonts w:ascii="宋体" w:eastAsia="宋体" w:hAnsi="宋体" w:cs="宋体"/>
                <w:szCs w:val="21"/>
              </w:rPr>
            </w:pPr>
            <w:r>
              <w:rPr>
                <w:rFonts w:ascii="宋体" w:eastAsia="宋体" w:hAnsi="宋体" w:cs="宋体" w:hint="eastAsia"/>
                <w:szCs w:val="21"/>
              </w:rPr>
              <w:t>助学金</w:t>
            </w:r>
          </w:p>
        </w:tc>
        <w:tc>
          <w:tcPr>
            <w:tcW w:w="1178" w:type="dxa"/>
            <w:shd w:val="clear" w:color="auto" w:fill="auto"/>
            <w:noWrap/>
          </w:tcPr>
          <w:p w14:paraId="323B7C2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45D0ED46">
            <w:pPr>
              <w:overflowPunct w:val="0"/>
              <w:autoSpaceDE w:val="0"/>
              <w:autoSpaceDN w:val="0"/>
              <w:rPr>
                <w:rFonts w:ascii="宋体" w:eastAsia="宋体" w:hAnsi="宋体" w:cs="宋体"/>
                <w:szCs w:val="21"/>
              </w:rPr>
            </w:pPr>
            <w:r>
              <w:rPr>
                <w:rFonts w:ascii="宋体" w:eastAsia="宋体" w:hAnsi="宋体" w:cs="宋体" w:hint="eastAsia"/>
                <w:szCs w:val="21"/>
              </w:rPr>
              <w:t>30228</w:t>
            </w:r>
          </w:p>
        </w:tc>
        <w:tc>
          <w:tcPr>
            <w:tcW w:w="2019" w:type="dxa"/>
            <w:shd w:val="clear" w:color="auto" w:fill="auto"/>
            <w:noWrap/>
          </w:tcPr>
          <w:p w14:paraId="4C8FF7BB">
            <w:pPr>
              <w:overflowPunct w:val="0"/>
              <w:autoSpaceDE w:val="0"/>
              <w:autoSpaceDN w:val="0"/>
              <w:jc w:val="left"/>
              <w:rPr>
                <w:rFonts w:ascii="宋体" w:eastAsia="宋体" w:hAnsi="宋体" w:cs="宋体"/>
                <w:szCs w:val="21"/>
              </w:rPr>
            </w:pPr>
            <w:r>
              <w:rPr>
                <w:rFonts w:ascii="宋体" w:eastAsia="宋体" w:hAnsi="宋体" w:cs="宋体" w:hint="eastAsia"/>
                <w:szCs w:val="21"/>
              </w:rPr>
              <w:t>工会经费</w:t>
            </w:r>
          </w:p>
        </w:tc>
        <w:tc>
          <w:tcPr>
            <w:tcW w:w="1047" w:type="dxa"/>
            <w:shd w:val="clear" w:color="auto" w:fill="auto"/>
            <w:noWrap/>
          </w:tcPr>
          <w:p w14:paraId="45F1657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61.52</w:t>
            </w:r>
          </w:p>
        </w:tc>
        <w:tc>
          <w:tcPr>
            <w:tcW w:w="1099" w:type="dxa"/>
            <w:gridSpan w:val="2"/>
            <w:shd w:val="clear" w:color="auto" w:fill="auto"/>
            <w:noWrap/>
          </w:tcPr>
          <w:p w14:paraId="26B6ABEC">
            <w:pPr>
              <w:overflowPunct w:val="0"/>
              <w:autoSpaceDE w:val="0"/>
              <w:autoSpaceDN w:val="0"/>
              <w:rPr>
                <w:rFonts w:ascii="宋体" w:eastAsia="宋体" w:hAnsi="宋体" w:cs="宋体"/>
                <w:szCs w:val="21"/>
              </w:rPr>
            </w:pPr>
            <w:r>
              <w:rPr>
                <w:rFonts w:ascii="宋体" w:eastAsia="宋体" w:hAnsi="宋体" w:cs="宋体" w:hint="eastAsia"/>
                <w:szCs w:val="21"/>
              </w:rPr>
              <w:t>31204</w:t>
            </w:r>
          </w:p>
        </w:tc>
        <w:tc>
          <w:tcPr>
            <w:tcW w:w="2116" w:type="dxa"/>
            <w:gridSpan w:val="2"/>
            <w:shd w:val="clear" w:color="auto" w:fill="auto"/>
            <w:noWrap/>
          </w:tcPr>
          <w:p w14:paraId="77438CD5">
            <w:pPr>
              <w:overflowPunct w:val="0"/>
              <w:autoSpaceDE w:val="0"/>
              <w:autoSpaceDN w:val="0"/>
              <w:jc w:val="left"/>
              <w:rPr>
                <w:rFonts w:ascii="宋体" w:eastAsia="宋体" w:hAnsi="宋体" w:cs="宋体"/>
                <w:szCs w:val="21"/>
              </w:rPr>
            </w:pPr>
            <w:r>
              <w:rPr>
                <w:rFonts w:ascii="宋体" w:eastAsia="宋体" w:hAnsi="宋体" w:cs="宋体" w:hint="eastAsia"/>
                <w:szCs w:val="21"/>
              </w:rPr>
              <w:t>费用补贴</w:t>
            </w:r>
          </w:p>
        </w:tc>
        <w:tc>
          <w:tcPr>
            <w:tcW w:w="1183" w:type="dxa"/>
            <w:shd w:val="clear" w:color="auto" w:fill="auto"/>
            <w:noWrap/>
          </w:tcPr>
          <w:p w14:paraId="65BAC8A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6A15CCA">
        <w:tblPrEx>
          <w:tblW w:w="13878" w:type="dxa"/>
          <w:tblInd w:w="-318" w:type="dxa"/>
          <w:tblLayout w:type="fixed"/>
          <w:tblCellMar>
            <w:top w:w="0" w:type="dxa"/>
            <w:left w:w="108" w:type="dxa"/>
            <w:bottom w:w="0" w:type="dxa"/>
            <w:right w:w="108" w:type="dxa"/>
          </w:tblCellMar>
        </w:tblPrEx>
        <w:trPr>
          <w:trHeight w:val="90"/>
        </w:trPr>
        <w:tc>
          <w:tcPr>
            <w:tcW w:w="1115" w:type="dxa"/>
            <w:shd w:val="clear" w:color="auto" w:fill="auto"/>
            <w:noWrap/>
          </w:tcPr>
          <w:p w14:paraId="11048EC0">
            <w:pPr>
              <w:overflowPunct w:val="0"/>
              <w:autoSpaceDE w:val="0"/>
              <w:autoSpaceDN w:val="0"/>
              <w:rPr>
                <w:rFonts w:ascii="宋体" w:eastAsia="宋体" w:hAnsi="宋体" w:cs="宋体"/>
                <w:szCs w:val="21"/>
              </w:rPr>
            </w:pPr>
            <w:r>
              <w:rPr>
                <w:rFonts w:ascii="宋体" w:eastAsia="宋体" w:hAnsi="宋体" w:cs="宋体" w:hint="eastAsia"/>
                <w:szCs w:val="21"/>
              </w:rPr>
              <w:t>30309</w:t>
            </w:r>
          </w:p>
        </w:tc>
        <w:tc>
          <w:tcPr>
            <w:tcW w:w="2860" w:type="dxa"/>
            <w:shd w:val="clear" w:color="auto" w:fill="auto"/>
            <w:noWrap/>
          </w:tcPr>
          <w:p w14:paraId="59EF930D">
            <w:pPr>
              <w:overflowPunct w:val="0"/>
              <w:autoSpaceDE w:val="0"/>
              <w:autoSpaceDN w:val="0"/>
              <w:jc w:val="left"/>
              <w:rPr>
                <w:rFonts w:ascii="宋体" w:eastAsia="宋体" w:hAnsi="宋体" w:cs="宋体"/>
                <w:szCs w:val="21"/>
              </w:rPr>
            </w:pPr>
            <w:r>
              <w:rPr>
                <w:rFonts w:ascii="宋体" w:eastAsia="宋体" w:hAnsi="宋体" w:cs="宋体" w:hint="eastAsia"/>
                <w:szCs w:val="21"/>
              </w:rPr>
              <w:t>奖励金</w:t>
            </w:r>
          </w:p>
        </w:tc>
        <w:tc>
          <w:tcPr>
            <w:tcW w:w="1178" w:type="dxa"/>
            <w:shd w:val="clear" w:color="auto" w:fill="auto"/>
            <w:noWrap/>
          </w:tcPr>
          <w:p w14:paraId="1ABFF43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0744345E">
            <w:pPr>
              <w:overflowPunct w:val="0"/>
              <w:autoSpaceDE w:val="0"/>
              <w:autoSpaceDN w:val="0"/>
              <w:rPr>
                <w:rFonts w:ascii="宋体" w:eastAsia="宋体" w:hAnsi="宋体" w:cs="宋体"/>
                <w:szCs w:val="21"/>
              </w:rPr>
            </w:pPr>
            <w:r>
              <w:rPr>
                <w:rFonts w:ascii="宋体" w:eastAsia="宋体" w:hAnsi="宋体" w:cs="宋体" w:hint="eastAsia"/>
                <w:szCs w:val="21"/>
              </w:rPr>
              <w:t>30229</w:t>
            </w:r>
          </w:p>
        </w:tc>
        <w:tc>
          <w:tcPr>
            <w:tcW w:w="2019" w:type="dxa"/>
            <w:shd w:val="clear" w:color="auto" w:fill="auto"/>
            <w:noWrap/>
          </w:tcPr>
          <w:p w14:paraId="1A4AD39A">
            <w:pPr>
              <w:overflowPunct w:val="0"/>
              <w:autoSpaceDE w:val="0"/>
              <w:autoSpaceDN w:val="0"/>
              <w:jc w:val="left"/>
              <w:rPr>
                <w:rFonts w:ascii="宋体" w:eastAsia="宋体" w:hAnsi="宋体" w:cs="宋体"/>
                <w:szCs w:val="21"/>
              </w:rPr>
            </w:pPr>
            <w:r>
              <w:rPr>
                <w:rFonts w:ascii="宋体" w:eastAsia="宋体" w:hAnsi="宋体" w:cs="宋体" w:hint="eastAsia"/>
                <w:szCs w:val="21"/>
              </w:rPr>
              <w:t>福利费</w:t>
            </w:r>
          </w:p>
        </w:tc>
        <w:tc>
          <w:tcPr>
            <w:tcW w:w="1047" w:type="dxa"/>
            <w:shd w:val="clear" w:color="auto" w:fill="auto"/>
            <w:noWrap/>
          </w:tcPr>
          <w:p w14:paraId="21BD8F6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452CBA4C">
            <w:pPr>
              <w:overflowPunct w:val="0"/>
              <w:autoSpaceDE w:val="0"/>
              <w:autoSpaceDN w:val="0"/>
              <w:rPr>
                <w:rFonts w:ascii="宋体" w:eastAsia="宋体" w:hAnsi="宋体" w:cs="宋体"/>
                <w:szCs w:val="21"/>
              </w:rPr>
            </w:pPr>
            <w:r>
              <w:rPr>
                <w:rFonts w:ascii="宋体" w:eastAsia="宋体" w:hAnsi="宋体" w:cs="宋体" w:hint="eastAsia"/>
                <w:szCs w:val="21"/>
              </w:rPr>
              <w:t>31205</w:t>
            </w:r>
          </w:p>
        </w:tc>
        <w:tc>
          <w:tcPr>
            <w:tcW w:w="2116" w:type="dxa"/>
            <w:gridSpan w:val="2"/>
            <w:shd w:val="clear" w:color="auto" w:fill="auto"/>
            <w:noWrap/>
          </w:tcPr>
          <w:p w14:paraId="39C56CCD">
            <w:pPr>
              <w:overflowPunct w:val="0"/>
              <w:autoSpaceDE w:val="0"/>
              <w:autoSpaceDN w:val="0"/>
              <w:jc w:val="left"/>
              <w:rPr>
                <w:rFonts w:ascii="宋体" w:eastAsia="宋体" w:hAnsi="宋体" w:cs="宋体"/>
                <w:szCs w:val="21"/>
              </w:rPr>
            </w:pPr>
            <w:r>
              <w:rPr>
                <w:rFonts w:ascii="宋体" w:eastAsia="宋体" w:hAnsi="宋体" w:cs="宋体" w:hint="eastAsia"/>
                <w:szCs w:val="21"/>
              </w:rPr>
              <w:t>利息补贴</w:t>
            </w:r>
          </w:p>
        </w:tc>
        <w:tc>
          <w:tcPr>
            <w:tcW w:w="1183" w:type="dxa"/>
            <w:shd w:val="clear" w:color="auto" w:fill="auto"/>
            <w:noWrap/>
          </w:tcPr>
          <w:p w14:paraId="6CD4D41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2A254638">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tcPr>
          <w:p w14:paraId="1248F173">
            <w:pPr>
              <w:overflowPunct w:val="0"/>
              <w:autoSpaceDE w:val="0"/>
              <w:autoSpaceDN w:val="0"/>
              <w:rPr>
                <w:rFonts w:ascii="宋体" w:eastAsia="宋体" w:hAnsi="宋体" w:cs="宋体"/>
                <w:szCs w:val="21"/>
              </w:rPr>
            </w:pPr>
            <w:r>
              <w:rPr>
                <w:rFonts w:ascii="宋体" w:eastAsia="宋体" w:hAnsi="宋体" w:cs="宋体" w:hint="eastAsia"/>
                <w:szCs w:val="21"/>
              </w:rPr>
              <w:t>30310</w:t>
            </w:r>
          </w:p>
        </w:tc>
        <w:tc>
          <w:tcPr>
            <w:tcW w:w="2860" w:type="dxa"/>
            <w:shd w:val="clear" w:color="auto" w:fill="auto"/>
            <w:noWrap/>
          </w:tcPr>
          <w:p w14:paraId="733EAE66">
            <w:pPr>
              <w:overflowPunct w:val="0"/>
              <w:autoSpaceDE w:val="0"/>
              <w:autoSpaceDN w:val="0"/>
              <w:jc w:val="left"/>
              <w:rPr>
                <w:rFonts w:ascii="宋体" w:eastAsia="宋体" w:hAnsi="宋体" w:cs="宋体"/>
                <w:szCs w:val="21"/>
              </w:rPr>
            </w:pPr>
            <w:r>
              <w:rPr>
                <w:rFonts w:ascii="宋体" w:eastAsia="宋体" w:hAnsi="宋体" w:cs="宋体" w:hint="eastAsia"/>
                <w:szCs w:val="21"/>
              </w:rPr>
              <w:t>个人农业生产补贴</w:t>
            </w:r>
          </w:p>
        </w:tc>
        <w:tc>
          <w:tcPr>
            <w:tcW w:w="1178" w:type="dxa"/>
            <w:shd w:val="clear" w:color="auto" w:fill="auto"/>
            <w:noWrap/>
          </w:tcPr>
          <w:p w14:paraId="0FC3A97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1E58ABC7">
            <w:pPr>
              <w:overflowPunct w:val="0"/>
              <w:autoSpaceDE w:val="0"/>
              <w:autoSpaceDN w:val="0"/>
              <w:rPr>
                <w:rFonts w:ascii="宋体" w:eastAsia="宋体" w:hAnsi="宋体" w:cs="宋体"/>
                <w:szCs w:val="21"/>
              </w:rPr>
            </w:pPr>
            <w:r>
              <w:rPr>
                <w:rFonts w:ascii="宋体" w:eastAsia="宋体" w:hAnsi="宋体" w:cs="宋体" w:hint="eastAsia"/>
                <w:szCs w:val="21"/>
              </w:rPr>
              <w:t>30231</w:t>
            </w:r>
          </w:p>
        </w:tc>
        <w:tc>
          <w:tcPr>
            <w:tcW w:w="2019" w:type="dxa"/>
            <w:shd w:val="clear" w:color="auto" w:fill="auto"/>
            <w:noWrap/>
          </w:tcPr>
          <w:p w14:paraId="5B5756DF">
            <w:pPr>
              <w:overflowPunct w:val="0"/>
              <w:autoSpaceDE w:val="0"/>
              <w:autoSpaceDN w:val="0"/>
              <w:jc w:val="left"/>
              <w:rPr>
                <w:rFonts w:ascii="宋体" w:eastAsia="宋体" w:hAnsi="宋体" w:cs="宋体"/>
                <w:szCs w:val="21"/>
              </w:rPr>
            </w:pPr>
            <w:r>
              <w:rPr>
                <w:rFonts w:ascii="宋体" w:eastAsia="宋体" w:hAnsi="宋体" w:cs="宋体" w:hint="eastAsia"/>
                <w:szCs w:val="21"/>
              </w:rPr>
              <w:t>公务用车运行维护费</w:t>
            </w:r>
          </w:p>
        </w:tc>
        <w:tc>
          <w:tcPr>
            <w:tcW w:w="1047" w:type="dxa"/>
            <w:shd w:val="clear" w:color="auto" w:fill="auto"/>
            <w:noWrap/>
          </w:tcPr>
          <w:p w14:paraId="10AD1EE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1.65</w:t>
            </w:r>
          </w:p>
        </w:tc>
        <w:tc>
          <w:tcPr>
            <w:tcW w:w="1099" w:type="dxa"/>
            <w:gridSpan w:val="2"/>
            <w:shd w:val="clear" w:color="auto" w:fill="auto"/>
            <w:noWrap/>
          </w:tcPr>
          <w:p w14:paraId="2C8A4A91">
            <w:pPr>
              <w:overflowPunct w:val="0"/>
              <w:autoSpaceDE w:val="0"/>
              <w:autoSpaceDN w:val="0"/>
              <w:rPr>
                <w:rFonts w:ascii="宋体" w:eastAsia="宋体" w:hAnsi="宋体" w:cs="宋体"/>
                <w:szCs w:val="21"/>
              </w:rPr>
            </w:pPr>
            <w:r>
              <w:rPr>
                <w:rFonts w:ascii="宋体" w:eastAsia="宋体" w:hAnsi="宋体" w:cs="宋体" w:hint="eastAsia"/>
                <w:szCs w:val="21"/>
              </w:rPr>
              <w:t>31206</w:t>
            </w:r>
          </w:p>
        </w:tc>
        <w:tc>
          <w:tcPr>
            <w:tcW w:w="2116" w:type="dxa"/>
            <w:gridSpan w:val="2"/>
            <w:shd w:val="clear" w:color="auto" w:fill="auto"/>
            <w:noWrap/>
          </w:tcPr>
          <w:p w14:paraId="6268D965">
            <w:pPr>
              <w:overflowPunct w:val="0"/>
              <w:autoSpaceDE w:val="0"/>
              <w:autoSpaceDN w:val="0"/>
              <w:rPr>
                <w:rFonts w:ascii="宋体" w:eastAsia="宋体" w:hAnsi="宋体" w:cs="宋体"/>
                <w:szCs w:val="21"/>
              </w:rPr>
            </w:pPr>
            <w:r>
              <w:rPr>
                <w:rFonts w:ascii="宋体" w:eastAsia="宋体" w:hAnsi="宋体" w:cs="宋体" w:hint="eastAsia"/>
                <w:szCs w:val="21"/>
              </w:rPr>
              <w:t>其他资本性补助</w:t>
            </w:r>
          </w:p>
        </w:tc>
        <w:tc>
          <w:tcPr>
            <w:tcW w:w="1183" w:type="dxa"/>
            <w:shd w:val="clear" w:color="auto" w:fill="auto"/>
            <w:noWrap/>
          </w:tcPr>
          <w:p w14:paraId="5EC41DC5">
            <w:pPr>
              <w:widowControl/>
              <w:overflowPunct w:val="0"/>
              <w:autoSpaceDE w:val="0"/>
              <w:autoSpaceDN w:val="0"/>
              <w:jc w:val="center"/>
              <w:textAlignment w:val="center"/>
              <w:rPr>
                <w:rFonts w:ascii="宋体" w:eastAsia="宋体" w:hAnsi="宋体" w:cs="宋体"/>
                <w:color w:val="000000"/>
                <w:sz w:val="22"/>
              </w:rPr>
            </w:pPr>
            <w:r>
              <w:rPr>
                <w:rFonts w:ascii="宋体" w:eastAsia="宋体" w:hAnsi="宋体" w:cs="宋体" w:hint="eastAsia"/>
                <w:color w:val="000000"/>
                <w:kern w:val="0"/>
                <w:szCs w:val="21"/>
              </w:rPr>
              <w:t>0.00</w:t>
            </w:r>
          </w:p>
        </w:tc>
      </w:tr>
      <w:tr w14:paraId="56B2D7E4">
        <w:tblPrEx>
          <w:tblW w:w="13878" w:type="dxa"/>
          <w:tblInd w:w="-318" w:type="dxa"/>
          <w:tblLayout w:type="fixed"/>
          <w:tblCellMar>
            <w:top w:w="0" w:type="dxa"/>
            <w:left w:w="108" w:type="dxa"/>
            <w:bottom w:w="0" w:type="dxa"/>
            <w:right w:w="108" w:type="dxa"/>
          </w:tblCellMar>
        </w:tblPrEx>
        <w:trPr>
          <w:trHeight w:val="391"/>
        </w:trPr>
        <w:tc>
          <w:tcPr>
            <w:tcW w:w="1115" w:type="dxa"/>
            <w:shd w:val="clear" w:color="auto" w:fill="auto"/>
            <w:noWrap/>
          </w:tcPr>
          <w:p w14:paraId="6A00E4DA">
            <w:pPr>
              <w:overflowPunct w:val="0"/>
              <w:autoSpaceDE w:val="0"/>
              <w:autoSpaceDN w:val="0"/>
              <w:rPr>
                <w:rFonts w:ascii="宋体" w:eastAsia="宋体" w:hAnsi="宋体" w:cs="宋体"/>
                <w:szCs w:val="21"/>
              </w:rPr>
            </w:pPr>
            <w:r>
              <w:rPr>
                <w:rFonts w:ascii="宋体" w:eastAsia="宋体" w:hAnsi="宋体" w:cs="宋体" w:hint="eastAsia"/>
                <w:szCs w:val="21"/>
              </w:rPr>
              <w:t>30311</w:t>
            </w:r>
          </w:p>
        </w:tc>
        <w:tc>
          <w:tcPr>
            <w:tcW w:w="2860" w:type="dxa"/>
            <w:shd w:val="clear" w:color="auto" w:fill="auto"/>
            <w:noWrap/>
          </w:tcPr>
          <w:p w14:paraId="0A4EFB7C">
            <w:pPr>
              <w:overflowPunct w:val="0"/>
              <w:autoSpaceDE w:val="0"/>
              <w:autoSpaceDN w:val="0"/>
              <w:jc w:val="left"/>
              <w:rPr>
                <w:rFonts w:ascii="宋体" w:eastAsia="宋体" w:hAnsi="宋体" w:cs="宋体"/>
                <w:szCs w:val="21"/>
              </w:rPr>
            </w:pPr>
            <w:r>
              <w:rPr>
                <w:rFonts w:ascii="宋体" w:eastAsia="宋体" w:hAnsi="宋体" w:cs="宋体" w:hint="eastAsia"/>
                <w:szCs w:val="21"/>
              </w:rPr>
              <w:t>代缴社会保险费</w:t>
            </w:r>
          </w:p>
        </w:tc>
        <w:tc>
          <w:tcPr>
            <w:tcW w:w="1178" w:type="dxa"/>
            <w:shd w:val="clear" w:color="auto" w:fill="auto"/>
            <w:noWrap/>
            <w:vAlign w:val="center"/>
          </w:tcPr>
          <w:p w14:paraId="1ACE384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261" w:type="dxa"/>
            <w:shd w:val="clear" w:color="auto" w:fill="auto"/>
            <w:noWrap/>
          </w:tcPr>
          <w:p w14:paraId="53EC8ABE">
            <w:pPr>
              <w:overflowPunct w:val="0"/>
              <w:autoSpaceDE w:val="0"/>
              <w:autoSpaceDN w:val="0"/>
              <w:rPr>
                <w:rFonts w:ascii="宋体" w:eastAsia="宋体" w:hAnsi="宋体" w:cs="宋体"/>
                <w:szCs w:val="21"/>
              </w:rPr>
            </w:pPr>
            <w:r>
              <w:rPr>
                <w:rFonts w:ascii="宋体" w:eastAsia="宋体" w:hAnsi="宋体" w:cs="宋体" w:hint="eastAsia"/>
                <w:szCs w:val="21"/>
              </w:rPr>
              <w:t>30239</w:t>
            </w:r>
          </w:p>
        </w:tc>
        <w:tc>
          <w:tcPr>
            <w:tcW w:w="2019" w:type="dxa"/>
            <w:shd w:val="clear" w:color="auto" w:fill="auto"/>
          </w:tcPr>
          <w:p w14:paraId="3D287AAE">
            <w:pPr>
              <w:overflowPunct w:val="0"/>
              <w:autoSpaceDE w:val="0"/>
              <w:autoSpaceDN w:val="0"/>
              <w:jc w:val="left"/>
              <w:rPr>
                <w:rFonts w:ascii="宋体" w:eastAsia="宋体" w:hAnsi="宋体" w:cs="宋体"/>
                <w:szCs w:val="21"/>
              </w:rPr>
            </w:pPr>
            <w:r>
              <w:rPr>
                <w:rFonts w:ascii="宋体" w:eastAsia="宋体" w:hAnsi="宋体" w:cs="宋体" w:hint="eastAsia"/>
                <w:szCs w:val="21"/>
              </w:rPr>
              <w:t>其他交通费用</w:t>
            </w:r>
          </w:p>
        </w:tc>
        <w:tc>
          <w:tcPr>
            <w:tcW w:w="1047" w:type="dxa"/>
            <w:shd w:val="clear" w:color="auto" w:fill="auto"/>
            <w:noWrap/>
          </w:tcPr>
          <w:p w14:paraId="1568475B">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8.70</w:t>
            </w:r>
          </w:p>
        </w:tc>
        <w:tc>
          <w:tcPr>
            <w:tcW w:w="1099" w:type="dxa"/>
            <w:gridSpan w:val="2"/>
            <w:shd w:val="clear" w:color="auto" w:fill="auto"/>
            <w:noWrap/>
          </w:tcPr>
          <w:p w14:paraId="5994DF9B">
            <w:pPr>
              <w:overflowPunct w:val="0"/>
              <w:autoSpaceDE w:val="0"/>
              <w:autoSpaceDN w:val="0"/>
              <w:rPr>
                <w:rFonts w:ascii="宋体" w:eastAsia="宋体" w:hAnsi="宋体" w:cs="宋体"/>
                <w:szCs w:val="21"/>
              </w:rPr>
            </w:pPr>
            <w:r>
              <w:rPr>
                <w:rFonts w:ascii="宋体" w:eastAsia="宋体" w:hAnsi="宋体" w:cs="宋体" w:hint="eastAsia"/>
                <w:szCs w:val="21"/>
              </w:rPr>
              <w:t>31299</w:t>
            </w:r>
          </w:p>
        </w:tc>
        <w:tc>
          <w:tcPr>
            <w:tcW w:w="2116" w:type="dxa"/>
            <w:gridSpan w:val="2"/>
            <w:shd w:val="clear" w:color="auto" w:fill="auto"/>
            <w:noWrap/>
          </w:tcPr>
          <w:p w14:paraId="28A04656">
            <w:pPr>
              <w:overflowPunct w:val="0"/>
              <w:autoSpaceDE w:val="0"/>
              <w:autoSpaceDN w:val="0"/>
              <w:jc w:val="left"/>
              <w:rPr>
                <w:rFonts w:ascii="宋体" w:eastAsia="宋体" w:hAnsi="宋体" w:cs="宋体"/>
                <w:szCs w:val="21"/>
              </w:rPr>
            </w:pPr>
            <w:r>
              <w:rPr>
                <w:rFonts w:ascii="宋体" w:eastAsia="宋体" w:hAnsi="宋体" w:cs="宋体" w:hint="eastAsia"/>
                <w:szCs w:val="21"/>
              </w:rPr>
              <w:t>其他对企业补助</w:t>
            </w:r>
          </w:p>
        </w:tc>
        <w:tc>
          <w:tcPr>
            <w:tcW w:w="1183" w:type="dxa"/>
            <w:shd w:val="clear" w:color="auto" w:fill="auto"/>
            <w:noWrap/>
          </w:tcPr>
          <w:p w14:paraId="4054751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3073EE8B">
        <w:tblPrEx>
          <w:tblW w:w="13878" w:type="dxa"/>
          <w:tblInd w:w="-318" w:type="dxa"/>
          <w:tblLayout w:type="fixed"/>
          <w:tblCellMar>
            <w:top w:w="0" w:type="dxa"/>
            <w:left w:w="108" w:type="dxa"/>
            <w:bottom w:w="0" w:type="dxa"/>
            <w:right w:w="108" w:type="dxa"/>
          </w:tblCellMar>
        </w:tblPrEx>
        <w:trPr>
          <w:trHeight w:val="391"/>
        </w:trPr>
        <w:tc>
          <w:tcPr>
            <w:tcW w:w="1115" w:type="dxa"/>
            <w:shd w:val="clear" w:color="auto" w:fill="auto"/>
            <w:noWrap/>
            <w:vAlign w:val="center"/>
          </w:tcPr>
          <w:p w14:paraId="2A4DA199">
            <w:pPr>
              <w:overflowPunct w:val="0"/>
              <w:autoSpaceDE w:val="0"/>
              <w:autoSpaceDN w:val="0"/>
              <w:jc w:val="left"/>
              <w:rPr>
                <w:rFonts w:ascii="宋体" w:eastAsia="宋体" w:hAnsi="宋体" w:cs="宋体"/>
                <w:kern w:val="0"/>
                <w:szCs w:val="21"/>
              </w:rPr>
            </w:pPr>
            <w:r>
              <w:rPr>
                <w:rFonts w:ascii="宋体" w:eastAsia="宋体" w:hAnsi="宋体" w:cs="宋体" w:hint="eastAsia"/>
                <w:szCs w:val="21"/>
              </w:rPr>
              <w:t>30399</w:t>
            </w:r>
          </w:p>
        </w:tc>
        <w:tc>
          <w:tcPr>
            <w:tcW w:w="2860" w:type="dxa"/>
            <w:shd w:val="clear" w:color="auto" w:fill="auto"/>
            <w:vAlign w:val="center"/>
          </w:tcPr>
          <w:p w14:paraId="40E6B61D">
            <w:pPr>
              <w:widowControl/>
              <w:overflowPunct w:val="0"/>
              <w:autoSpaceDE w:val="0"/>
              <w:autoSpaceDN w:val="0"/>
              <w:spacing w:line="240" w:lineRule="auto"/>
              <w:ind w:firstLine="240" w:firstLineChars="100"/>
              <w:jc w:val="left"/>
              <w:rPr>
                <w:rFonts w:ascii="宋体" w:eastAsia="宋体" w:hAnsi="宋体" w:cs="宋体"/>
                <w:kern w:val="0"/>
                <w:szCs w:val="21"/>
              </w:rPr>
            </w:pPr>
            <w:r>
              <w:rPr>
                <w:rFonts w:ascii="宋体" w:eastAsia="宋体" w:hAnsi="宋体" w:cs="宋体" w:hint="eastAsia"/>
                <w:kern w:val="0"/>
                <w:szCs w:val="21"/>
              </w:rPr>
              <w:t>其他对个人和家庭的补助</w:t>
            </w:r>
          </w:p>
        </w:tc>
        <w:tc>
          <w:tcPr>
            <w:tcW w:w="1178" w:type="dxa"/>
            <w:shd w:val="clear" w:color="auto" w:fill="auto"/>
            <w:noWrap/>
            <w:vAlign w:val="center"/>
          </w:tcPr>
          <w:p w14:paraId="3587E1D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307.23</w:t>
            </w:r>
          </w:p>
        </w:tc>
        <w:tc>
          <w:tcPr>
            <w:tcW w:w="1261" w:type="dxa"/>
            <w:shd w:val="clear" w:color="auto" w:fill="auto"/>
            <w:noWrap/>
          </w:tcPr>
          <w:p w14:paraId="12D3F6BF">
            <w:pPr>
              <w:overflowPunct w:val="0"/>
              <w:autoSpaceDE w:val="0"/>
              <w:autoSpaceDN w:val="0"/>
              <w:rPr>
                <w:rFonts w:ascii="宋体" w:eastAsia="宋体" w:hAnsi="宋体" w:cs="宋体"/>
                <w:szCs w:val="21"/>
              </w:rPr>
            </w:pPr>
            <w:r>
              <w:rPr>
                <w:rFonts w:ascii="宋体" w:eastAsia="宋体" w:hAnsi="宋体" w:cs="宋体" w:hint="eastAsia"/>
                <w:szCs w:val="21"/>
              </w:rPr>
              <w:t>30240</w:t>
            </w:r>
          </w:p>
        </w:tc>
        <w:tc>
          <w:tcPr>
            <w:tcW w:w="2019" w:type="dxa"/>
            <w:shd w:val="clear" w:color="auto" w:fill="auto"/>
            <w:noWrap/>
          </w:tcPr>
          <w:p w14:paraId="20A8D4C1">
            <w:pPr>
              <w:overflowPunct w:val="0"/>
              <w:autoSpaceDE w:val="0"/>
              <w:autoSpaceDN w:val="0"/>
              <w:jc w:val="left"/>
              <w:rPr>
                <w:rFonts w:ascii="宋体" w:eastAsia="宋体" w:hAnsi="宋体" w:cs="宋体"/>
                <w:szCs w:val="21"/>
              </w:rPr>
            </w:pPr>
            <w:r>
              <w:rPr>
                <w:rFonts w:ascii="宋体" w:eastAsia="宋体" w:hAnsi="宋体" w:cs="宋体" w:hint="eastAsia"/>
                <w:szCs w:val="21"/>
              </w:rPr>
              <w:t>税金及附加费用</w:t>
            </w:r>
          </w:p>
        </w:tc>
        <w:tc>
          <w:tcPr>
            <w:tcW w:w="1047" w:type="dxa"/>
            <w:shd w:val="clear" w:color="auto" w:fill="auto"/>
            <w:noWrap/>
          </w:tcPr>
          <w:p w14:paraId="1E7E2B7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73756427">
            <w:pPr>
              <w:overflowPunct w:val="0"/>
              <w:autoSpaceDE w:val="0"/>
              <w:autoSpaceDN w:val="0"/>
              <w:rPr>
                <w:rFonts w:ascii="宋体" w:eastAsia="宋体" w:hAnsi="宋体" w:cs="宋体"/>
                <w:szCs w:val="21"/>
              </w:rPr>
            </w:pPr>
            <w:r>
              <w:rPr>
                <w:rFonts w:ascii="宋体" w:eastAsia="宋体" w:hAnsi="宋体" w:cs="宋体" w:hint="eastAsia"/>
                <w:szCs w:val="21"/>
              </w:rPr>
              <w:t>399</w:t>
            </w:r>
          </w:p>
        </w:tc>
        <w:tc>
          <w:tcPr>
            <w:tcW w:w="2116" w:type="dxa"/>
            <w:gridSpan w:val="2"/>
            <w:shd w:val="clear" w:color="auto" w:fill="auto"/>
            <w:noWrap/>
          </w:tcPr>
          <w:p w14:paraId="1AFFFF58">
            <w:pPr>
              <w:overflowPunct w:val="0"/>
              <w:autoSpaceDE w:val="0"/>
              <w:autoSpaceDN w:val="0"/>
              <w:jc w:val="left"/>
              <w:rPr>
                <w:rFonts w:ascii="宋体" w:eastAsia="宋体" w:hAnsi="宋体" w:cs="宋体"/>
                <w:szCs w:val="21"/>
              </w:rPr>
            </w:pPr>
            <w:r>
              <w:rPr>
                <w:rFonts w:ascii="宋体" w:eastAsia="宋体" w:hAnsi="宋体" w:cs="宋体" w:hint="eastAsia"/>
                <w:szCs w:val="21"/>
              </w:rPr>
              <w:t>其他支出</w:t>
            </w:r>
          </w:p>
        </w:tc>
        <w:tc>
          <w:tcPr>
            <w:tcW w:w="1183" w:type="dxa"/>
            <w:shd w:val="clear" w:color="auto" w:fill="auto"/>
            <w:noWrap/>
          </w:tcPr>
          <w:p w14:paraId="429074F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10E6651">
        <w:tblPrEx>
          <w:tblW w:w="13878" w:type="dxa"/>
          <w:tblInd w:w="-318" w:type="dxa"/>
          <w:tblLayout w:type="fixed"/>
          <w:tblCellMar>
            <w:top w:w="0" w:type="dxa"/>
            <w:left w:w="108" w:type="dxa"/>
            <w:bottom w:w="0" w:type="dxa"/>
            <w:right w:w="108" w:type="dxa"/>
          </w:tblCellMar>
        </w:tblPrEx>
        <w:trPr>
          <w:trHeight w:val="587"/>
        </w:trPr>
        <w:tc>
          <w:tcPr>
            <w:tcW w:w="1115" w:type="dxa"/>
            <w:shd w:val="clear" w:color="auto" w:fill="auto"/>
            <w:noWrap/>
            <w:vAlign w:val="center"/>
          </w:tcPr>
          <w:p w14:paraId="7D167743">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2860" w:type="dxa"/>
            <w:shd w:val="clear" w:color="auto" w:fill="auto"/>
            <w:noWrap/>
            <w:vAlign w:val="center"/>
          </w:tcPr>
          <w:p w14:paraId="52ADAA94">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1178" w:type="dxa"/>
            <w:shd w:val="clear" w:color="auto" w:fill="auto"/>
            <w:noWrap/>
            <w:vAlign w:val="center"/>
          </w:tcPr>
          <w:p w14:paraId="601C41CB">
            <w:pPr>
              <w:widowControl/>
              <w:overflowPunct w:val="0"/>
              <w:autoSpaceDE w:val="0"/>
              <w:autoSpaceDN w:val="0"/>
              <w:spacing w:line="240" w:lineRule="auto"/>
              <w:jc w:val="center"/>
              <w:rPr>
                <w:rFonts w:ascii="宋体" w:eastAsia="宋体" w:hAnsi="宋体" w:cs="宋体"/>
                <w:color w:val="000000"/>
                <w:kern w:val="0"/>
                <w:szCs w:val="21"/>
              </w:rPr>
            </w:pPr>
          </w:p>
        </w:tc>
        <w:tc>
          <w:tcPr>
            <w:tcW w:w="1261" w:type="dxa"/>
            <w:shd w:val="clear" w:color="auto" w:fill="auto"/>
            <w:noWrap/>
          </w:tcPr>
          <w:p w14:paraId="2DEAD0B9">
            <w:pPr>
              <w:overflowPunct w:val="0"/>
              <w:autoSpaceDE w:val="0"/>
              <w:autoSpaceDN w:val="0"/>
              <w:rPr>
                <w:rFonts w:ascii="宋体" w:eastAsia="宋体" w:hAnsi="宋体" w:cs="宋体"/>
                <w:szCs w:val="21"/>
              </w:rPr>
            </w:pPr>
            <w:r>
              <w:rPr>
                <w:rFonts w:ascii="宋体" w:eastAsia="宋体" w:hAnsi="宋体" w:cs="宋体" w:hint="eastAsia"/>
                <w:szCs w:val="21"/>
              </w:rPr>
              <w:t>30299</w:t>
            </w:r>
          </w:p>
        </w:tc>
        <w:tc>
          <w:tcPr>
            <w:tcW w:w="2019" w:type="dxa"/>
            <w:shd w:val="clear" w:color="auto" w:fill="auto"/>
            <w:noWrap/>
          </w:tcPr>
          <w:p w14:paraId="19CD93D5">
            <w:pPr>
              <w:overflowPunct w:val="0"/>
              <w:autoSpaceDE w:val="0"/>
              <w:autoSpaceDN w:val="0"/>
              <w:jc w:val="left"/>
              <w:rPr>
                <w:rFonts w:ascii="宋体" w:eastAsia="宋体" w:hAnsi="宋体" w:cs="宋体"/>
                <w:szCs w:val="21"/>
              </w:rPr>
            </w:pPr>
            <w:r>
              <w:rPr>
                <w:rFonts w:ascii="宋体" w:eastAsia="宋体" w:hAnsi="宋体" w:cs="宋体" w:hint="eastAsia"/>
                <w:szCs w:val="21"/>
              </w:rPr>
              <w:t>其他商品和服务支出</w:t>
            </w:r>
          </w:p>
        </w:tc>
        <w:tc>
          <w:tcPr>
            <w:tcW w:w="1047" w:type="dxa"/>
            <w:shd w:val="clear" w:color="auto" w:fill="auto"/>
            <w:noWrap/>
          </w:tcPr>
          <w:p w14:paraId="0086CDC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162.55</w:t>
            </w:r>
          </w:p>
        </w:tc>
        <w:tc>
          <w:tcPr>
            <w:tcW w:w="1099" w:type="dxa"/>
            <w:gridSpan w:val="2"/>
            <w:shd w:val="clear" w:color="auto" w:fill="auto"/>
            <w:noWrap/>
          </w:tcPr>
          <w:p w14:paraId="48C035E5">
            <w:pPr>
              <w:overflowPunct w:val="0"/>
              <w:autoSpaceDE w:val="0"/>
              <w:autoSpaceDN w:val="0"/>
              <w:rPr>
                <w:rFonts w:ascii="宋体" w:eastAsia="宋体" w:hAnsi="宋体" w:cs="宋体"/>
                <w:szCs w:val="21"/>
              </w:rPr>
            </w:pPr>
            <w:r>
              <w:rPr>
                <w:rFonts w:ascii="宋体" w:eastAsia="宋体" w:hAnsi="宋体" w:cs="宋体" w:hint="eastAsia"/>
                <w:szCs w:val="21"/>
              </w:rPr>
              <w:t>39907</w:t>
            </w:r>
          </w:p>
        </w:tc>
        <w:tc>
          <w:tcPr>
            <w:tcW w:w="2116" w:type="dxa"/>
            <w:gridSpan w:val="2"/>
            <w:shd w:val="clear" w:color="auto" w:fill="auto"/>
          </w:tcPr>
          <w:p w14:paraId="767A0144">
            <w:pPr>
              <w:overflowPunct w:val="0"/>
              <w:autoSpaceDE w:val="0"/>
              <w:autoSpaceDN w:val="0"/>
              <w:jc w:val="left"/>
              <w:rPr>
                <w:rFonts w:ascii="宋体" w:eastAsia="宋体" w:hAnsi="宋体" w:cs="宋体"/>
                <w:szCs w:val="21"/>
              </w:rPr>
            </w:pPr>
            <w:r>
              <w:rPr>
                <w:rFonts w:ascii="宋体" w:eastAsia="宋体" w:hAnsi="宋体" w:cs="宋体" w:hint="eastAsia"/>
                <w:szCs w:val="21"/>
              </w:rPr>
              <w:t>国家赔偿费用支出</w:t>
            </w:r>
          </w:p>
        </w:tc>
        <w:tc>
          <w:tcPr>
            <w:tcW w:w="1183" w:type="dxa"/>
            <w:shd w:val="clear" w:color="auto" w:fill="auto"/>
            <w:noWrap/>
          </w:tcPr>
          <w:p w14:paraId="747F146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466ED07B">
        <w:tblPrEx>
          <w:tblW w:w="13878" w:type="dxa"/>
          <w:tblInd w:w="-318" w:type="dxa"/>
          <w:tblLayout w:type="fixed"/>
          <w:tblCellMar>
            <w:top w:w="0" w:type="dxa"/>
            <w:left w:w="108" w:type="dxa"/>
            <w:bottom w:w="0" w:type="dxa"/>
            <w:right w:w="108" w:type="dxa"/>
          </w:tblCellMar>
        </w:tblPrEx>
        <w:trPr>
          <w:trHeight w:val="343"/>
        </w:trPr>
        <w:tc>
          <w:tcPr>
            <w:tcW w:w="1115" w:type="dxa"/>
            <w:shd w:val="clear" w:color="auto" w:fill="auto"/>
            <w:noWrap/>
            <w:vAlign w:val="center"/>
          </w:tcPr>
          <w:p w14:paraId="6C327F52">
            <w:pPr>
              <w:widowControl/>
              <w:overflowPunct w:val="0"/>
              <w:autoSpaceDE w:val="0"/>
              <w:autoSpaceDN w:val="0"/>
              <w:spacing w:line="240" w:lineRule="auto"/>
              <w:jc w:val="left"/>
              <w:rPr>
                <w:rFonts w:ascii="宋体" w:eastAsia="宋体" w:hAnsi="宋体" w:cs="宋体"/>
                <w:kern w:val="0"/>
                <w:szCs w:val="21"/>
              </w:rPr>
            </w:pPr>
          </w:p>
        </w:tc>
        <w:tc>
          <w:tcPr>
            <w:tcW w:w="2860" w:type="dxa"/>
            <w:shd w:val="clear" w:color="auto" w:fill="auto"/>
            <w:noWrap/>
            <w:vAlign w:val="center"/>
          </w:tcPr>
          <w:p w14:paraId="4CBCB7A5">
            <w:pPr>
              <w:widowControl/>
              <w:overflowPunct w:val="0"/>
              <w:autoSpaceDE w:val="0"/>
              <w:autoSpaceDN w:val="0"/>
              <w:spacing w:line="240" w:lineRule="auto"/>
              <w:jc w:val="left"/>
              <w:rPr>
                <w:rFonts w:ascii="宋体" w:eastAsia="宋体" w:hAnsi="宋体" w:cs="宋体"/>
                <w:kern w:val="0"/>
                <w:szCs w:val="21"/>
              </w:rPr>
            </w:pPr>
          </w:p>
        </w:tc>
        <w:tc>
          <w:tcPr>
            <w:tcW w:w="1178" w:type="dxa"/>
            <w:shd w:val="clear" w:color="auto" w:fill="auto"/>
            <w:noWrap/>
            <w:vAlign w:val="center"/>
          </w:tcPr>
          <w:p w14:paraId="7F3BB9FD">
            <w:pPr>
              <w:widowControl/>
              <w:overflowPunct w:val="0"/>
              <w:autoSpaceDE w:val="0"/>
              <w:autoSpaceDN w:val="0"/>
              <w:spacing w:line="240" w:lineRule="auto"/>
              <w:jc w:val="center"/>
              <w:rPr>
                <w:rFonts w:ascii="宋体" w:eastAsia="宋体" w:hAnsi="宋体" w:cs="宋体"/>
                <w:color w:val="000000"/>
                <w:kern w:val="0"/>
                <w:szCs w:val="21"/>
              </w:rPr>
            </w:pPr>
          </w:p>
        </w:tc>
        <w:tc>
          <w:tcPr>
            <w:tcW w:w="1261" w:type="dxa"/>
            <w:shd w:val="clear" w:color="auto" w:fill="auto"/>
            <w:noWrap/>
          </w:tcPr>
          <w:p w14:paraId="0EED2FBD">
            <w:pPr>
              <w:overflowPunct w:val="0"/>
              <w:autoSpaceDE w:val="0"/>
              <w:autoSpaceDN w:val="0"/>
              <w:rPr>
                <w:rFonts w:ascii="宋体" w:eastAsia="宋体" w:hAnsi="宋体" w:cs="宋体"/>
                <w:szCs w:val="21"/>
              </w:rPr>
            </w:pPr>
            <w:r>
              <w:rPr>
                <w:rFonts w:ascii="宋体" w:eastAsia="宋体" w:hAnsi="宋体" w:cs="宋体" w:hint="eastAsia"/>
                <w:szCs w:val="21"/>
              </w:rPr>
              <w:t>307</w:t>
            </w:r>
          </w:p>
        </w:tc>
        <w:tc>
          <w:tcPr>
            <w:tcW w:w="2019" w:type="dxa"/>
            <w:shd w:val="clear" w:color="auto" w:fill="auto"/>
          </w:tcPr>
          <w:p w14:paraId="7B6319BE">
            <w:pPr>
              <w:overflowPunct w:val="0"/>
              <w:autoSpaceDE w:val="0"/>
              <w:autoSpaceDN w:val="0"/>
              <w:jc w:val="left"/>
              <w:rPr>
                <w:rFonts w:ascii="宋体" w:eastAsia="宋体" w:hAnsi="宋体" w:cs="宋体"/>
                <w:szCs w:val="21"/>
              </w:rPr>
            </w:pPr>
            <w:r>
              <w:rPr>
                <w:rFonts w:ascii="宋体" w:eastAsia="宋体" w:hAnsi="宋体" w:cs="宋体" w:hint="eastAsia"/>
                <w:szCs w:val="21"/>
              </w:rPr>
              <w:t>债务利息及费用支出</w:t>
            </w:r>
          </w:p>
        </w:tc>
        <w:tc>
          <w:tcPr>
            <w:tcW w:w="1047" w:type="dxa"/>
            <w:shd w:val="clear" w:color="auto" w:fill="auto"/>
            <w:noWrap/>
          </w:tcPr>
          <w:p w14:paraId="68FAE01D">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4AD28744">
            <w:pPr>
              <w:overflowPunct w:val="0"/>
              <w:autoSpaceDE w:val="0"/>
              <w:autoSpaceDN w:val="0"/>
              <w:rPr>
                <w:rFonts w:ascii="宋体" w:eastAsia="宋体" w:hAnsi="宋体" w:cs="宋体"/>
                <w:szCs w:val="21"/>
              </w:rPr>
            </w:pPr>
            <w:r>
              <w:rPr>
                <w:rFonts w:ascii="宋体" w:eastAsia="宋体" w:hAnsi="宋体" w:cs="宋体" w:hint="eastAsia"/>
                <w:szCs w:val="21"/>
              </w:rPr>
              <w:t>39908</w:t>
            </w:r>
          </w:p>
        </w:tc>
        <w:tc>
          <w:tcPr>
            <w:tcW w:w="2116" w:type="dxa"/>
            <w:gridSpan w:val="2"/>
            <w:shd w:val="clear" w:color="auto" w:fill="auto"/>
            <w:noWrap/>
          </w:tcPr>
          <w:p w14:paraId="5FBECC33">
            <w:pPr>
              <w:overflowPunct w:val="0"/>
              <w:autoSpaceDE w:val="0"/>
              <w:autoSpaceDN w:val="0"/>
              <w:jc w:val="left"/>
              <w:rPr>
                <w:rFonts w:ascii="宋体" w:eastAsia="宋体" w:hAnsi="宋体" w:cs="宋体"/>
                <w:szCs w:val="21"/>
              </w:rPr>
            </w:pPr>
            <w:r>
              <w:rPr>
                <w:rFonts w:ascii="宋体" w:eastAsia="宋体" w:hAnsi="宋体" w:cs="宋体" w:hint="eastAsia"/>
                <w:szCs w:val="21"/>
              </w:rPr>
              <w:t>对民间非营利组织和群众性自治组织补贴</w:t>
            </w:r>
          </w:p>
        </w:tc>
        <w:tc>
          <w:tcPr>
            <w:tcW w:w="1183" w:type="dxa"/>
            <w:shd w:val="clear" w:color="auto" w:fill="auto"/>
            <w:noWrap/>
          </w:tcPr>
          <w:p w14:paraId="13C80A8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177F3BA8">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vAlign w:val="center"/>
          </w:tcPr>
          <w:p w14:paraId="1820F7C4">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2860" w:type="dxa"/>
            <w:shd w:val="clear" w:color="auto" w:fill="auto"/>
            <w:noWrap/>
            <w:vAlign w:val="center"/>
          </w:tcPr>
          <w:p w14:paraId="351650CF">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1178" w:type="dxa"/>
            <w:shd w:val="clear" w:color="auto" w:fill="auto"/>
            <w:noWrap/>
            <w:vAlign w:val="center"/>
          </w:tcPr>
          <w:p w14:paraId="4DF274C0">
            <w:pPr>
              <w:widowControl/>
              <w:overflowPunct w:val="0"/>
              <w:autoSpaceDE w:val="0"/>
              <w:autoSpaceDN w:val="0"/>
              <w:spacing w:line="240" w:lineRule="auto"/>
              <w:jc w:val="center"/>
              <w:rPr>
                <w:rFonts w:ascii="宋体" w:eastAsia="宋体" w:hAnsi="宋体" w:cs="宋体"/>
                <w:color w:val="000000"/>
                <w:kern w:val="0"/>
                <w:szCs w:val="21"/>
              </w:rPr>
            </w:pPr>
          </w:p>
        </w:tc>
        <w:tc>
          <w:tcPr>
            <w:tcW w:w="1261" w:type="dxa"/>
            <w:shd w:val="clear" w:color="auto" w:fill="auto"/>
            <w:noWrap/>
          </w:tcPr>
          <w:p w14:paraId="51392395">
            <w:pPr>
              <w:overflowPunct w:val="0"/>
              <w:autoSpaceDE w:val="0"/>
              <w:autoSpaceDN w:val="0"/>
              <w:rPr>
                <w:rFonts w:ascii="宋体" w:eastAsia="宋体" w:hAnsi="宋体" w:cs="宋体"/>
                <w:szCs w:val="21"/>
              </w:rPr>
            </w:pPr>
            <w:r>
              <w:rPr>
                <w:rFonts w:ascii="宋体" w:eastAsia="宋体" w:hAnsi="宋体" w:cs="宋体" w:hint="eastAsia"/>
                <w:szCs w:val="21"/>
              </w:rPr>
              <w:t>30701</w:t>
            </w:r>
          </w:p>
        </w:tc>
        <w:tc>
          <w:tcPr>
            <w:tcW w:w="2019" w:type="dxa"/>
            <w:shd w:val="clear" w:color="auto" w:fill="auto"/>
            <w:noWrap/>
          </w:tcPr>
          <w:p w14:paraId="2FF2CF96">
            <w:pPr>
              <w:overflowPunct w:val="0"/>
              <w:autoSpaceDE w:val="0"/>
              <w:autoSpaceDN w:val="0"/>
              <w:jc w:val="left"/>
              <w:rPr>
                <w:rFonts w:ascii="宋体" w:eastAsia="宋体" w:hAnsi="宋体" w:cs="宋体"/>
                <w:szCs w:val="21"/>
              </w:rPr>
            </w:pPr>
            <w:r>
              <w:rPr>
                <w:rFonts w:ascii="宋体" w:eastAsia="宋体" w:hAnsi="宋体" w:cs="宋体" w:hint="eastAsia"/>
                <w:szCs w:val="21"/>
              </w:rPr>
              <w:t>国内债务付息</w:t>
            </w:r>
          </w:p>
        </w:tc>
        <w:tc>
          <w:tcPr>
            <w:tcW w:w="1047" w:type="dxa"/>
            <w:shd w:val="clear" w:color="auto" w:fill="auto"/>
            <w:noWrap/>
          </w:tcPr>
          <w:p w14:paraId="4473E58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09B80238">
            <w:pPr>
              <w:overflowPunct w:val="0"/>
              <w:autoSpaceDE w:val="0"/>
              <w:autoSpaceDN w:val="0"/>
              <w:rPr>
                <w:rFonts w:ascii="宋体" w:eastAsia="宋体" w:hAnsi="宋体" w:cs="宋体"/>
                <w:szCs w:val="21"/>
              </w:rPr>
            </w:pPr>
            <w:r>
              <w:rPr>
                <w:rFonts w:ascii="宋体" w:eastAsia="宋体" w:hAnsi="宋体" w:cs="宋体" w:hint="eastAsia"/>
                <w:szCs w:val="21"/>
              </w:rPr>
              <w:t>39909</w:t>
            </w:r>
          </w:p>
        </w:tc>
        <w:tc>
          <w:tcPr>
            <w:tcW w:w="2116" w:type="dxa"/>
            <w:gridSpan w:val="2"/>
            <w:shd w:val="clear" w:color="auto" w:fill="auto"/>
            <w:noWrap/>
          </w:tcPr>
          <w:p w14:paraId="4906A762">
            <w:pPr>
              <w:overflowPunct w:val="0"/>
              <w:autoSpaceDE w:val="0"/>
              <w:autoSpaceDN w:val="0"/>
              <w:ind w:firstLine="240" w:firstLineChars="100"/>
              <w:jc w:val="left"/>
              <w:rPr>
                <w:rFonts w:ascii="宋体" w:eastAsia="宋体" w:hAnsi="宋体" w:cs="宋体"/>
                <w:szCs w:val="21"/>
              </w:rPr>
            </w:pPr>
            <w:r>
              <w:rPr>
                <w:rFonts w:ascii="宋体" w:eastAsia="宋体" w:hAnsi="宋体" w:cs="宋体" w:hint="eastAsia"/>
                <w:szCs w:val="21"/>
              </w:rPr>
              <w:t>经常性赠与</w:t>
            </w:r>
          </w:p>
        </w:tc>
        <w:tc>
          <w:tcPr>
            <w:tcW w:w="1183" w:type="dxa"/>
            <w:shd w:val="clear" w:color="auto" w:fill="auto"/>
            <w:noWrap/>
          </w:tcPr>
          <w:p w14:paraId="1B15B9EF">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329BD87">
        <w:tblPrEx>
          <w:tblW w:w="13878" w:type="dxa"/>
          <w:tblInd w:w="-318" w:type="dxa"/>
          <w:tblLayout w:type="fixed"/>
          <w:tblCellMar>
            <w:top w:w="0" w:type="dxa"/>
            <w:left w:w="108" w:type="dxa"/>
            <w:bottom w:w="0" w:type="dxa"/>
            <w:right w:w="108" w:type="dxa"/>
          </w:tblCellMar>
        </w:tblPrEx>
        <w:trPr>
          <w:trHeight w:val="220"/>
        </w:trPr>
        <w:tc>
          <w:tcPr>
            <w:tcW w:w="1115" w:type="dxa"/>
            <w:shd w:val="clear" w:color="auto" w:fill="auto"/>
            <w:noWrap/>
            <w:vAlign w:val="center"/>
          </w:tcPr>
          <w:p w14:paraId="50B26ADE">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2860" w:type="dxa"/>
            <w:shd w:val="clear" w:color="auto" w:fill="auto"/>
            <w:noWrap/>
            <w:vAlign w:val="center"/>
          </w:tcPr>
          <w:p w14:paraId="2B4B9AC8">
            <w:pPr>
              <w:widowControl/>
              <w:overflowPunct w:val="0"/>
              <w:autoSpaceDE w:val="0"/>
              <w:autoSpaceDN w:val="0"/>
              <w:spacing w:line="240" w:lineRule="auto"/>
              <w:jc w:val="left"/>
              <w:rPr>
                <w:rFonts w:ascii="宋体" w:eastAsia="宋体" w:hAnsi="宋体" w:cs="宋体"/>
                <w:kern w:val="0"/>
                <w:szCs w:val="21"/>
              </w:rPr>
            </w:pPr>
            <w:r>
              <w:rPr>
                <w:rFonts w:ascii="宋体" w:eastAsia="宋体" w:hAnsi="宋体" w:cs="宋体" w:hint="eastAsia"/>
                <w:kern w:val="0"/>
                <w:szCs w:val="21"/>
              </w:rPr>
              <w:t>　</w:t>
            </w:r>
          </w:p>
        </w:tc>
        <w:tc>
          <w:tcPr>
            <w:tcW w:w="1178" w:type="dxa"/>
            <w:shd w:val="clear" w:color="auto" w:fill="auto"/>
            <w:noWrap/>
            <w:vAlign w:val="center"/>
          </w:tcPr>
          <w:p w14:paraId="3B08ED8A">
            <w:pPr>
              <w:widowControl/>
              <w:overflowPunct w:val="0"/>
              <w:autoSpaceDE w:val="0"/>
              <w:autoSpaceDN w:val="0"/>
              <w:spacing w:line="240" w:lineRule="auto"/>
              <w:jc w:val="center"/>
              <w:rPr>
                <w:rFonts w:ascii="宋体" w:eastAsia="宋体" w:hAnsi="宋体" w:cs="宋体"/>
                <w:color w:val="000000"/>
                <w:kern w:val="0"/>
                <w:szCs w:val="21"/>
              </w:rPr>
            </w:pPr>
          </w:p>
        </w:tc>
        <w:tc>
          <w:tcPr>
            <w:tcW w:w="1261" w:type="dxa"/>
            <w:shd w:val="clear" w:color="auto" w:fill="auto"/>
            <w:noWrap/>
          </w:tcPr>
          <w:p w14:paraId="4E473044">
            <w:pPr>
              <w:overflowPunct w:val="0"/>
              <w:autoSpaceDE w:val="0"/>
              <w:autoSpaceDN w:val="0"/>
              <w:rPr>
                <w:rFonts w:ascii="宋体" w:eastAsia="宋体" w:hAnsi="宋体" w:cs="宋体"/>
                <w:szCs w:val="21"/>
              </w:rPr>
            </w:pPr>
            <w:r>
              <w:rPr>
                <w:rFonts w:ascii="宋体" w:eastAsia="宋体" w:hAnsi="宋体" w:cs="宋体" w:hint="eastAsia"/>
                <w:szCs w:val="21"/>
              </w:rPr>
              <w:t>30702</w:t>
            </w:r>
          </w:p>
        </w:tc>
        <w:tc>
          <w:tcPr>
            <w:tcW w:w="2019" w:type="dxa"/>
            <w:shd w:val="clear" w:color="auto" w:fill="auto"/>
            <w:noWrap/>
          </w:tcPr>
          <w:p w14:paraId="09DF5DAE">
            <w:pPr>
              <w:overflowPunct w:val="0"/>
              <w:autoSpaceDE w:val="0"/>
              <w:autoSpaceDN w:val="0"/>
              <w:jc w:val="left"/>
              <w:rPr>
                <w:rFonts w:ascii="宋体" w:eastAsia="宋体" w:hAnsi="宋体" w:cs="宋体"/>
                <w:szCs w:val="21"/>
              </w:rPr>
            </w:pPr>
            <w:r>
              <w:rPr>
                <w:rFonts w:ascii="宋体" w:eastAsia="宋体" w:hAnsi="宋体" w:cs="宋体" w:hint="eastAsia"/>
                <w:szCs w:val="21"/>
              </w:rPr>
              <w:t>国外债务付息</w:t>
            </w:r>
          </w:p>
        </w:tc>
        <w:tc>
          <w:tcPr>
            <w:tcW w:w="1047" w:type="dxa"/>
            <w:shd w:val="clear" w:color="auto" w:fill="auto"/>
            <w:noWrap/>
          </w:tcPr>
          <w:p w14:paraId="625628B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c>
          <w:tcPr>
            <w:tcW w:w="1099" w:type="dxa"/>
            <w:gridSpan w:val="2"/>
            <w:shd w:val="clear" w:color="auto" w:fill="auto"/>
            <w:noWrap/>
          </w:tcPr>
          <w:p w14:paraId="07243DF4">
            <w:pPr>
              <w:overflowPunct w:val="0"/>
              <w:autoSpaceDE w:val="0"/>
              <w:autoSpaceDN w:val="0"/>
              <w:rPr>
                <w:rFonts w:ascii="宋体" w:eastAsia="宋体" w:hAnsi="宋体" w:cs="宋体"/>
                <w:szCs w:val="21"/>
              </w:rPr>
            </w:pPr>
            <w:r>
              <w:rPr>
                <w:rFonts w:ascii="宋体" w:eastAsia="宋体" w:hAnsi="宋体" w:cs="宋体" w:hint="eastAsia"/>
                <w:szCs w:val="21"/>
              </w:rPr>
              <w:t>39910</w:t>
            </w:r>
          </w:p>
        </w:tc>
        <w:tc>
          <w:tcPr>
            <w:tcW w:w="2116" w:type="dxa"/>
            <w:gridSpan w:val="2"/>
            <w:shd w:val="clear" w:color="auto" w:fill="auto"/>
            <w:noWrap/>
          </w:tcPr>
          <w:p w14:paraId="30306251">
            <w:pPr>
              <w:overflowPunct w:val="0"/>
              <w:autoSpaceDE w:val="0"/>
              <w:autoSpaceDN w:val="0"/>
              <w:ind w:firstLine="240" w:firstLineChars="100"/>
              <w:jc w:val="left"/>
              <w:rPr>
                <w:rFonts w:ascii="宋体" w:eastAsia="宋体" w:hAnsi="宋体" w:cs="宋体"/>
                <w:szCs w:val="21"/>
              </w:rPr>
            </w:pPr>
            <w:r>
              <w:rPr>
                <w:rFonts w:ascii="宋体" w:eastAsia="宋体" w:hAnsi="宋体" w:cs="宋体" w:hint="eastAsia"/>
                <w:szCs w:val="21"/>
              </w:rPr>
              <w:t>资本性赠与</w:t>
            </w:r>
          </w:p>
        </w:tc>
        <w:tc>
          <w:tcPr>
            <w:tcW w:w="1183" w:type="dxa"/>
            <w:shd w:val="clear" w:color="auto" w:fill="auto"/>
            <w:noWrap/>
          </w:tcPr>
          <w:p w14:paraId="02364024">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0.00</w:t>
            </w:r>
          </w:p>
        </w:tc>
      </w:tr>
      <w:tr w14:paraId="7AA6CE78">
        <w:tblPrEx>
          <w:tblW w:w="13878" w:type="dxa"/>
          <w:tblInd w:w="-318" w:type="dxa"/>
          <w:tblLayout w:type="fixed"/>
          <w:tblCellMar>
            <w:top w:w="0" w:type="dxa"/>
            <w:left w:w="108" w:type="dxa"/>
            <w:bottom w:w="0" w:type="dxa"/>
            <w:right w:w="108" w:type="dxa"/>
          </w:tblCellMar>
        </w:tblPrEx>
        <w:trPr>
          <w:trHeight w:val="220"/>
        </w:trPr>
        <w:tc>
          <w:tcPr>
            <w:tcW w:w="3975" w:type="dxa"/>
            <w:gridSpan w:val="2"/>
            <w:shd w:val="clear" w:color="auto" w:fill="auto"/>
            <w:noWrap/>
            <w:vAlign w:val="center"/>
          </w:tcPr>
          <w:p w14:paraId="322F3C65">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人员经费合计</w:t>
            </w:r>
          </w:p>
        </w:tc>
        <w:tc>
          <w:tcPr>
            <w:tcW w:w="2439" w:type="dxa"/>
            <w:gridSpan w:val="2"/>
            <w:shd w:val="clear" w:color="auto" w:fill="auto"/>
            <w:noWrap/>
            <w:vAlign w:val="center"/>
          </w:tcPr>
          <w:p w14:paraId="3EE6413A">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5423.81</w:t>
            </w:r>
          </w:p>
        </w:tc>
        <w:tc>
          <w:tcPr>
            <w:tcW w:w="3066" w:type="dxa"/>
            <w:gridSpan w:val="2"/>
            <w:shd w:val="clear" w:color="auto" w:fill="auto"/>
            <w:noWrap/>
            <w:vAlign w:val="center"/>
          </w:tcPr>
          <w:p w14:paraId="2BA70CF7">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公用经费合计</w:t>
            </w:r>
          </w:p>
        </w:tc>
        <w:tc>
          <w:tcPr>
            <w:tcW w:w="4398" w:type="dxa"/>
            <w:gridSpan w:val="5"/>
            <w:shd w:val="clear" w:color="auto" w:fill="auto"/>
            <w:noWrap/>
          </w:tcPr>
          <w:p w14:paraId="4563F01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1324.46</w:t>
            </w:r>
          </w:p>
        </w:tc>
      </w:tr>
    </w:tbl>
    <w:p w14:paraId="0978DD46">
      <w:pPr>
        <w:widowControl/>
        <w:overflowPunct w:val="0"/>
        <w:autoSpaceDE w:val="0"/>
        <w:autoSpaceDN w:val="0"/>
        <w:spacing w:line="240" w:lineRule="auto"/>
        <w:jc w:val="left"/>
        <w:rPr>
          <w:rFonts w:ascii="黑体" w:eastAsia="黑体" w:hAnsi="仿宋"/>
          <w:sz w:val="32"/>
          <w:szCs w:val="32"/>
        </w:rPr>
      </w:pPr>
      <w:r>
        <w:rPr>
          <w:rFonts w:ascii="宋体" w:eastAsia="宋体" w:hAnsi="宋体" w:cs="宋体" w:hint="eastAsia"/>
          <w:sz w:val="24"/>
          <w:szCs w:val="24"/>
        </w:rPr>
        <w:t>注：本表反映单位本年度一般公共预算财政拨款基本支出明细情况。</w:t>
      </w:r>
      <w:r>
        <w:br w:type="page"/>
      </w:r>
    </w:p>
    <w:p w14:paraId="61D29694">
      <w:pPr>
        <w:overflowPunct w:val="0"/>
        <w:autoSpaceDE w:val="0"/>
        <w:autoSpaceDN w:val="0"/>
        <w:jc w:val="left"/>
        <w:outlineLvl w:val="1"/>
        <w:rPr>
          <w:rFonts w:ascii="黑体" w:eastAsia="黑体" w:hAnsi="仿宋"/>
          <w:sz w:val="32"/>
          <w:szCs w:val="32"/>
        </w:rPr>
        <w:sectPr>
          <w:type w:val="continuous"/>
          <w:pgSz w:w="16838" w:h="11906" w:orient="landscape"/>
          <w:pgMar w:top="1440" w:right="1800" w:bottom="1440" w:left="1800" w:header="851" w:footer="992" w:gutter="0"/>
          <w:cols w:num="1" w:space="425"/>
          <w:docGrid w:type="lines" w:linePitch="312" w:charSpace="0"/>
        </w:sectPr>
      </w:pPr>
    </w:p>
    <w:p w14:paraId="7BD16931">
      <w:pPr>
        <w:overflowPunct w:val="0"/>
        <w:autoSpaceDE w:val="0"/>
        <w:autoSpaceDN w:val="0"/>
        <w:jc w:val="left"/>
        <w:outlineLvl w:val="1"/>
        <w:rPr>
          <w:rFonts w:ascii="黑体" w:eastAsia="黑体" w:hAnsi="仿宋"/>
          <w:sz w:val="32"/>
          <w:szCs w:val="32"/>
        </w:rPr>
      </w:pPr>
      <w:bookmarkStart w:id="15" w:name="_Toc256000013"/>
      <w:r>
        <w:rPr>
          <w:rFonts w:ascii="黑体" w:eastAsia="黑体" w:hAnsi="仿宋" w:hint="eastAsia"/>
          <w:sz w:val="32"/>
          <w:szCs w:val="32"/>
        </w:rPr>
        <w:t>七、一般公共预算财政拨款“三公”经费支出决算表</w:t>
      </w:r>
      <w:bookmarkEnd w:id="15"/>
    </w:p>
    <w:p w14:paraId="4FE13A41">
      <w:pPr>
        <w:overflowPunct w:val="0"/>
        <w:autoSpaceDE w:val="0"/>
        <w:autoSpaceDN w:val="0"/>
        <w:jc w:val="center"/>
        <w:rPr>
          <w:b/>
          <w:bCs/>
          <w:sz w:val="32"/>
          <w:szCs w:val="36"/>
        </w:rPr>
      </w:pPr>
      <w:r>
        <w:rPr>
          <w:rFonts w:hint="eastAsia"/>
          <w:b/>
          <w:bCs/>
          <w:sz w:val="32"/>
          <w:szCs w:val="36"/>
        </w:rPr>
        <w:t>一般公共预算财政拨款“三公”经费支出决算表</w:t>
      </w:r>
    </w:p>
    <w:tbl>
      <w:tblPr>
        <w:tblStyle w:val="TableNormal"/>
        <w:tblW w:w="8871" w:type="dxa"/>
        <w:jc w:val="center"/>
        <w:tblLayout w:type="fixed"/>
        <w:tblCellMar>
          <w:top w:w="0" w:type="dxa"/>
          <w:left w:w="108" w:type="dxa"/>
          <w:bottom w:w="0" w:type="dxa"/>
          <w:right w:w="108" w:type="dxa"/>
        </w:tblCellMar>
      </w:tblPr>
      <w:tblGrid>
        <w:gridCol w:w="4086"/>
        <w:gridCol w:w="785"/>
        <w:gridCol w:w="4000"/>
      </w:tblGrid>
      <w:tr w14:paraId="2B41C321">
        <w:tblPrEx>
          <w:tblW w:w="8871" w:type="dxa"/>
          <w:jc w:val="center"/>
          <w:tblLayout w:type="fixed"/>
          <w:tblCellMar>
            <w:top w:w="0" w:type="dxa"/>
            <w:left w:w="108" w:type="dxa"/>
            <w:bottom w:w="0" w:type="dxa"/>
            <w:right w:w="108" w:type="dxa"/>
          </w:tblCellMar>
        </w:tblPrEx>
        <w:trPr>
          <w:trHeight w:val="405"/>
          <w:jc w:val="center"/>
        </w:trPr>
        <w:tc>
          <w:tcPr>
            <w:tcW w:w="4086" w:type="dxa"/>
            <w:tcBorders>
              <w:top w:val="nil"/>
              <w:left w:val="nil"/>
              <w:bottom w:val="nil"/>
              <w:right w:val="nil"/>
            </w:tcBorders>
            <w:shd w:val="clear" w:color="auto" w:fill="auto"/>
            <w:noWrap/>
            <w:vAlign w:val="center"/>
          </w:tcPr>
          <w:p w14:paraId="7BC019B4">
            <w:pPr>
              <w:widowControl/>
              <w:overflowPunct w:val="0"/>
              <w:autoSpaceDE w:val="0"/>
              <w:autoSpaceDN w:val="0"/>
              <w:spacing w:line="240" w:lineRule="auto"/>
              <w:jc w:val="center"/>
              <w:rPr>
                <w:rFonts w:ascii="黑体" w:eastAsia="黑体" w:hAnsi="宋体" w:cs="宋体"/>
                <w:kern w:val="0"/>
                <w:sz w:val="38"/>
                <w:szCs w:val="38"/>
              </w:rPr>
            </w:pPr>
          </w:p>
        </w:tc>
        <w:tc>
          <w:tcPr>
            <w:tcW w:w="785" w:type="dxa"/>
            <w:tcBorders>
              <w:top w:val="nil"/>
              <w:left w:val="nil"/>
              <w:bottom w:val="nil"/>
              <w:right w:val="nil"/>
            </w:tcBorders>
            <w:shd w:val="clear" w:color="auto" w:fill="auto"/>
            <w:noWrap/>
            <w:vAlign w:val="center"/>
          </w:tcPr>
          <w:p w14:paraId="49D74ED9">
            <w:pPr>
              <w:widowControl/>
              <w:overflowPunct w:val="0"/>
              <w:autoSpaceDE w:val="0"/>
              <w:autoSpaceDN w:val="0"/>
              <w:spacing w:line="240" w:lineRule="auto"/>
              <w:jc w:val="center"/>
              <w:rPr>
                <w:rFonts w:ascii="黑体" w:eastAsia="黑体" w:hAnsi="宋体" w:cs="宋体"/>
                <w:kern w:val="0"/>
                <w:sz w:val="38"/>
                <w:szCs w:val="38"/>
              </w:rPr>
            </w:pPr>
          </w:p>
        </w:tc>
        <w:tc>
          <w:tcPr>
            <w:tcW w:w="4000" w:type="dxa"/>
            <w:tcBorders>
              <w:top w:val="nil"/>
              <w:left w:val="nil"/>
              <w:bottom w:val="nil"/>
              <w:right w:val="nil"/>
            </w:tcBorders>
            <w:shd w:val="clear" w:color="000000" w:fill="FFFFFF"/>
            <w:noWrap/>
            <w:vAlign w:val="bottom"/>
          </w:tcPr>
          <w:p w14:paraId="70D10D73">
            <w:pPr>
              <w:widowControl/>
              <w:overflowPunct w:val="0"/>
              <w:autoSpaceDE w:val="0"/>
              <w:autoSpaceDN w:val="0"/>
              <w:spacing w:line="240" w:lineRule="auto"/>
              <w:jc w:val="right"/>
              <w:rPr>
                <w:rFonts w:ascii="宋体" w:eastAsia="宋体" w:hAnsi="宋体" w:cs="宋体"/>
                <w:kern w:val="0"/>
                <w:sz w:val="24"/>
                <w:szCs w:val="24"/>
              </w:rPr>
            </w:pPr>
            <w:r>
              <w:rPr>
                <w:rFonts w:ascii="宋体" w:eastAsia="宋体" w:hAnsi="宋体" w:cs="宋体" w:hint="eastAsia"/>
                <w:kern w:val="0"/>
                <w:sz w:val="24"/>
                <w:szCs w:val="24"/>
              </w:rPr>
              <w:t>公开07表</w:t>
            </w:r>
          </w:p>
        </w:tc>
      </w:tr>
      <w:tr w14:paraId="17B58364">
        <w:tblPrEx>
          <w:tblW w:w="8871" w:type="dxa"/>
          <w:jc w:val="center"/>
          <w:tblLayout w:type="fixed"/>
          <w:tblCellMar>
            <w:top w:w="0" w:type="dxa"/>
            <w:left w:w="108" w:type="dxa"/>
            <w:bottom w:w="0" w:type="dxa"/>
            <w:right w:w="108" w:type="dxa"/>
          </w:tblCellMar>
        </w:tblPrEx>
        <w:trPr>
          <w:trHeight w:val="375"/>
          <w:jc w:val="center"/>
        </w:trPr>
        <w:tc>
          <w:tcPr>
            <w:tcW w:w="4871" w:type="dxa"/>
            <w:gridSpan w:val="2"/>
            <w:tcBorders>
              <w:top w:val="nil"/>
              <w:left w:val="nil"/>
              <w:bottom w:val="nil"/>
              <w:right w:val="nil"/>
            </w:tcBorders>
            <w:shd w:val="clear" w:color="auto" w:fill="auto"/>
            <w:noWrap/>
            <w:vAlign w:val="center"/>
          </w:tcPr>
          <w:p w14:paraId="51C43BFA">
            <w:pPr>
              <w:widowControl/>
              <w:overflowPunct w:val="0"/>
              <w:autoSpaceDE w:val="0"/>
              <w:autoSpaceDN w:val="0"/>
              <w:spacing w:line="240" w:lineRule="auto"/>
              <w:jc w:val="left"/>
              <w:rPr>
                <w:rFonts w:ascii="宋体" w:eastAsia="宋体" w:hAnsi="宋体" w:cs="宋体"/>
                <w:color w:val="000000"/>
                <w:kern w:val="0"/>
                <w:sz w:val="22"/>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4000" w:type="dxa"/>
            <w:tcBorders>
              <w:top w:val="nil"/>
              <w:left w:val="nil"/>
              <w:bottom w:val="nil"/>
              <w:right w:val="nil"/>
            </w:tcBorders>
            <w:shd w:val="clear" w:color="auto" w:fill="auto"/>
            <w:noWrap/>
            <w:vAlign w:val="center"/>
          </w:tcPr>
          <w:p w14:paraId="2DC52AAB">
            <w:pPr>
              <w:widowControl/>
              <w:overflowPunct w:val="0"/>
              <w:autoSpaceDE w:val="0"/>
              <w:autoSpaceDN w:val="0"/>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单位：万元</w:t>
            </w:r>
          </w:p>
        </w:tc>
      </w:tr>
      <w:tr w14:paraId="49E69DF0">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77153">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项目</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748D8D96">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行次</w:t>
            </w:r>
          </w:p>
        </w:tc>
        <w:tc>
          <w:tcPr>
            <w:tcW w:w="4000" w:type="dxa"/>
            <w:tcBorders>
              <w:top w:val="single" w:sz="4" w:space="0" w:color="auto"/>
              <w:left w:val="nil"/>
              <w:bottom w:val="single" w:sz="4" w:space="0" w:color="auto"/>
              <w:right w:val="single" w:sz="4" w:space="0" w:color="auto"/>
            </w:tcBorders>
            <w:shd w:val="clear" w:color="auto" w:fill="auto"/>
            <w:noWrap/>
            <w:vAlign w:val="center"/>
          </w:tcPr>
          <w:p w14:paraId="2D62B0BC">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决算数</w:t>
            </w:r>
          </w:p>
        </w:tc>
      </w:tr>
      <w:tr w14:paraId="3CFE2688">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nil"/>
              <w:left w:val="single" w:sz="4" w:space="0" w:color="auto"/>
              <w:bottom w:val="single" w:sz="4" w:space="0" w:color="auto"/>
              <w:right w:val="single" w:sz="4" w:space="0" w:color="auto"/>
            </w:tcBorders>
            <w:shd w:val="clear" w:color="auto" w:fill="auto"/>
            <w:noWrap/>
            <w:vAlign w:val="center"/>
          </w:tcPr>
          <w:p w14:paraId="781EB4EE">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c>
          <w:tcPr>
            <w:tcW w:w="785" w:type="dxa"/>
            <w:tcBorders>
              <w:top w:val="nil"/>
              <w:left w:val="nil"/>
              <w:bottom w:val="single" w:sz="4" w:space="0" w:color="auto"/>
              <w:right w:val="single" w:sz="4" w:space="0" w:color="auto"/>
            </w:tcBorders>
            <w:shd w:val="clear" w:color="auto" w:fill="auto"/>
            <w:noWrap/>
            <w:vAlign w:val="center"/>
          </w:tcPr>
          <w:p w14:paraId="0D58D438">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4000" w:type="dxa"/>
            <w:tcBorders>
              <w:top w:val="nil"/>
              <w:left w:val="nil"/>
              <w:bottom w:val="single" w:sz="4" w:space="0" w:color="auto"/>
              <w:right w:val="single" w:sz="4" w:space="0" w:color="auto"/>
            </w:tcBorders>
            <w:shd w:val="clear" w:color="auto" w:fill="auto"/>
            <w:noWrap/>
            <w:vAlign w:val="center"/>
          </w:tcPr>
          <w:p w14:paraId="7B70B0FD">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1.65</w:t>
            </w:r>
            <w:r>
              <w:rPr>
                <w:rFonts w:ascii="宋体" w:eastAsia="宋体" w:hAnsi="宋体" w:cs="宋体"/>
                <w:color w:val="000000"/>
                <w:u w:color="auto"/>
              </w:rPr>
              <w:t>　</w:t>
            </w:r>
          </w:p>
        </w:tc>
      </w:tr>
      <w:tr w14:paraId="6E69615C">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ABE32">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1. 因公出国（境）费</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75CF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4D17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49485E19">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09820">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2. 公务用车购置及运行维护费</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21F58EA2">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4000" w:type="dxa"/>
            <w:tcBorders>
              <w:top w:val="single" w:sz="4" w:space="0" w:color="auto"/>
              <w:left w:val="nil"/>
              <w:bottom w:val="single" w:sz="4" w:space="0" w:color="auto"/>
              <w:right w:val="single" w:sz="4" w:space="0" w:color="auto"/>
            </w:tcBorders>
            <w:shd w:val="clear" w:color="auto" w:fill="auto"/>
            <w:noWrap/>
            <w:vAlign w:val="center"/>
          </w:tcPr>
          <w:p w14:paraId="32569AFA">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1.65</w:t>
            </w:r>
            <w:r>
              <w:rPr>
                <w:rFonts w:ascii="宋体" w:eastAsia="宋体" w:hAnsi="宋体" w:cs="宋体"/>
                <w:color w:val="000000"/>
                <w:u w:color="auto"/>
              </w:rPr>
              <w:t>　</w:t>
            </w:r>
          </w:p>
        </w:tc>
      </w:tr>
      <w:tr w14:paraId="3EFE2A36">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A7186">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其中：（1）公务用车购置费</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B3629">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1C5E1">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6194A057">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32CDD">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（2）公务用车运行维护费</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01D253E1">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000" w:type="dxa"/>
            <w:tcBorders>
              <w:top w:val="single" w:sz="4" w:space="0" w:color="auto"/>
              <w:left w:val="nil"/>
              <w:bottom w:val="single" w:sz="4" w:space="0" w:color="auto"/>
              <w:right w:val="single" w:sz="4" w:space="0" w:color="auto"/>
            </w:tcBorders>
            <w:shd w:val="clear" w:color="auto" w:fill="auto"/>
            <w:noWrap/>
            <w:vAlign w:val="center"/>
          </w:tcPr>
          <w:p w14:paraId="5475CCC4">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1.65</w:t>
            </w:r>
            <w:r>
              <w:rPr>
                <w:rFonts w:ascii="宋体" w:eastAsia="宋体" w:hAnsi="宋体" w:cs="宋体"/>
                <w:color w:val="000000"/>
                <w:u w:color="auto"/>
              </w:rPr>
              <w:t>　</w:t>
            </w:r>
          </w:p>
        </w:tc>
      </w:tr>
      <w:tr w14:paraId="30AF4FAD">
        <w:tblPrEx>
          <w:tblW w:w="8871" w:type="dxa"/>
          <w:jc w:val="center"/>
          <w:tblLayout w:type="fixed"/>
          <w:tblCellMar>
            <w:top w:w="0" w:type="dxa"/>
            <w:left w:w="108" w:type="dxa"/>
            <w:bottom w:w="0" w:type="dxa"/>
            <w:right w:w="108" w:type="dxa"/>
          </w:tblCellMar>
        </w:tblPrEx>
        <w:trPr>
          <w:trHeight w:val="615"/>
          <w:jc w:val="center"/>
        </w:trPr>
        <w:tc>
          <w:tcPr>
            <w:tcW w:w="4086" w:type="dxa"/>
            <w:tcBorders>
              <w:top w:val="nil"/>
              <w:left w:val="single" w:sz="4" w:space="0" w:color="auto"/>
              <w:bottom w:val="single" w:sz="4" w:space="0" w:color="auto"/>
              <w:right w:val="single" w:sz="4" w:space="0" w:color="auto"/>
            </w:tcBorders>
            <w:shd w:val="clear" w:color="auto" w:fill="auto"/>
            <w:noWrap/>
            <w:vAlign w:val="center"/>
          </w:tcPr>
          <w:p w14:paraId="03B44408">
            <w:pPr>
              <w:widowControl/>
              <w:overflowPunct w:val="0"/>
              <w:autoSpaceDE w:val="0"/>
              <w:autoSpaceDN w:val="0"/>
              <w:spacing w:line="240" w:lineRule="auto"/>
              <w:jc w:val="left"/>
              <w:rPr>
                <w:rFonts w:ascii="宋体" w:eastAsia="宋体" w:hAnsi="宋体" w:cs="宋体"/>
                <w:color w:val="000000"/>
                <w:kern w:val="0"/>
                <w:szCs w:val="21"/>
              </w:rPr>
            </w:pPr>
            <w:r>
              <w:rPr>
                <w:rFonts w:ascii="宋体" w:eastAsia="宋体" w:hAnsi="宋体" w:cs="宋体" w:hint="eastAsia"/>
                <w:color w:val="000000"/>
                <w:kern w:val="0"/>
                <w:szCs w:val="21"/>
              </w:rPr>
              <w:t>3. 公务接待费</w:t>
            </w:r>
          </w:p>
        </w:tc>
        <w:tc>
          <w:tcPr>
            <w:tcW w:w="785" w:type="dxa"/>
            <w:tcBorders>
              <w:top w:val="nil"/>
              <w:left w:val="nil"/>
              <w:bottom w:val="single" w:sz="4" w:space="0" w:color="auto"/>
              <w:right w:val="single" w:sz="4" w:space="0" w:color="auto"/>
            </w:tcBorders>
            <w:shd w:val="clear" w:color="auto" w:fill="auto"/>
            <w:noWrap/>
            <w:vAlign w:val="center"/>
          </w:tcPr>
          <w:p w14:paraId="624AACC0">
            <w:pPr>
              <w:widowControl/>
              <w:overflowPunct w:val="0"/>
              <w:autoSpaceDE w:val="0"/>
              <w:autoSpaceDN w:val="0"/>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4000" w:type="dxa"/>
            <w:tcBorders>
              <w:top w:val="nil"/>
              <w:left w:val="nil"/>
              <w:bottom w:val="single" w:sz="4" w:space="0" w:color="auto"/>
              <w:right w:val="single" w:sz="4" w:space="0" w:color="auto"/>
            </w:tcBorders>
            <w:shd w:val="clear" w:color="auto" w:fill="auto"/>
            <w:noWrap/>
            <w:vAlign w:val="center"/>
          </w:tcPr>
          <w:p w14:paraId="0CB20619">
            <w:pPr>
              <w:widowControl/>
              <w:overflowPunct w:val="0"/>
              <w:autoSpaceDE w:val="0"/>
              <w:autoSpaceDN w:val="0"/>
              <w:spacing w:line="240" w:lineRule="auto"/>
              <w:jc w:val="right"/>
              <w:rPr>
                <w:rFonts w:ascii="宋体" w:eastAsia="宋体" w:hAnsi="宋体" w:cs="宋体"/>
                <w:color w:val="000000"/>
                <w:kern w:val="0"/>
                <w:szCs w:val="21"/>
              </w:rPr>
            </w:pPr>
            <w:r>
              <w:rPr>
                <w:rFonts w:ascii="宋体" w:eastAsia="宋体" w:hAnsi="宋体" w:cs="宋体" w:hint="eastAsia"/>
                <w:color w:val="000000"/>
                <w:kern w:val="0"/>
                <w:szCs w:val="21"/>
              </w:rPr>
              <w:t>0.00</w:t>
            </w:r>
            <w:r>
              <w:rPr>
                <w:rFonts w:ascii="宋体" w:eastAsia="宋体" w:hAnsi="宋体" w:cs="宋体"/>
                <w:color w:val="000000"/>
                <w:u w:color="auto"/>
              </w:rPr>
              <w:t>　</w:t>
            </w:r>
          </w:p>
        </w:tc>
      </w:tr>
      <w:tr w14:paraId="4F26DB6C">
        <w:tblPrEx>
          <w:tblW w:w="8871" w:type="dxa"/>
          <w:jc w:val="center"/>
          <w:tblLayout w:type="fixed"/>
          <w:tblCellMar>
            <w:top w:w="0" w:type="dxa"/>
            <w:left w:w="108" w:type="dxa"/>
            <w:bottom w:w="0" w:type="dxa"/>
            <w:right w:w="108" w:type="dxa"/>
          </w:tblCellMar>
        </w:tblPrEx>
        <w:trPr>
          <w:trHeight w:val="495"/>
          <w:jc w:val="center"/>
        </w:trPr>
        <w:tc>
          <w:tcPr>
            <w:tcW w:w="8871" w:type="dxa"/>
            <w:gridSpan w:val="3"/>
            <w:tcBorders>
              <w:top w:val="single" w:sz="4" w:space="0" w:color="auto"/>
              <w:left w:val="nil"/>
              <w:bottom w:val="nil"/>
              <w:right w:val="nil"/>
            </w:tcBorders>
            <w:shd w:val="clear" w:color="auto" w:fill="auto"/>
            <w:vAlign w:val="center"/>
          </w:tcPr>
          <w:p w14:paraId="2D407B4B">
            <w:pPr>
              <w:widowControl/>
              <w:overflowPunct w:val="0"/>
              <w:autoSpaceDE w:val="0"/>
              <w:autoSpaceDN w:val="0"/>
              <w:spacing w:line="240" w:lineRule="auto"/>
              <w:jc w:val="left"/>
              <w:rPr>
                <w:rFonts w:ascii="宋体" w:eastAsia="宋体" w:hAnsi="宋体" w:cs="宋体"/>
                <w:kern w:val="0"/>
                <w:sz w:val="24"/>
                <w:szCs w:val="24"/>
              </w:rPr>
            </w:pPr>
            <w:r>
              <w:rPr>
                <w:rFonts w:ascii="宋体" w:eastAsia="宋体" w:hAnsi="宋体" w:cs="宋体" w:hint="eastAsia"/>
                <w:sz w:val="24"/>
                <w:szCs w:val="24"/>
              </w:rPr>
              <w:t>注：本表反映单位本年度“三公”经费支出决算情况，包括当年一般公共预算财政拨款和以前年度结转资金安排的实际支出。</w:t>
            </w:r>
          </w:p>
        </w:tc>
      </w:tr>
    </w:tbl>
    <w:p w14:paraId="365E2297">
      <w:pPr>
        <w:pStyle w:val="Default"/>
        <w:overflowPunct w:val="0"/>
        <w:rPr>
          <w:rFonts w:ascii="Times New Roman" w:hAnsi="Times New Roman" w:eastAsiaTheme="minorEastAsia" w:cs="Times New Roman"/>
        </w:rPr>
      </w:pPr>
    </w:p>
    <w:p w14:paraId="29F02892">
      <w:pPr>
        <w:widowControl/>
        <w:overflowPunct w:val="0"/>
        <w:autoSpaceDE w:val="0"/>
        <w:autoSpaceDN w:val="0"/>
        <w:spacing w:line="240" w:lineRule="auto"/>
        <w:jc w:val="left"/>
        <w:rPr>
          <w:rFonts w:ascii="黑体" w:eastAsia="黑体" w:hAnsi="仿宋"/>
          <w:sz w:val="32"/>
          <w:szCs w:val="32"/>
        </w:rPr>
      </w:pPr>
      <w:r>
        <w:rPr>
          <w:rFonts w:ascii="黑体" w:eastAsia="黑体" w:hAnsi="仿宋"/>
          <w:sz w:val="32"/>
          <w:szCs w:val="32"/>
        </w:rPr>
        <w:br w:type="page"/>
      </w:r>
    </w:p>
    <w:p w14:paraId="00AA0F88">
      <w:pPr>
        <w:overflowPunct w:val="0"/>
        <w:autoSpaceDE w:val="0"/>
        <w:autoSpaceDN w:val="0"/>
        <w:jc w:val="left"/>
        <w:outlineLvl w:val="1"/>
        <w:rPr>
          <w:rFonts w:ascii="黑体" w:eastAsia="黑体" w:hAnsi="仿宋"/>
          <w:sz w:val="32"/>
          <w:szCs w:val="32"/>
        </w:rPr>
      </w:pPr>
      <w:bookmarkStart w:id="16" w:name="_Toc256000014"/>
      <w:r>
        <w:rPr>
          <w:rFonts w:ascii="黑体" w:eastAsia="黑体" w:hAnsi="仿宋" w:hint="eastAsia"/>
          <w:sz w:val="32"/>
          <w:szCs w:val="32"/>
        </w:rPr>
        <w:t>八、政府性基金预算财政拨款收入支出决算表</w:t>
      </w:r>
      <w:bookmarkEnd w:id="16"/>
    </w:p>
    <w:tbl>
      <w:tblPr>
        <w:tblStyle w:val="TableNormal"/>
        <w:tblW w:w="9168" w:type="dxa"/>
        <w:tblInd w:w="93" w:type="dxa"/>
        <w:tblLayout w:type="fixed"/>
        <w:tblCellMar>
          <w:top w:w="0" w:type="dxa"/>
          <w:left w:w="108" w:type="dxa"/>
          <w:bottom w:w="0" w:type="dxa"/>
          <w:right w:w="108" w:type="dxa"/>
        </w:tblCellMar>
      </w:tblPr>
      <w:tblGrid>
        <w:gridCol w:w="436"/>
        <w:gridCol w:w="34"/>
        <w:gridCol w:w="376"/>
        <w:gridCol w:w="94"/>
        <w:gridCol w:w="397"/>
        <w:gridCol w:w="1304"/>
        <w:gridCol w:w="1122"/>
        <w:gridCol w:w="1107"/>
        <w:gridCol w:w="1055"/>
        <w:gridCol w:w="1055"/>
        <w:gridCol w:w="1056"/>
        <w:gridCol w:w="1132"/>
      </w:tblGrid>
      <w:tr w14:paraId="612EFF84">
        <w:tblPrEx>
          <w:tblW w:w="9168" w:type="dxa"/>
          <w:tblInd w:w="93" w:type="dxa"/>
          <w:tblLayout w:type="fixed"/>
          <w:tblCellMar>
            <w:top w:w="0" w:type="dxa"/>
            <w:left w:w="108" w:type="dxa"/>
            <w:bottom w:w="0" w:type="dxa"/>
            <w:right w:w="108" w:type="dxa"/>
          </w:tblCellMar>
        </w:tblPrEx>
        <w:trPr>
          <w:trHeight w:val="735"/>
        </w:trPr>
        <w:tc>
          <w:tcPr>
            <w:tcW w:w="9168" w:type="dxa"/>
            <w:gridSpan w:val="12"/>
            <w:tcBorders>
              <w:top w:val="nil"/>
              <w:left w:val="nil"/>
              <w:bottom w:val="nil"/>
              <w:right w:val="nil"/>
            </w:tcBorders>
            <w:shd w:val="clear" w:color="auto" w:fill="auto"/>
            <w:noWrap/>
            <w:vAlign w:val="center"/>
          </w:tcPr>
          <w:p w14:paraId="2608A570">
            <w:pPr>
              <w:widowControl/>
              <w:overflowPunct w:val="0"/>
              <w:autoSpaceDE w:val="0"/>
              <w:autoSpaceDN w:val="0"/>
              <w:spacing w:line="240" w:lineRule="auto"/>
              <w:jc w:val="center"/>
              <w:rPr>
                <w:rFonts w:ascii="宋体" w:eastAsia="黑体" w:hAnsi="宋体" w:cs="Arial"/>
                <w:color w:val="000000"/>
                <w:kern w:val="0"/>
                <w:sz w:val="44"/>
                <w:szCs w:val="44"/>
              </w:rPr>
            </w:pPr>
            <w:r>
              <w:rPr>
                <w:rFonts w:ascii="黑体" w:eastAsia="黑体" w:hAnsi="Arial" w:cs="Arial" w:hint="eastAsia"/>
                <w:color w:val="000000"/>
                <w:kern w:val="0"/>
                <w:sz w:val="36"/>
                <w:szCs w:val="36"/>
              </w:rPr>
              <w:t>政府性基金预算财政拨款收入支出决算表</w:t>
            </w:r>
          </w:p>
        </w:tc>
      </w:tr>
      <w:tr w14:paraId="0466BDC2">
        <w:tblPrEx>
          <w:tblW w:w="9168" w:type="dxa"/>
          <w:tblInd w:w="93" w:type="dxa"/>
          <w:tblLayout w:type="fixed"/>
          <w:tblCellMar>
            <w:top w:w="0" w:type="dxa"/>
            <w:left w:w="108" w:type="dxa"/>
            <w:bottom w:w="0" w:type="dxa"/>
            <w:right w:w="108" w:type="dxa"/>
          </w:tblCellMar>
        </w:tblPrEx>
        <w:trPr>
          <w:trHeight w:val="300"/>
        </w:trPr>
        <w:tc>
          <w:tcPr>
            <w:tcW w:w="436" w:type="dxa"/>
            <w:tcBorders>
              <w:top w:val="nil"/>
              <w:left w:val="nil"/>
              <w:bottom w:val="nil"/>
              <w:right w:val="nil"/>
            </w:tcBorders>
            <w:shd w:val="clear" w:color="auto" w:fill="auto"/>
            <w:noWrap/>
            <w:vAlign w:val="bottom"/>
          </w:tcPr>
          <w:p w14:paraId="3BF6DD19">
            <w:pPr>
              <w:widowControl/>
              <w:overflowPunct w:val="0"/>
              <w:autoSpaceDE w:val="0"/>
              <w:autoSpaceDN w:val="0"/>
              <w:spacing w:line="240" w:lineRule="auto"/>
              <w:jc w:val="left"/>
              <w:rPr>
                <w:rFonts w:ascii="Arial" w:eastAsia="宋体" w:hAnsi="Arial" w:cs="Arial"/>
                <w:color w:val="000000"/>
                <w:kern w:val="0"/>
                <w:sz w:val="20"/>
                <w:szCs w:val="20"/>
              </w:rPr>
            </w:pPr>
          </w:p>
        </w:tc>
        <w:tc>
          <w:tcPr>
            <w:tcW w:w="410" w:type="dxa"/>
            <w:gridSpan w:val="2"/>
            <w:tcBorders>
              <w:top w:val="nil"/>
              <w:left w:val="nil"/>
              <w:bottom w:val="nil"/>
              <w:right w:val="nil"/>
            </w:tcBorders>
            <w:shd w:val="clear" w:color="auto" w:fill="auto"/>
            <w:noWrap/>
            <w:vAlign w:val="bottom"/>
          </w:tcPr>
          <w:p w14:paraId="338F231B">
            <w:pPr>
              <w:widowControl/>
              <w:overflowPunct w:val="0"/>
              <w:autoSpaceDE w:val="0"/>
              <w:autoSpaceDN w:val="0"/>
              <w:spacing w:line="240" w:lineRule="auto"/>
              <w:jc w:val="left"/>
              <w:rPr>
                <w:rFonts w:ascii="Arial" w:eastAsia="宋体" w:hAnsi="Arial" w:cs="Arial"/>
                <w:color w:val="000000"/>
                <w:kern w:val="0"/>
                <w:sz w:val="20"/>
                <w:szCs w:val="20"/>
              </w:rPr>
            </w:pPr>
          </w:p>
        </w:tc>
        <w:tc>
          <w:tcPr>
            <w:tcW w:w="491" w:type="dxa"/>
            <w:gridSpan w:val="2"/>
            <w:tcBorders>
              <w:top w:val="nil"/>
              <w:left w:val="nil"/>
              <w:bottom w:val="nil"/>
              <w:right w:val="nil"/>
            </w:tcBorders>
            <w:shd w:val="clear" w:color="auto" w:fill="auto"/>
            <w:noWrap/>
            <w:vAlign w:val="bottom"/>
          </w:tcPr>
          <w:p w14:paraId="5A1C3BC7">
            <w:pPr>
              <w:widowControl/>
              <w:overflowPunct w:val="0"/>
              <w:autoSpaceDE w:val="0"/>
              <w:autoSpaceDN w:val="0"/>
              <w:spacing w:line="240" w:lineRule="auto"/>
              <w:jc w:val="left"/>
              <w:rPr>
                <w:rFonts w:ascii="Arial" w:eastAsia="宋体" w:hAnsi="Arial" w:cs="Arial"/>
                <w:color w:val="000000"/>
                <w:kern w:val="0"/>
                <w:sz w:val="20"/>
                <w:szCs w:val="20"/>
              </w:rPr>
            </w:pPr>
          </w:p>
        </w:tc>
        <w:tc>
          <w:tcPr>
            <w:tcW w:w="1304" w:type="dxa"/>
            <w:tcBorders>
              <w:top w:val="nil"/>
              <w:left w:val="nil"/>
              <w:bottom w:val="nil"/>
              <w:right w:val="nil"/>
            </w:tcBorders>
            <w:shd w:val="clear" w:color="auto" w:fill="auto"/>
            <w:noWrap/>
            <w:vAlign w:val="bottom"/>
          </w:tcPr>
          <w:p w14:paraId="03CA6056">
            <w:pPr>
              <w:widowControl/>
              <w:overflowPunct w:val="0"/>
              <w:autoSpaceDE w:val="0"/>
              <w:autoSpaceDN w:val="0"/>
              <w:spacing w:line="240" w:lineRule="auto"/>
              <w:jc w:val="left"/>
              <w:rPr>
                <w:rFonts w:ascii="Arial" w:eastAsia="宋体" w:hAnsi="Arial" w:cs="Arial"/>
                <w:color w:val="000000"/>
                <w:kern w:val="0"/>
                <w:sz w:val="20"/>
                <w:szCs w:val="20"/>
              </w:rPr>
            </w:pPr>
          </w:p>
        </w:tc>
        <w:tc>
          <w:tcPr>
            <w:tcW w:w="1122" w:type="dxa"/>
            <w:tcBorders>
              <w:top w:val="nil"/>
              <w:left w:val="nil"/>
              <w:bottom w:val="nil"/>
              <w:right w:val="nil"/>
            </w:tcBorders>
            <w:shd w:val="clear" w:color="auto" w:fill="auto"/>
            <w:noWrap/>
            <w:vAlign w:val="bottom"/>
          </w:tcPr>
          <w:p w14:paraId="617148F9">
            <w:pPr>
              <w:widowControl/>
              <w:overflowPunct w:val="0"/>
              <w:autoSpaceDE w:val="0"/>
              <w:autoSpaceDN w:val="0"/>
              <w:spacing w:line="240" w:lineRule="auto"/>
              <w:jc w:val="left"/>
              <w:rPr>
                <w:rFonts w:ascii="Arial" w:eastAsia="宋体" w:hAnsi="Arial" w:cs="Arial"/>
                <w:color w:val="000000"/>
                <w:kern w:val="0"/>
                <w:sz w:val="20"/>
                <w:szCs w:val="20"/>
              </w:rPr>
            </w:pPr>
          </w:p>
        </w:tc>
        <w:tc>
          <w:tcPr>
            <w:tcW w:w="1107" w:type="dxa"/>
            <w:tcBorders>
              <w:top w:val="nil"/>
              <w:left w:val="nil"/>
              <w:bottom w:val="nil"/>
              <w:right w:val="nil"/>
            </w:tcBorders>
            <w:shd w:val="clear" w:color="auto" w:fill="auto"/>
            <w:noWrap/>
            <w:vAlign w:val="bottom"/>
          </w:tcPr>
          <w:p w14:paraId="039254D0">
            <w:pPr>
              <w:widowControl/>
              <w:overflowPunct w:val="0"/>
              <w:autoSpaceDE w:val="0"/>
              <w:autoSpaceDN w:val="0"/>
              <w:spacing w:line="240" w:lineRule="auto"/>
              <w:jc w:val="left"/>
              <w:rPr>
                <w:rFonts w:ascii="Arial" w:eastAsia="宋体" w:hAnsi="Arial" w:cs="Arial"/>
                <w:color w:val="000000"/>
                <w:kern w:val="0"/>
                <w:sz w:val="20"/>
                <w:szCs w:val="20"/>
              </w:rPr>
            </w:pPr>
          </w:p>
        </w:tc>
        <w:tc>
          <w:tcPr>
            <w:tcW w:w="1055" w:type="dxa"/>
            <w:tcBorders>
              <w:top w:val="nil"/>
              <w:left w:val="nil"/>
              <w:bottom w:val="nil"/>
              <w:right w:val="nil"/>
            </w:tcBorders>
            <w:shd w:val="clear" w:color="auto" w:fill="auto"/>
            <w:noWrap/>
            <w:vAlign w:val="bottom"/>
          </w:tcPr>
          <w:p w14:paraId="541B00C0">
            <w:pPr>
              <w:widowControl/>
              <w:overflowPunct w:val="0"/>
              <w:autoSpaceDE w:val="0"/>
              <w:autoSpaceDN w:val="0"/>
              <w:spacing w:line="240" w:lineRule="auto"/>
              <w:jc w:val="left"/>
              <w:rPr>
                <w:rFonts w:ascii="Arial" w:eastAsia="宋体" w:hAnsi="Arial" w:cs="Arial"/>
                <w:color w:val="000000"/>
                <w:kern w:val="0"/>
                <w:sz w:val="20"/>
                <w:szCs w:val="20"/>
              </w:rPr>
            </w:pPr>
          </w:p>
        </w:tc>
        <w:tc>
          <w:tcPr>
            <w:tcW w:w="1055" w:type="dxa"/>
            <w:tcBorders>
              <w:top w:val="nil"/>
              <w:left w:val="nil"/>
              <w:bottom w:val="nil"/>
              <w:right w:val="nil"/>
            </w:tcBorders>
            <w:shd w:val="clear" w:color="auto" w:fill="auto"/>
            <w:noWrap/>
            <w:vAlign w:val="bottom"/>
          </w:tcPr>
          <w:p w14:paraId="06593DF9">
            <w:pPr>
              <w:widowControl/>
              <w:overflowPunct w:val="0"/>
              <w:autoSpaceDE w:val="0"/>
              <w:autoSpaceDN w:val="0"/>
              <w:spacing w:line="240" w:lineRule="auto"/>
              <w:jc w:val="left"/>
              <w:rPr>
                <w:rFonts w:ascii="Arial" w:eastAsia="宋体" w:hAnsi="Arial" w:cs="Arial"/>
                <w:color w:val="000000"/>
                <w:kern w:val="0"/>
                <w:sz w:val="20"/>
                <w:szCs w:val="20"/>
              </w:rPr>
            </w:pPr>
          </w:p>
        </w:tc>
        <w:tc>
          <w:tcPr>
            <w:tcW w:w="1056" w:type="dxa"/>
            <w:tcBorders>
              <w:top w:val="nil"/>
              <w:left w:val="nil"/>
              <w:bottom w:val="nil"/>
              <w:right w:val="nil"/>
            </w:tcBorders>
            <w:shd w:val="clear" w:color="auto" w:fill="auto"/>
            <w:noWrap/>
            <w:vAlign w:val="bottom"/>
          </w:tcPr>
          <w:p w14:paraId="56E7BB9B">
            <w:pPr>
              <w:widowControl/>
              <w:overflowPunct w:val="0"/>
              <w:autoSpaceDE w:val="0"/>
              <w:autoSpaceDN w:val="0"/>
              <w:spacing w:line="240" w:lineRule="auto"/>
              <w:jc w:val="left"/>
              <w:rPr>
                <w:rFonts w:ascii="Arial" w:eastAsia="宋体" w:hAnsi="Arial" w:cs="Arial"/>
                <w:color w:val="000000"/>
                <w:kern w:val="0"/>
                <w:sz w:val="20"/>
                <w:szCs w:val="20"/>
              </w:rPr>
            </w:pPr>
          </w:p>
        </w:tc>
        <w:tc>
          <w:tcPr>
            <w:tcW w:w="1132" w:type="dxa"/>
            <w:tcBorders>
              <w:top w:val="nil"/>
              <w:left w:val="nil"/>
              <w:bottom w:val="nil"/>
              <w:right w:val="nil"/>
            </w:tcBorders>
            <w:shd w:val="clear" w:color="auto" w:fill="auto"/>
            <w:noWrap/>
            <w:vAlign w:val="bottom"/>
          </w:tcPr>
          <w:p w14:paraId="627A597D">
            <w:pPr>
              <w:widowControl/>
              <w:overflowPunct w:val="0"/>
              <w:autoSpaceDE w:val="0"/>
              <w:autoSpaceDN w:val="0"/>
              <w:spacing w:line="240" w:lineRule="auto"/>
              <w:jc w:val="right"/>
              <w:rPr>
                <w:rFonts w:ascii="宋体" w:eastAsia="宋体" w:hAnsi="宋体" w:cs="Arial"/>
                <w:color w:val="000000"/>
                <w:kern w:val="0"/>
                <w:sz w:val="24"/>
                <w:szCs w:val="24"/>
              </w:rPr>
            </w:pPr>
            <w:r>
              <w:rPr>
                <w:rFonts w:ascii="宋体" w:eastAsia="宋体" w:hAnsi="宋体" w:cs="Arial" w:hint="eastAsia"/>
                <w:kern w:val="0"/>
                <w:sz w:val="20"/>
                <w:szCs w:val="20"/>
              </w:rPr>
              <w:t>公开08表</w:t>
            </w:r>
          </w:p>
        </w:tc>
      </w:tr>
      <w:tr w14:paraId="15F3B07A">
        <w:tblPrEx>
          <w:tblW w:w="9168" w:type="dxa"/>
          <w:tblInd w:w="93" w:type="dxa"/>
          <w:tblLayout w:type="fixed"/>
          <w:tblCellMar>
            <w:top w:w="0" w:type="dxa"/>
            <w:left w:w="108" w:type="dxa"/>
            <w:bottom w:w="0" w:type="dxa"/>
            <w:right w:w="108" w:type="dxa"/>
          </w:tblCellMar>
        </w:tblPrEx>
        <w:trPr>
          <w:trHeight w:val="315"/>
        </w:trPr>
        <w:tc>
          <w:tcPr>
            <w:tcW w:w="5925" w:type="dxa"/>
            <w:gridSpan w:val="9"/>
            <w:tcBorders>
              <w:top w:val="nil"/>
              <w:left w:val="nil"/>
              <w:bottom w:val="nil"/>
              <w:right w:val="nil"/>
            </w:tcBorders>
            <w:shd w:val="clear" w:color="auto" w:fill="auto"/>
            <w:noWrap/>
            <w:vAlign w:val="bottom"/>
          </w:tcPr>
          <w:p w14:paraId="399DC645">
            <w:pPr>
              <w:widowControl/>
              <w:overflowPunct w:val="0"/>
              <w:autoSpaceDE w:val="0"/>
              <w:autoSpaceDN w:val="0"/>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1055" w:type="dxa"/>
            <w:tcBorders>
              <w:top w:val="nil"/>
              <w:left w:val="nil"/>
              <w:bottom w:val="nil"/>
              <w:right w:val="nil"/>
            </w:tcBorders>
            <w:shd w:val="clear" w:color="auto" w:fill="auto"/>
            <w:noWrap/>
            <w:vAlign w:val="bottom"/>
          </w:tcPr>
          <w:p w14:paraId="699E26B0">
            <w:pPr>
              <w:widowControl/>
              <w:overflowPunct w:val="0"/>
              <w:autoSpaceDE w:val="0"/>
              <w:autoSpaceDN w:val="0"/>
              <w:spacing w:line="240" w:lineRule="auto"/>
              <w:jc w:val="left"/>
              <w:rPr>
                <w:rFonts w:ascii="Arial" w:eastAsia="宋体" w:hAnsi="Arial" w:cs="Arial"/>
                <w:color w:val="000000"/>
                <w:kern w:val="0"/>
                <w:sz w:val="20"/>
                <w:szCs w:val="20"/>
              </w:rPr>
            </w:pPr>
          </w:p>
        </w:tc>
        <w:tc>
          <w:tcPr>
            <w:tcW w:w="2188" w:type="dxa"/>
            <w:gridSpan w:val="2"/>
            <w:tcBorders>
              <w:top w:val="nil"/>
              <w:left w:val="nil"/>
              <w:bottom w:val="nil"/>
              <w:right w:val="nil"/>
            </w:tcBorders>
            <w:shd w:val="clear" w:color="auto" w:fill="auto"/>
            <w:noWrap/>
            <w:vAlign w:val="bottom"/>
          </w:tcPr>
          <w:p w14:paraId="35F11A0F">
            <w:pPr>
              <w:widowControl/>
              <w:overflowPunct w:val="0"/>
              <w:autoSpaceDE w:val="0"/>
              <w:autoSpaceDN w:val="0"/>
              <w:spacing w:line="240" w:lineRule="auto"/>
              <w:jc w:val="right"/>
              <w:rPr>
                <w:rFonts w:ascii="宋体" w:eastAsia="宋体" w:hAnsi="宋体" w:cs="Arial"/>
                <w:color w:val="000000"/>
                <w:kern w:val="0"/>
                <w:sz w:val="24"/>
                <w:szCs w:val="24"/>
              </w:rPr>
            </w:pPr>
            <w:r>
              <w:rPr>
                <w:rFonts w:ascii="宋体" w:eastAsia="宋体" w:hAnsi="宋体" w:cs="Arial" w:hint="eastAsia"/>
                <w:color w:val="000000"/>
                <w:kern w:val="0"/>
                <w:sz w:val="24"/>
                <w:szCs w:val="24"/>
              </w:rPr>
              <w:t>单位：万元</w:t>
            </w:r>
          </w:p>
        </w:tc>
      </w:tr>
      <w:tr w14:paraId="087EB132">
        <w:tblPrEx>
          <w:tblW w:w="9168" w:type="dxa"/>
          <w:tblInd w:w="93" w:type="dxa"/>
          <w:tblLayout w:type="fixed"/>
          <w:tblCellMar>
            <w:top w:w="0" w:type="dxa"/>
            <w:left w:w="108" w:type="dxa"/>
            <w:bottom w:w="0" w:type="dxa"/>
            <w:right w:w="108" w:type="dxa"/>
          </w:tblCellMar>
        </w:tblPrEx>
        <w:trPr>
          <w:trHeight w:val="308"/>
        </w:trPr>
        <w:tc>
          <w:tcPr>
            <w:tcW w:w="2641"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14:paraId="461558EE">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w:t>
            </w:r>
          </w:p>
        </w:tc>
        <w:tc>
          <w:tcPr>
            <w:tcW w:w="112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3320F434">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年初结转和结余</w:t>
            </w:r>
          </w:p>
        </w:tc>
        <w:tc>
          <w:tcPr>
            <w:tcW w:w="11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C0AD02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本年收入</w:t>
            </w:r>
          </w:p>
        </w:tc>
        <w:tc>
          <w:tcPr>
            <w:tcW w:w="3166" w:type="dxa"/>
            <w:gridSpan w:val="3"/>
            <w:tcBorders>
              <w:top w:val="single" w:sz="8" w:space="0" w:color="000000"/>
              <w:left w:val="nil"/>
              <w:bottom w:val="single" w:sz="4" w:space="0" w:color="000000"/>
              <w:right w:val="single" w:sz="4" w:space="0" w:color="000000"/>
            </w:tcBorders>
            <w:shd w:val="clear" w:color="auto" w:fill="auto"/>
            <w:vAlign w:val="center"/>
          </w:tcPr>
          <w:p w14:paraId="4E7248CB">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本年支出</w:t>
            </w:r>
          </w:p>
        </w:tc>
        <w:tc>
          <w:tcPr>
            <w:tcW w:w="113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1622F1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年末结转和结余</w:t>
            </w:r>
          </w:p>
        </w:tc>
      </w:tr>
      <w:tr w14:paraId="2B5B5425">
        <w:tblPrEx>
          <w:tblW w:w="9168" w:type="dxa"/>
          <w:tblInd w:w="93" w:type="dxa"/>
          <w:tblLayout w:type="fixed"/>
          <w:tblCellMar>
            <w:top w:w="0" w:type="dxa"/>
            <w:left w:w="108" w:type="dxa"/>
            <w:bottom w:w="0" w:type="dxa"/>
            <w:right w:w="108" w:type="dxa"/>
          </w:tblCellMar>
        </w:tblPrEx>
        <w:trPr>
          <w:trHeight w:val="312"/>
        </w:trPr>
        <w:tc>
          <w:tcPr>
            <w:tcW w:w="1337" w:type="dxa"/>
            <w:gridSpan w:val="5"/>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1EAC15B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支出功能分类科目编码</w:t>
            </w:r>
          </w:p>
        </w:tc>
        <w:tc>
          <w:tcPr>
            <w:tcW w:w="1304" w:type="dxa"/>
            <w:vMerge w:val="restart"/>
            <w:tcBorders>
              <w:top w:val="nil"/>
              <w:left w:val="nil"/>
              <w:bottom w:val="single" w:sz="4" w:space="0" w:color="000000"/>
              <w:right w:val="single" w:sz="4" w:space="0" w:color="000000"/>
            </w:tcBorders>
            <w:shd w:val="clear" w:color="auto" w:fill="auto"/>
            <w:vAlign w:val="center"/>
          </w:tcPr>
          <w:p w14:paraId="3326EBA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科目名称</w:t>
            </w:r>
          </w:p>
        </w:tc>
        <w:tc>
          <w:tcPr>
            <w:tcW w:w="1122" w:type="dxa"/>
            <w:vMerge/>
            <w:tcBorders>
              <w:top w:val="single" w:sz="8" w:space="0" w:color="000000"/>
              <w:left w:val="single" w:sz="4" w:space="0" w:color="000000"/>
              <w:bottom w:val="single" w:sz="4" w:space="0" w:color="000000"/>
              <w:right w:val="single" w:sz="4" w:space="0" w:color="000000"/>
            </w:tcBorders>
            <w:vAlign w:val="center"/>
          </w:tcPr>
          <w:p w14:paraId="5D157018">
            <w:pPr>
              <w:widowControl/>
              <w:overflowPunct w:val="0"/>
              <w:autoSpaceDE w:val="0"/>
              <w:autoSpaceDN w:val="0"/>
              <w:spacing w:line="240" w:lineRule="auto"/>
              <w:jc w:val="left"/>
              <w:rPr>
                <w:rFonts w:ascii="宋体" w:eastAsia="宋体" w:hAnsi="宋体" w:cs="Arial"/>
                <w:color w:val="000000"/>
                <w:kern w:val="0"/>
                <w:szCs w:val="21"/>
              </w:rPr>
            </w:pPr>
          </w:p>
        </w:tc>
        <w:tc>
          <w:tcPr>
            <w:tcW w:w="1107" w:type="dxa"/>
            <w:vMerge/>
            <w:tcBorders>
              <w:top w:val="single" w:sz="8" w:space="0" w:color="000000"/>
              <w:left w:val="single" w:sz="4" w:space="0" w:color="000000"/>
              <w:bottom w:val="single" w:sz="4" w:space="0" w:color="000000"/>
              <w:right w:val="single" w:sz="4" w:space="0" w:color="000000"/>
            </w:tcBorders>
            <w:vAlign w:val="center"/>
          </w:tcPr>
          <w:p w14:paraId="085653D8">
            <w:pPr>
              <w:widowControl/>
              <w:overflowPunct w:val="0"/>
              <w:autoSpaceDE w:val="0"/>
              <w:autoSpaceDN w:val="0"/>
              <w:spacing w:line="240" w:lineRule="auto"/>
              <w:jc w:val="left"/>
              <w:rPr>
                <w:rFonts w:ascii="宋体" w:eastAsia="宋体" w:hAnsi="宋体" w:cs="Arial"/>
                <w:color w:val="000000"/>
                <w:kern w:val="0"/>
                <w:szCs w:val="21"/>
              </w:rPr>
            </w:pPr>
          </w:p>
        </w:tc>
        <w:tc>
          <w:tcPr>
            <w:tcW w:w="1055" w:type="dxa"/>
            <w:vMerge w:val="restart"/>
            <w:tcBorders>
              <w:top w:val="nil"/>
              <w:left w:val="nil"/>
              <w:bottom w:val="single" w:sz="4" w:space="0" w:color="000000"/>
              <w:right w:val="single" w:sz="4" w:space="0" w:color="000000"/>
            </w:tcBorders>
            <w:shd w:val="clear" w:color="auto" w:fill="auto"/>
            <w:vAlign w:val="center"/>
          </w:tcPr>
          <w:p w14:paraId="7B802AB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小计</w:t>
            </w:r>
          </w:p>
        </w:tc>
        <w:tc>
          <w:tcPr>
            <w:tcW w:w="1055" w:type="dxa"/>
            <w:vMerge w:val="restart"/>
            <w:tcBorders>
              <w:top w:val="nil"/>
              <w:left w:val="single" w:sz="4" w:space="0" w:color="000000"/>
              <w:bottom w:val="nil"/>
              <w:right w:val="single" w:sz="4" w:space="0" w:color="000000"/>
            </w:tcBorders>
            <w:shd w:val="clear" w:color="auto" w:fill="auto"/>
            <w:vAlign w:val="center"/>
          </w:tcPr>
          <w:p w14:paraId="7866A6EB">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基本支出</w:t>
            </w:r>
          </w:p>
        </w:tc>
        <w:tc>
          <w:tcPr>
            <w:tcW w:w="1056" w:type="dxa"/>
            <w:vMerge w:val="restart"/>
            <w:tcBorders>
              <w:top w:val="nil"/>
              <w:left w:val="nil"/>
              <w:bottom w:val="single" w:sz="4" w:space="0" w:color="000000"/>
              <w:right w:val="single" w:sz="4" w:space="0" w:color="000000"/>
            </w:tcBorders>
            <w:shd w:val="clear" w:color="auto" w:fill="auto"/>
            <w:vAlign w:val="center"/>
          </w:tcPr>
          <w:p w14:paraId="53AC1FB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项目支出</w:t>
            </w:r>
          </w:p>
        </w:tc>
        <w:tc>
          <w:tcPr>
            <w:tcW w:w="1132" w:type="dxa"/>
            <w:vMerge/>
            <w:tcBorders>
              <w:top w:val="single" w:sz="8" w:space="0" w:color="000000"/>
              <w:left w:val="single" w:sz="4" w:space="0" w:color="000000"/>
              <w:bottom w:val="single" w:sz="4" w:space="0" w:color="000000"/>
              <w:right w:val="single" w:sz="4" w:space="0" w:color="000000"/>
            </w:tcBorders>
            <w:vAlign w:val="center"/>
          </w:tcPr>
          <w:p w14:paraId="0CA8A943">
            <w:pPr>
              <w:widowControl/>
              <w:overflowPunct w:val="0"/>
              <w:autoSpaceDE w:val="0"/>
              <w:autoSpaceDN w:val="0"/>
              <w:spacing w:line="240" w:lineRule="auto"/>
              <w:jc w:val="left"/>
              <w:rPr>
                <w:rFonts w:ascii="宋体" w:eastAsia="宋体" w:hAnsi="宋体" w:cs="Arial"/>
                <w:color w:val="000000"/>
                <w:kern w:val="0"/>
                <w:szCs w:val="21"/>
              </w:rPr>
            </w:pPr>
          </w:p>
        </w:tc>
      </w:tr>
      <w:tr w14:paraId="7349F6FA">
        <w:tblPrEx>
          <w:tblW w:w="9168" w:type="dxa"/>
          <w:tblInd w:w="93" w:type="dxa"/>
          <w:tblLayout w:type="fixed"/>
          <w:tblCellMar>
            <w:top w:w="0" w:type="dxa"/>
            <w:left w:w="108" w:type="dxa"/>
            <w:bottom w:w="0" w:type="dxa"/>
            <w:right w:w="108" w:type="dxa"/>
          </w:tblCellMar>
        </w:tblPrEx>
        <w:trPr>
          <w:trHeight w:val="312"/>
        </w:trPr>
        <w:tc>
          <w:tcPr>
            <w:tcW w:w="1337" w:type="dxa"/>
            <w:gridSpan w:val="5"/>
            <w:vMerge/>
            <w:tcBorders>
              <w:top w:val="single" w:sz="4" w:space="0" w:color="000000"/>
              <w:left w:val="single" w:sz="8" w:space="0" w:color="000000"/>
              <w:bottom w:val="single" w:sz="4" w:space="0" w:color="auto"/>
              <w:right w:val="single" w:sz="4" w:space="0" w:color="000000"/>
            </w:tcBorders>
            <w:vAlign w:val="center"/>
          </w:tcPr>
          <w:p w14:paraId="5E68D3EB">
            <w:pPr>
              <w:widowControl/>
              <w:overflowPunct w:val="0"/>
              <w:autoSpaceDE w:val="0"/>
              <w:autoSpaceDN w:val="0"/>
              <w:spacing w:line="240" w:lineRule="auto"/>
              <w:jc w:val="left"/>
              <w:rPr>
                <w:rFonts w:ascii="宋体" w:eastAsia="宋体" w:hAnsi="宋体" w:cs="Arial"/>
                <w:color w:val="000000"/>
                <w:kern w:val="0"/>
                <w:szCs w:val="21"/>
              </w:rPr>
            </w:pPr>
          </w:p>
        </w:tc>
        <w:tc>
          <w:tcPr>
            <w:tcW w:w="1304" w:type="dxa"/>
            <w:vMerge/>
            <w:tcBorders>
              <w:top w:val="nil"/>
              <w:left w:val="nil"/>
              <w:bottom w:val="single" w:sz="4" w:space="0" w:color="auto"/>
              <w:right w:val="single" w:sz="4" w:space="0" w:color="000000"/>
            </w:tcBorders>
            <w:vAlign w:val="center"/>
          </w:tcPr>
          <w:p w14:paraId="42AA22E2">
            <w:pPr>
              <w:widowControl/>
              <w:overflowPunct w:val="0"/>
              <w:autoSpaceDE w:val="0"/>
              <w:autoSpaceDN w:val="0"/>
              <w:spacing w:line="240" w:lineRule="auto"/>
              <w:jc w:val="left"/>
              <w:rPr>
                <w:rFonts w:ascii="宋体" w:eastAsia="宋体" w:hAnsi="宋体" w:cs="Arial"/>
                <w:color w:val="000000"/>
                <w:kern w:val="0"/>
                <w:szCs w:val="21"/>
              </w:rPr>
            </w:pPr>
          </w:p>
        </w:tc>
        <w:tc>
          <w:tcPr>
            <w:tcW w:w="1122" w:type="dxa"/>
            <w:vMerge/>
            <w:tcBorders>
              <w:top w:val="single" w:sz="8" w:space="0" w:color="000000"/>
              <w:left w:val="single" w:sz="4" w:space="0" w:color="000000"/>
              <w:bottom w:val="single" w:sz="4" w:space="0" w:color="auto"/>
              <w:right w:val="single" w:sz="4" w:space="0" w:color="000000"/>
            </w:tcBorders>
            <w:vAlign w:val="center"/>
          </w:tcPr>
          <w:p w14:paraId="00CA0F61">
            <w:pPr>
              <w:widowControl/>
              <w:overflowPunct w:val="0"/>
              <w:autoSpaceDE w:val="0"/>
              <w:autoSpaceDN w:val="0"/>
              <w:spacing w:line="240" w:lineRule="auto"/>
              <w:jc w:val="left"/>
              <w:rPr>
                <w:rFonts w:ascii="宋体" w:eastAsia="宋体" w:hAnsi="宋体" w:cs="Arial"/>
                <w:color w:val="000000"/>
                <w:kern w:val="0"/>
                <w:szCs w:val="21"/>
              </w:rPr>
            </w:pPr>
          </w:p>
        </w:tc>
        <w:tc>
          <w:tcPr>
            <w:tcW w:w="1107" w:type="dxa"/>
            <w:vMerge/>
            <w:tcBorders>
              <w:top w:val="single" w:sz="8" w:space="0" w:color="000000"/>
              <w:left w:val="single" w:sz="4" w:space="0" w:color="000000"/>
              <w:bottom w:val="single" w:sz="4" w:space="0" w:color="auto"/>
              <w:right w:val="single" w:sz="4" w:space="0" w:color="000000"/>
            </w:tcBorders>
            <w:vAlign w:val="center"/>
          </w:tcPr>
          <w:p w14:paraId="31F4BE56">
            <w:pPr>
              <w:widowControl/>
              <w:overflowPunct w:val="0"/>
              <w:autoSpaceDE w:val="0"/>
              <w:autoSpaceDN w:val="0"/>
              <w:spacing w:line="240" w:lineRule="auto"/>
              <w:jc w:val="left"/>
              <w:rPr>
                <w:rFonts w:ascii="宋体" w:eastAsia="宋体" w:hAnsi="宋体" w:cs="Arial"/>
                <w:color w:val="000000"/>
                <w:kern w:val="0"/>
                <w:szCs w:val="21"/>
              </w:rPr>
            </w:pPr>
          </w:p>
        </w:tc>
        <w:tc>
          <w:tcPr>
            <w:tcW w:w="1055" w:type="dxa"/>
            <w:vMerge/>
            <w:tcBorders>
              <w:top w:val="nil"/>
              <w:left w:val="nil"/>
              <w:bottom w:val="single" w:sz="4" w:space="0" w:color="auto"/>
              <w:right w:val="single" w:sz="4" w:space="0" w:color="000000"/>
            </w:tcBorders>
            <w:vAlign w:val="center"/>
          </w:tcPr>
          <w:p w14:paraId="6300FF71">
            <w:pPr>
              <w:widowControl/>
              <w:overflowPunct w:val="0"/>
              <w:autoSpaceDE w:val="0"/>
              <w:autoSpaceDN w:val="0"/>
              <w:spacing w:line="240" w:lineRule="auto"/>
              <w:jc w:val="left"/>
              <w:rPr>
                <w:rFonts w:ascii="宋体" w:eastAsia="宋体" w:hAnsi="宋体" w:cs="Arial"/>
                <w:color w:val="000000"/>
                <w:kern w:val="0"/>
                <w:szCs w:val="21"/>
              </w:rPr>
            </w:pPr>
          </w:p>
        </w:tc>
        <w:tc>
          <w:tcPr>
            <w:tcW w:w="1055" w:type="dxa"/>
            <w:vMerge/>
            <w:tcBorders>
              <w:top w:val="nil"/>
              <w:left w:val="single" w:sz="4" w:space="0" w:color="000000"/>
              <w:bottom w:val="single" w:sz="4" w:space="0" w:color="auto"/>
              <w:right w:val="single" w:sz="4" w:space="0" w:color="000000"/>
            </w:tcBorders>
            <w:vAlign w:val="center"/>
          </w:tcPr>
          <w:p w14:paraId="34224BAD">
            <w:pPr>
              <w:widowControl/>
              <w:overflowPunct w:val="0"/>
              <w:autoSpaceDE w:val="0"/>
              <w:autoSpaceDN w:val="0"/>
              <w:spacing w:line="240" w:lineRule="auto"/>
              <w:jc w:val="left"/>
              <w:rPr>
                <w:rFonts w:ascii="宋体" w:eastAsia="宋体" w:hAnsi="宋体" w:cs="Arial"/>
                <w:color w:val="000000"/>
                <w:kern w:val="0"/>
                <w:szCs w:val="21"/>
              </w:rPr>
            </w:pPr>
          </w:p>
        </w:tc>
        <w:tc>
          <w:tcPr>
            <w:tcW w:w="1056" w:type="dxa"/>
            <w:vMerge/>
            <w:tcBorders>
              <w:top w:val="nil"/>
              <w:left w:val="nil"/>
              <w:bottom w:val="single" w:sz="4" w:space="0" w:color="auto"/>
              <w:right w:val="single" w:sz="4" w:space="0" w:color="000000"/>
            </w:tcBorders>
            <w:vAlign w:val="center"/>
          </w:tcPr>
          <w:p w14:paraId="2254AC64">
            <w:pPr>
              <w:widowControl/>
              <w:overflowPunct w:val="0"/>
              <w:autoSpaceDE w:val="0"/>
              <w:autoSpaceDN w:val="0"/>
              <w:spacing w:line="240" w:lineRule="auto"/>
              <w:jc w:val="left"/>
              <w:rPr>
                <w:rFonts w:ascii="宋体" w:eastAsia="宋体" w:hAnsi="宋体" w:cs="Arial"/>
                <w:color w:val="000000"/>
                <w:kern w:val="0"/>
                <w:szCs w:val="21"/>
              </w:rPr>
            </w:pPr>
          </w:p>
        </w:tc>
        <w:tc>
          <w:tcPr>
            <w:tcW w:w="1132" w:type="dxa"/>
            <w:vMerge/>
            <w:tcBorders>
              <w:top w:val="single" w:sz="8" w:space="0" w:color="000000"/>
              <w:left w:val="single" w:sz="4" w:space="0" w:color="000000"/>
              <w:bottom w:val="single" w:sz="4" w:space="0" w:color="auto"/>
              <w:right w:val="single" w:sz="4" w:space="0" w:color="000000"/>
            </w:tcBorders>
            <w:vAlign w:val="center"/>
          </w:tcPr>
          <w:p w14:paraId="3DCA14C3">
            <w:pPr>
              <w:widowControl/>
              <w:overflowPunct w:val="0"/>
              <w:autoSpaceDE w:val="0"/>
              <w:autoSpaceDN w:val="0"/>
              <w:spacing w:line="240" w:lineRule="auto"/>
              <w:jc w:val="left"/>
              <w:rPr>
                <w:rFonts w:ascii="宋体" w:eastAsia="宋体" w:hAnsi="宋体" w:cs="Arial"/>
                <w:color w:val="000000"/>
                <w:kern w:val="0"/>
                <w:szCs w:val="21"/>
              </w:rPr>
            </w:pPr>
          </w:p>
        </w:tc>
      </w:tr>
      <w:tr w14:paraId="6C9D74FE">
        <w:tblPrEx>
          <w:tblW w:w="9168" w:type="dxa"/>
          <w:tblInd w:w="93" w:type="dxa"/>
          <w:tblLayout w:type="fixed"/>
          <w:tblCellMar>
            <w:top w:w="0" w:type="dxa"/>
            <w:left w:w="108" w:type="dxa"/>
            <w:bottom w:w="0" w:type="dxa"/>
            <w:right w:w="108" w:type="dxa"/>
          </w:tblCellMar>
        </w:tblPrEx>
        <w:trPr>
          <w:trHeight w:val="308"/>
        </w:trPr>
        <w:tc>
          <w:tcPr>
            <w:tcW w:w="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81BC5">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类</w:t>
            </w:r>
          </w:p>
        </w:tc>
        <w:tc>
          <w:tcPr>
            <w:tcW w:w="4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72018">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款</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48E49">
            <w:pPr>
              <w:widowControl/>
              <w:overflowPunct w:val="0"/>
              <w:autoSpaceDE w:val="0"/>
              <w:autoSpaceDN w:val="0"/>
              <w:spacing w:line="240" w:lineRule="auto"/>
              <w:jc w:val="left"/>
              <w:rPr>
                <w:rFonts w:ascii="宋体" w:eastAsia="宋体" w:hAnsi="宋体" w:cs="Arial"/>
                <w:color w:val="000000"/>
                <w:kern w:val="0"/>
                <w:szCs w:val="21"/>
              </w:rPr>
            </w:pPr>
            <w:r>
              <w:rPr>
                <w:rFonts w:ascii="宋体" w:eastAsia="宋体" w:hAnsi="宋体" w:cs="Arial" w:hint="eastAsia"/>
                <w:color w:val="000000"/>
                <w:kern w:val="0"/>
                <w:szCs w:val="21"/>
              </w:rPr>
              <w:t>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35D4CFD">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栏次</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D693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324B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DFD0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7</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9B40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8</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97624">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726F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r>
      <w:tr w14:paraId="4CEBAC0B">
        <w:tblPrEx>
          <w:tblW w:w="9168" w:type="dxa"/>
          <w:tblInd w:w="93" w:type="dxa"/>
          <w:tblLayout w:type="fixed"/>
          <w:tblCellMar>
            <w:top w:w="0" w:type="dxa"/>
            <w:left w:w="108" w:type="dxa"/>
            <w:bottom w:w="0" w:type="dxa"/>
            <w:right w:w="108" w:type="dxa"/>
          </w:tblCellMar>
        </w:tblPrEx>
        <w:trPr>
          <w:trHeight w:val="308"/>
        </w:trPr>
        <w:tc>
          <w:tcPr>
            <w:tcW w:w="470" w:type="dxa"/>
            <w:gridSpan w:val="2"/>
            <w:vMerge/>
            <w:tcBorders>
              <w:top w:val="single" w:sz="4" w:space="0" w:color="auto"/>
              <w:left w:val="single" w:sz="4" w:space="0" w:color="auto"/>
              <w:bottom w:val="single" w:sz="4" w:space="0" w:color="auto"/>
              <w:right w:val="single" w:sz="4" w:space="0" w:color="auto"/>
            </w:tcBorders>
            <w:vAlign w:val="center"/>
          </w:tcPr>
          <w:p w14:paraId="015B4430">
            <w:pPr>
              <w:widowControl/>
              <w:overflowPunct w:val="0"/>
              <w:autoSpaceDE w:val="0"/>
              <w:autoSpaceDN w:val="0"/>
              <w:spacing w:line="240" w:lineRule="auto"/>
              <w:jc w:val="left"/>
              <w:rPr>
                <w:rFonts w:ascii="宋体" w:eastAsia="宋体" w:hAnsi="宋体" w:cs="Arial"/>
                <w:color w:val="000000"/>
                <w:kern w:val="0"/>
                <w:szCs w:val="21"/>
              </w:rPr>
            </w:pPr>
          </w:p>
        </w:tc>
        <w:tc>
          <w:tcPr>
            <w:tcW w:w="470" w:type="dxa"/>
            <w:gridSpan w:val="2"/>
            <w:vMerge/>
            <w:tcBorders>
              <w:top w:val="single" w:sz="4" w:space="0" w:color="auto"/>
              <w:left w:val="single" w:sz="4" w:space="0" w:color="auto"/>
              <w:bottom w:val="single" w:sz="4" w:space="0" w:color="auto"/>
              <w:right w:val="single" w:sz="4" w:space="0" w:color="auto"/>
            </w:tcBorders>
            <w:vAlign w:val="center"/>
          </w:tcPr>
          <w:p w14:paraId="0424D435">
            <w:pPr>
              <w:widowControl/>
              <w:overflowPunct w:val="0"/>
              <w:autoSpaceDE w:val="0"/>
              <w:autoSpaceDN w:val="0"/>
              <w:spacing w:line="240" w:lineRule="auto"/>
              <w:jc w:val="left"/>
              <w:rPr>
                <w:rFonts w:ascii="宋体" w:eastAsia="宋体" w:hAnsi="宋体" w:cs="Arial"/>
                <w:color w:val="000000"/>
                <w:kern w:val="0"/>
                <w:szCs w:val="21"/>
              </w:rPr>
            </w:pPr>
          </w:p>
        </w:tc>
        <w:tc>
          <w:tcPr>
            <w:tcW w:w="397" w:type="dxa"/>
            <w:vMerge/>
            <w:tcBorders>
              <w:top w:val="single" w:sz="4" w:space="0" w:color="auto"/>
              <w:left w:val="single" w:sz="4" w:space="0" w:color="auto"/>
              <w:bottom w:val="single" w:sz="4" w:space="0" w:color="auto"/>
              <w:right w:val="single" w:sz="4" w:space="0" w:color="auto"/>
            </w:tcBorders>
            <w:vAlign w:val="center"/>
          </w:tcPr>
          <w:p w14:paraId="0169F3E5">
            <w:pPr>
              <w:widowControl/>
              <w:overflowPunct w:val="0"/>
              <w:autoSpaceDE w:val="0"/>
              <w:autoSpaceDN w:val="0"/>
              <w:spacing w:line="240" w:lineRule="auto"/>
              <w:jc w:val="left"/>
              <w:rPr>
                <w:rFonts w:ascii="宋体" w:eastAsia="宋体" w:hAnsi="宋体" w:cs="Arial"/>
                <w:color w:val="000000"/>
                <w:kern w:val="0"/>
                <w:szCs w:val="21"/>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155D44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合计</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7A18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05F7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E4C54">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81E5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8FE5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355E2">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Arial" w:hint="eastAsia"/>
                <w:color w:val="000000"/>
                <w:kern w:val="0"/>
                <w:szCs w:val="21"/>
              </w:rPr>
              <w:t>0.00</w:t>
            </w:r>
          </w:p>
        </w:tc>
      </w:tr>
      <w:tr w14:paraId="43DBBF7D">
        <w:tblPrEx>
          <w:tblW w:w="9168" w:type="dxa"/>
          <w:tblInd w:w="93" w:type="dxa"/>
          <w:tblLayout w:type="fixed"/>
          <w:tblCellMar>
            <w:top w:w="0" w:type="dxa"/>
            <w:left w:w="108" w:type="dxa"/>
            <w:bottom w:w="0" w:type="dxa"/>
            <w:right w:w="108" w:type="dxa"/>
          </w:tblCellMar>
        </w:tblPrEx>
        <w:trPr>
          <w:trHeight w:val="308"/>
        </w:trPr>
        <w:tc>
          <w:tcPr>
            <w:tcW w:w="1337" w:type="dxa"/>
            <w:gridSpan w:val="5"/>
            <w:tcBorders>
              <w:top w:val="single" w:sz="4" w:space="0" w:color="auto"/>
              <w:left w:val="single" w:sz="4" w:space="0" w:color="auto"/>
              <w:bottom w:val="single" w:sz="4" w:space="0" w:color="auto"/>
              <w:right w:val="single" w:sz="4" w:space="0" w:color="auto"/>
            </w:tcBorders>
            <w:vAlign w:val="center"/>
          </w:tcPr>
          <w:p w14:paraId="636FC892">
            <w:pPr>
              <w:widowControl/>
              <w:overflowPunct w:val="0"/>
              <w:autoSpaceDE w:val="0"/>
              <w:autoSpaceDN w:val="0"/>
              <w:spacing w:line="240" w:lineRule="auto"/>
              <w:jc w:val="left"/>
              <w:rPr>
                <w:rFonts w:ascii="宋体" w:eastAsia="宋体" w:hAnsi="宋体" w:cs="Arial"/>
                <w:color w:val="000000"/>
                <w:kern w:val="0"/>
                <w:szCs w:val="21"/>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89E6477">
            <w:pPr>
              <w:widowControl/>
              <w:overflowPunct w:val="0"/>
              <w:autoSpaceDE w:val="0"/>
              <w:autoSpaceDN w:val="0"/>
              <w:spacing w:line="240" w:lineRule="auto"/>
              <w:jc w:val="center"/>
              <w:rPr>
                <w:rFonts w:ascii="宋体" w:eastAsia="宋体" w:hAnsi="宋体" w:cs="Arial"/>
                <w:color w:val="000000"/>
                <w:kern w:val="0"/>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AEB41">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8841F">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1527A">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98D4B">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9C17">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10F8">
            <w:pPr>
              <w:widowControl/>
              <w:overflowPunct w:val="0"/>
              <w:autoSpaceDE w:val="0"/>
              <w:autoSpaceDN w:val="0"/>
              <w:spacing w:line="240" w:lineRule="auto"/>
              <w:jc w:val="center"/>
              <w:rPr>
                <w:rFonts w:ascii="宋体" w:eastAsia="宋体" w:hAnsi="宋体" w:cs="Arial"/>
                <w:color w:val="000000"/>
                <w:kern w:val="0"/>
                <w:szCs w:val="21"/>
              </w:rPr>
            </w:pPr>
            <w:r>
              <w:rPr>
                <w:rFonts w:ascii="宋体" w:eastAsia="宋体" w:hAnsi="宋体" w:cs="宋体" w:hint="eastAsia"/>
                <w:position w:val="-1"/>
                <w:szCs w:val="21"/>
              </w:rPr>
              <w:t>0.00</w:t>
            </w:r>
          </w:p>
        </w:tc>
      </w:tr>
    </w:tbl>
    <w:p w14:paraId="46F3BCFA">
      <w:pPr>
        <w:overflowPunct w:val="0"/>
        <w:autoSpaceDE w:val="0"/>
        <w:autoSpaceDN w:val="0"/>
        <w:rPr>
          <w:rFonts w:ascii="Times New Roman" w:hAnsi="Times New Roman" w:cs="Times New Roman"/>
          <w:color w:val="000000"/>
          <w:kern w:val="0"/>
          <w:sz w:val="24"/>
          <w:szCs w:val="24"/>
        </w:rPr>
      </w:pPr>
      <w:r>
        <w:rPr>
          <w:rFonts w:ascii="宋体" w:eastAsia="宋体" w:hAnsi="宋体" w:cs="宋体" w:hint="eastAsia"/>
          <w:sz w:val="24"/>
          <w:szCs w:val="24"/>
        </w:rPr>
        <w:t>注：1.本表反映单位本年度政府性基金预算财政拨款收入、支出及结转和结余情况。</w:t>
        <w:cr/>
        <w:t xml:space="preserve">    2.本单位2024年度没有使用政府性基金预算拨款安排的收支。</w:t>
      </w:r>
      <w:r>
        <w:br w:type="page"/>
      </w:r>
    </w:p>
    <w:p w14:paraId="09281B73">
      <w:pPr>
        <w:overflowPunct w:val="0"/>
        <w:autoSpaceDE w:val="0"/>
        <w:autoSpaceDN w:val="0"/>
        <w:jc w:val="left"/>
        <w:rPr>
          <w:rFonts w:ascii="Times New Roman" w:hAnsi="Times New Roman" w:cs="Times New Roman"/>
          <w:color w:val="000000"/>
          <w:kern w:val="0"/>
          <w:sz w:val="24"/>
          <w:szCs w:val="24"/>
        </w:rPr>
        <w:sectPr>
          <w:type w:val="continuous"/>
          <w:pgSz w:w="11906" w:h="16838"/>
          <w:pgMar w:top="1440" w:right="1800" w:bottom="1440" w:left="1800" w:header="851" w:footer="992" w:gutter="0"/>
          <w:cols w:num="1" w:space="425"/>
          <w:docGrid w:type="lines" w:linePitch="312" w:charSpace="0"/>
        </w:sectPr>
      </w:pPr>
    </w:p>
    <w:p w14:paraId="42842436">
      <w:pPr>
        <w:overflowPunct w:val="0"/>
        <w:autoSpaceDE w:val="0"/>
        <w:autoSpaceDN w:val="0"/>
        <w:jc w:val="left"/>
        <w:outlineLvl w:val="1"/>
        <w:rPr>
          <w:rFonts w:ascii="Times New Roman" w:hAnsi="Times New Roman" w:cs="Times New Roman"/>
        </w:rPr>
      </w:pPr>
      <w:bookmarkStart w:id="17" w:name="_Toc256000015"/>
      <w:r>
        <w:rPr>
          <w:rFonts w:ascii="黑体" w:eastAsia="黑体" w:hAnsi="仿宋" w:hint="eastAsia"/>
          <w:sz w:val="32"/>
          <w:szCs w:val="32"/>
        </w:rPr>
        <w:t>九、国有资本经营预算财政拨款支出决算表</w:t>
      </w:r>
      <w:bookmarkEnd w:id="17"/>
    </w:p>
    <w:tbl>
      <w:tblPr>
        <w:tblStyle w:val="TableNormal"/>
        <w:tblW w:w="8522" w:type="dxa"/>
        <w:jc w:val="center"/>
        <w:tblLayout w:type="fixed"/>
        <w:tblCellMar>
          <w:top w:w="0" w:type="dxa"/>
          <w:left w:w="108" w:type="dxa"/>
          <w:bottom w:w="0" w:type="dxa"/>
          <w:right w:w="108" w:type="dxa"/>
        </w:tblCellMar>
      </w:tblPr>
      <w:tblGrid>
        <w:gridCol w:w="670"/>
        <w:gridCol w:w="577"/>
        <w:gridCol w:w="2355"/>
        <w:gridCol w:w="620"/>
        <w:gridCol w:w="1020"/>
        <w:gridCol w:w="1370"/>
        <w:gridCol w:w="270"/>
        <w:gridCol w:w="1640"/>
      </w:tblGrid>
      <w:tr w14:paraId="25300265">
        <w:tblPrEx>
          <w:tblW w:w="8522" w:type="dxa"/>
          <w:jc w:val="center"/>
          <w:tblLayout w:type="fixed"/>
          <w:tblCellMar>
            <w:top w:w="0" w:type="dxa"/>
            <w:left w:w="108" w:type="dxa"/>
            <w:bottom w:w="0" w:type="dxa"/>
            <w:right w:w="108" w:type="dxa"/>
          </w:tblCellMar>
        </w:tblPrEx>
        <w:trPr>
          <w:trHeight w:val="720"/>
          <w:jc w:val="center"/>
        </w:trPr>
        <w:tc>
          <w:tcPr>
            <w:tcW w:w="8522" w:type="dxa"/>
            <w:gridSpan w:val="8"/>
            <w:tcBorders>
              <w:top w:val="nil"/>
              <w:left w:val="nil"/>
              <w:bottom w:val="nil"/>
              <w:right w:val="nil"/>
            </w:tcBorders>
            <w:shd w:val="clear" w:color="000000" w:fill="FFFFFF"/>
            <w:vAlign w:val="center"/>
          </w:tcPr>
          <w:p w14:paraId="3E51EDFE">
            <w:pPr>
              <w:widowControl/>
              <w:overflowPunct w:val="0"/>
              <w:autoSpaceDE w:val="0"/>
              <w:autoSpaceDN w:val="0"/>
              <w:spacing w:line="240" w:lineRule="auto"/>
              <w:jc w:val="center"/>
              <w:rPr>
                <w:rFonts w:ascii="黑体" w:eastAsia="黑体" w:hAnsi="黑体" w:cs="宋体"/>
                <w:kern w:val="0"/>
                <w:sz w:val="36"/>
                <w:szCs w:val="36"/>
              </w:rPr>
            </w:pPr>
            <w:r>
              <w:rPr>
                <w:rFonts w:ascii="黑体" w:eastAsia="黑体" w:hAnsi="黑体" w:cs="宋体" w:hint="eastAsia"/>
                <w:kern w:val="0"/>
                <w:sz w:val="36"/>
                <w:szCs w:val="36"/>
              </w:rPr>
              <w:t>国有资本经营预算财政拨款支出决算表</w:t>
            </w:r>
          </w:p>
        </w:tc>
      </w:tr>
      <w:tr w14:paraId="7D57DFD0">
        <w:tblPrEx>
          <w:tblW w:w="8522" w:type="dxa"/>
          <w:jc w:val="center"/>
          <w:tblLayout w:type="fixed"/>
          <w:tblCellMar>
            <w:top w:w="0" w:type="dxa"/>
            <w:left w:w="108" w:type="dxa"/>
            <w:bottom w:w="0" w:type="dxa"/>
            <w:right w:w="108" w:type="dxa"/>
          </w:tblCellMar>
        </w:tblPrEx>
        <w:trPr>
          <w:trHeight w:val="285"/>
          <w:jc w:val="center"/>
        </w:trPr>
        <w:tc>
          <w:tcPr>
            <w:tcW w:w="670" w:type="dxa"/>
            <w:tcBorders>
              <w:top w:val="nil"/>
              <w:left w:val="nil"/>
              <w:bottom w:val="nil"/>
              <w:right w:val="nil"/>
            </w:tcBorders>
            <w:shd w:val="clear" w:color="000000" w:fill="FFFFFF"/>
            <w:vAlign w:val="center"/>
          </w:tcPr>
          <w:p w14:paraId="47165BA3">
            <w:pPr>
              <w:widowControl/>
              <w:overflowPunct w:val="0"/>
              <w:autoSpaceDE w:val="0"/>
              <w:autoSpaceDN w:val="0"/>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w:t>
            </w:r>
          </w:p>
        </w:tc>
        <w:tc>
          <w:tcPr>
            <w:tcW w:w="577" w:type="dxa"/>
            <w:tcBorders>
              <w:top w:val="nil"/>
              <w:left w:val="nil"/>
              <w:bottom w:val="nil"/>
              <w:right w:val="nil"/>
            </w:tcBorders>
            <w:shd w:val="clear" w:color="000000" w:fill="FFFFFF"/>
            <w:vAlign w:val="center"/>
          </w:tcPr>
          <w:p w14:paraId="657D644A">
            <w:pPr>
              <w:widowControl/>
              <w:overflowPunct w:val="0"/>
              <w:autoSpaceDE w:val="0"/>
              <w:autoSpaceDN w:val="0"/>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w:t>
            </w:r>
          </w:p>
        </w:tc>
        <w:tc>
          <w:tcPr>
            <w:tcW w:w="2355" w:type="dxa"/>
            <w:tcBorders>
              <w:top w:val="nil"/>
              <w:left w:val="nil"/>
              <w:bottom w:val="nil"/>
              <w:right w:val="nil"/>
            </w:tcBorders>
            <w:shd w:val="clear" w:color="000000" w:fill="FFFFFF"/>
            <w:vAlign w:val="center"/>
          </w:tcPr>
          <w:p w14:paraId="59A286AB">
            <w:pPr>
              <w:widowControl/>
              <w:overflowPunct w:val="0"/>
              <w:autoSpaceDE w:val="0"/>
              <w:autoSpaceDN w:val="0"/>
              <w:spacing w:line="240" w:lineRule="auto"/>
              <w:jc w:val="center"/>
              <w:rPr>
                <w:rFonts w:ascii="宋体" w:eastAsia="宋体" w:hAnsi="宋体" w:cs="宋体"/>
                <w:kern w:val="0"/>
                <w:sz w:val="20"/>
                <w:szCs w:val="20"/>
              </w:rPr>
            </w:pPr>
            <w:r>
              <w:rPr>
                <w:rFonts w:ascii="宋体" w:eastAsia="宋体" w:hAnsi="宋体" w:cs="宋体" w:hint="eastAsia"/>
                <w:kern w:val="0"/>
                <w:sz w:val="20"/>
                <w:szCs w:val="20"/>
              </w:rPr>
              <w:t>　</w:t>
            </w:r>
          </w:p>
        </w:tc>
        <w:tc>
          <w:tcPr>
            <w:tcW w:w="620" w:type="dxa"/>
            <w:tcBorders>
              <w:top w:val="nil"/>
              <w:left w:val="nil"/>
              <w:bottom w:val="nil"/>
              <w:right w:val="nil"/>
            </w:tcBorders>
            <w:shd w:val="clear" w:color="000000" w:fill="FFFFFF"/>
            <w:vAlign w:val="center"/>
          </w:tcPr>
          <w:p w14:paraId="3576E05E">
            <w:pPr>
              <w:widowControl/>
              <w:overflowPunct w:val="0"/>
              <w:autoSpaceDE w:val="0"/>
              <w:autoSpaceDN w:val="0"/>
              <w:spacing w:line="240" w:lineRule="auto"/>
              <w:jc w:val="left"/>
              <w:rPr>
                <w:rFonts w:ascii="宋体" w:eastAsia="宋体" w:hAnsi="宋体" w:cs="宋体"/>
                <w:kern w:val="0"/>
                <w:sz w:val="20"/>
                <w:szCs w:val="20"/>
              </w:rPr>
            </w:pPr>
            <w:r>
              <w:rPr>
                <w:rFonts w:ascii="宋体" w:eastAsia="宋体" w:hAnsi="宋体" w:cs="宋体" w:hint="eastAsia"/>
                <w:kern w:val="0"/>
                <w:sz w:val="20"/>
                <w:szCs w:val="20"/>
              </w:rPr>
              <w:t>　</w:t>
            </w:r>
          </w:p>
        </w:tc>
        <w:tc>
          <w:tcPr>
            <w:tcW w:w="2390" w:type="dxa"/>
            <w:gridSpan w:val="2"/>
            <w:tcBorders>
              <w:top w:val="nil"/>
              <w:left w:val="nil"/>
              <w:bottom w:val="nil"/>
              <w:right w:val="nil"/>
            </w:tcBorders>
            <w:shd w:val="clear" w:color="000000" w:fill="FFFFFF"/>
            <w:vAlign w:val="center"/>
          </w:tcPr>
          <w:p w14:paraId="193F2D13">
            <w:pPr>
              <w:widowControl/>
              <w:overflowPunct w:val="0"/>
              <w:autoSpaceDE w:val="0"/>
              <w:autoSpaceDN w:val="0"/>
              <w:spacing w:line="240" w:lineRule="auto"/>
              <w:jc w:val="left"/>
              <w:rPr>
                <w:rFonts w:ascii="宋体" w:eastAsia="宋体" w:hAnsi="宋体" w:cs="宋体"/>
                <w:kern w:val="0"/>
                <w:sz w:val="20"/>
                <w:szCs w:val="20"/>
              </w:rPr>
            </w:pPr>
            <w:r>
              <w:rPr>
                <w:rFonts w:ascii="宋体" w:eastAsia="宋体" w:hAnsi="宋体" w:cs="宋体" w:hint="eastAsia"/>
                <w:kern w:val="0"/>
                <w:sz w:val="20"/>
                <w:szCs w:val="20"/>
              </w:rPr>
              <w:t>　</w:t>
            </w:r>
          </w:p>
        </w:tc>
        <w:tc>
          <w:tcPr>
            <w:tcW w:w="1910" w:type="dxa"/>
            <w:gridSpan w:val="2"/>
            <w:tcBorders>
              <w:top w:val="nil"/>
              <w:left w:val="nil"/>
              <w:bottom w:val="nil"/>
              <w:right w:val="nil"/>
            </w:tcBorders>
            <w:shd w:val="clear" w:color="000000" w:fill="FFFFFF"/>
            <w:noWrap/>
            <w:vAlign w:val="center"/>
          </w:tcPr>
          <w:p w14:paraId="2FEDC2EF">
            <w:pPr>
              <w:widowControl/>
              <w:overflowPunct w:val="0"/>
              <w:autoSpaceDE w:val="0"/>
              <w:autoSpaceDN w:val="0"/>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14:paraId="3C94F774">
        <w:tblPrEx>
          <w:tblW w:w="8522" w:type="dxa"/>
          <w:jc w:val="center"/>
          <w:tblLayout w:type="fixed"/>
          <w:tblCellMar>
            <w:top w:w="0" w:type="dxa"/>
            <w:left w:w="108" w:type="dxa"/>
            <w:bottom w:w="0" w:type="dxa"/>
            <w:right w:w="108" w:type="dxa"/>
          </w:tblCellMar>
        </w:tblPrEx>
        <w:trPr>
          <w:trHeight w:val="285"/>
          <w:jc w:val="center"/>
        </w:trPr>
        <w:tc>
          <w:tcPr>
            <w:tcW w:w="6612" w:type="dxa"/>
            <w:gridSpan w:val="6"/>
            <w:tcBorders>
              <w:top w:val="nil"/>
              <w:left w:val="nil"/>
              <w:bottom w:val="nil"/>
              <w:right w:val="nil"/>
            </w:tcBorders>
            <w:shd w:val="clear" w:color="000000" w:fill="FFFFFF"/>
            <w:noWrap/>
            <w:vAlign w:val="center"/>
          </w:tcPr>
          <w:p w14:paraId="28CA8591">
            <w:pPr>
              <w:widowControl/>
              <w:overflowPunct w:val="0"/>
              <w:autoSpaceDE w:val="0"/>
              <w:autoSpaceDN w:val="0"/>
              <w:spacing w:line="240" w:lineRule="auto"/>
              <w:jc w:val="left"/>
              <w:rPr>
                <w:rFonts w:ascii="宋体" w:eastAsia="宋体" w:hAnsi="宋体" w:cs="宋体"/>
                <w:kern w:val="0"/>
                <w:sz w:val="20"/>
                <w:szCs w:val="20"/>
              </w:rPr>
            </w:pPr>
            <w:r>
              <w:rPr>
                <w:rFonts w:ascii="宋体" w:eastAsia="宋体" w:hAnsi="宋体" w:cs="Arial" w:hint="eastAsia"/>
                <w:color w:val="000000"/>
                <w:kern w:val="0"/>
                <w:sz w:val="22"/>
              </w:rPr>
              <w:t>单位</w:t>
            </w:r>
            <w:r>
              <w:rPr>
                <w:rFonts w:ascii="宋体" w:eastAsia="宋体" w:hAnsi="宋体" w:cs="宋体"/>
                <w:color w:val="000000"/>
                <w:sz w:val="22"/>
                <w:u w:color="auto"/>
              </w:rPr>
              <w:t>：</w:t>
            </w:r>
            <w:r>
              <w:rPr>
                <w:rFonts w:ascii="宋体" w:eastAsia="宋体" w:hAnsi="宋体" w:cs="宋体"/>
                <w:color w:val="000000"/>
                <w:sz w:val="22"/>
                <w:u w:color="auto"/>
              </w:rPr>
              <w:t>福州市马尾第一中学</w:t>
            </w:r>
          </w:p>
        </w:tc>
        <w:tc>
          <w:tcPr>
            <w:tcW w:w="1910" w:type="dxa"/>
            <w:gridSpan w:val="2"/>
            <w:tcBorders>
              <w:top w:val="nil"/>
              <w:left w:val="nil"/>
              <w:bottom w:val="nil"/>
              <w:right w:val="nil"/>
            </w:tcBorders>
            <w:shd w:val="clear" w:color="000000" w:fill="FFFFFF"/>
            <w:noWrap/>
            <w:vAlign w:val="center"/>
          </w:tcPr>
          <w:p w14:paraId="2B5D957D">
            <w:pPr>
              <w:widowControl/>
              <w:overflowPunct w:val="0"/>
              <w:autoSpaceDE w:val="0"/>
              <w:autoSpaceDN w:val="0"/>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14:paraId="0944CBAF">
        <w:tblPrEx>
          <w:tblW w:w="8522" w:type="dxa"/>
          <w:jc w:val="center"/>
          <w:tblLayout w:type="fixed"/>
          <w:tblCellMar>
            <w:top w:w="0" w:type="dxa"/>
            <w:left w:w="108" w:type="dxa"/>
            <w:bottom w:w="0" w:type="dxa"/>
            <w:right w:w="108" w:type="dxa"/>
          </w:tblCellMar>
        </w:tblPrEx>
        <w:trPr>
          <w:trHeight w:val="402"/>
          <w:jc w:val="center"/>
        </w:trPr>
        <w:tc>
          <w:tcPr>
            <w:tcW w:w="3602"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116C2E59">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项 目</w:t>
            </w:r>
          </w:p>
        </w:tc>
        <w:tc>
          <w:tcPr>
            <w:tcW w:w="4920" w:type="dxa"/>
            <w:gridSpan w:val="5"/>
            <w:tcBorders>
              <w:top w:val="single" w:sz="8" w:space="0" w:color="auto"/>
              <w:left w:val="nil"/>
              <w:bottom w:val="single" w:sz="4" w:space="0" w:color="auto"/>
              <w:right w:val="single" w:sz="4" w:space="0" w:color="000000"/>
            </w:tcBorders>
            <w:shd w:val="clear" w:color="auto" w:fill="auto"/>
            <w:vAlign w:val="center"/>
          </w:tcPr>
          <w:p w14:paraId="26B87C28">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本年支出</w:t>
            </w:r>
          </w:p>
        </w:tc>
      </w:tr>
      <w:tr w14:paraId="4AAB4302">
        <w:tblPrEx>
          <w:tblW w:w="8522" w:type="dxa"/>
          <w:jc w:val="center"/>
          <w:tblLayout w:type="fixed"/>
          <w:tblCellMar>
            <w:top w:w="0" w:type="dxa"/>
            <w:left w:w="108" w:type="dxa"/>
            <w:bottom w:w="0" w:type="dxa"/>
            <w:right w:w="108" w:type="dxa"/>
          </w:tblCellMar>
        </w:tblPrEx>
        <w:trPr>
          <w:trHeight w:val="402"/>
          <w:jc w:val="center"/>
        </w:trPr>
        <w:tc>
          <w:tcPr>
            <w:tcW w:w="1247"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0990A95">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功能分类科目编码</w:t>
            </w:r>
          </w:p>
        </w:tc>
        <w:tc>
          <w:tcPr>
            <w:tcW w:w="2355" w:type="dxa"/>
            <w:vMerge w:val="restart"/>
            <w:tcBorders>
              <w:top w:val="nil"/>
              <w:left w:val="single" w:sz="4" w:space="0" w:color="auto"/>
              <w:bottom w:val="single" w:sz="4" w:space="0" w:color="auto"/>
              <w:right w:val="single" w:sz="4" w:space="0" w:color="auto"/>
            </w:tcBorders>
            <w:shd w:val="clear" w:color="auto" w:fill="auto"/>
            <w:vAlign w:val="center"/>
          </w:tcPr>
          <w:p w14:paraId="4CE790E3">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科目名称</w:t>
            </w:r>
          </w:p>
        </w:tc>
        <w:tc>
          <w:tcPr>
            <w:tcW w:w="164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F7F96F2">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合计</w:t>
            </w:r>
          </w:p>
        </w:tc>
        <w:tc>
          <w:tcPr>
            <w:tcW w:w="1640"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0F2136D">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 xml:space="preserve">基本支出  </w:t>
            </w:r>
          </w:p>
        </w:tc>
        <w:tc>
          <w:tcPr>
            <w:tcW w:w="1640" w:type="dxa"/>
            <w:vMerge w:val="restart"/>
            <w:tcBorders>
              <w:top w:val="nil"/>
              <w:left w:val="single" w:sz="4" w:space="0" w:color="auto"/>
              <w:bottom w:val="single" w:sz="4" w:space="0" w:color="000000"/>
              <w:right w:val="single" w:sz="4" w:space="0" w:color="auto"/>
            </w:tcBorders>
            <w:shd w:val="clear" w:color="auto" w:fill="auto"/>
            <w:vAlign w:val="center"/>
          </w:tcPr>
          <w:p w14:paraId="3D26C03F">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项目支出</w:t>
            </w:r>
          </w:p>
        </w:tc>
      </w:tr>
      <w:tr w14:paraId="371F3080">
        <w:tblPrEx>
          <w:tblW w:w="8522" w:type="dxa"/>
          <w:jc w:val="center"/>
          <w:tblLayout w:type="fixed"/>
          <w:tblCellMar>
            <w:top w:w="0" w:type="dxa"/>
            <w:left w:w="108" w:type="dxa"/>
            <w:bottom w:w="0" w:type="dxa"/>
            <w:right w:w="108" w:type="dxa"/>
          </w:tblCellMar>
        </w:tblPrEx>
        <w:trPr>
          <w:trHeight w:val="402"/>
          <w:jc w:val="center"/>
        </w:trPr>
        <w:tc>
          <w:tcPr>
            <w:tcW w:w="1247" w:type="dxa"/>
            <w:gridSpan w:val="2"/>
            <w:vMerge/>
            <w:tcBorders>
              <w:top w:val="single" w:sz="4" w:space="0" w:color="auto"/>
              <w:left w:val="single" w:sz="8" w:space="0" w:color="auto"/>
              <w:bottom w:val="single" w:sz="4" w:space="0" w:color="auto"/>
              <w:right w:val="single" w:sz="4" w:space="0" w:color="auto"/>
            </w:tcBorders>
            <w:vAlign w:val="center"/>
          </w:tcPr>
          <w:p w14:paraId="0D47EB4F">
            <w:pPr>
              <w:widowControl/>
              <w:overflowPunct w:val="0"/>
              <w:autoSpaceDE w:val="0"/>
              <w:autoSpaceDN w:val="0"/>
              <w:spacing w:line="240" w:lineRule="auto"/>
              <w:jc w:val="left"/>
              <w:rPr>
                <w:rFonts w:ascii="宋体" w:eastAsia="宋体" w:hAnsi="宋体" w:cs="宋体"/>
                <w:kern w:val="0"/>
                <w:szCs w:val="21"/>
              </w:rPr>
            </w:pPr>
          </w:p>
        </w:tc>
        <w:tc>
          <w:tcPr>
            <w:tcW w:w="2355" w:type="dxa"/>
            <w:vMerge/>
            <w:tcBorders>
              <w:top w:val="nil"/>
              <w:left w:val="single" w:sz="4" w:space="0" w:color="auto"/>
              <w:bottom w:val="single" w:sz="4" w:space="0" w:color="auto"/>
              <w:right w:val="single" w:sz="4" w:space="0" w:color="auto"/>
            </w:tcBorders>
            <w:vAlign w:val="center"/>
          </w:tcPr>
          <w:p w14:paraId="1340B5C8">
            <w:pPr>
              <w:widowControl/>
              <w:overflowPunct w:val="0"/>
              <w:autoSpaceDE w:val="0"/>
              <w:autoSpaceDN w:val="0"/>
              <w:spacing w:line="240" w:lineRule="auto"/>
              <w:jc w:val="left"/>
              <w:rPr>
                <w:rFonts w:ascii="宋体" w:eastAsia="宋体" w:hAnsi="宋体" w:cs="宋体"/>
                <w:kern w:val="0"/>
                <w:szCs w:val="21"/>
              </w:rPr>
            </w:pPr>
          </w:p>
        </w:tc>
        <w:tc>
          <w:tcPr>
            <w:tcW w:w="1640" w:type="dxa"/>
            <w:gridSpan w:val="2"/>
            <w:vMerge/>
            <w:tcBorders>
              <w:top w:val="nil"/>
              <w:left w:val="single" w:sz="4" w:space="0" w:color="auto"/>
              <w:bottom w:val="single" w:sz="4" w:space="0" w:color="000000"/>
              <w:right w:val="single" w:sz="4" w:space="0" w:color="auto"/>
            </w:tcBorders>
            <w:vAlign w:val="center"/>
          </w:tcPr>
          <w:p w14:paraId="00BBCE3D">
            <w:pPr>
              <w:widowControl/>
              <w:overflowPunct w:val="0"/>
              <w:autoSpaceDE w:val="0"/>
              <w:autoSpaceDN w:val="0"/>
              <w:spacing w:line="240" w:lineRule="auto"/>
              <w:jc w:val="left"/>
              <w:rPr>
                <w:rFonts w:ascii="宋体" w:eastAsia="宋体" w:hAnsi="宋体" w:cs="宋体"/>
                <w:kern w:val="0"/>
                <w:szCs w:val="21"/>
              </w:rPr>
            </w:pPr>
          </w:p>
        </w:tc>
        <w:tc>
          <w:tcPr>
            <w:tcW w:w="1640" w:type="dxa"/>
            <w:gridSpan w:val="2"/>
            <w:vMerge/>
            <w:tcBorders>
              <w:top w:val="nil"/>
              <w:left w:val="single" w:sz="4" w:space="0" w:color="auto"/>
              <w:bottom w:val="single" w:sz="4" w:space="0" w:color="000000"/>
              <w:right w:val="single" w:sz="4" w:space="0" w:color="auto"/>
            </w:tcBorders>
            <w:vAlign w:val="center"/>
          </w:tcPr>
          <w:p w14:paraId="492FCA89">
            <w:pPr>
              <w:widowControl/>
              <w:overflowPunct w:val="0"/>
              <w:autoSpaceDE w:val="0"/>
              <w:autoSpaceDN w:val="0"/>
              <w:spacing w:line="240" w:lineRule="auto"/>
              <w:jc w:val="left"/>
              <w:rPr>
                <w:rFonts w:ascii="宋体" w:eastAsia="宋体" w:hAnsi="宋体" w:cs="宋体"/>
                <w:kern w:val="0"/>
                <w:szCs w:val="21"/>
              </w:rPr>
            </w:pPr>
          </w:p>
        </w:tc>
        <w:tc>
          <w:tcPr>
            <w:tcW w:w="1640" w:type="dxa"/>
            <w:vMerge/>
            <w:tcBorders>
              <w:top w:val="nil"/>
              <w:left w:val="single" w:sz="4" w:space="0" w:color="auto"/>
              <w:bottom w:val="single" w:sz="4" w:space="0" w:color="000000"/>
              <w:right w:val="single" w:sz="4" w:space="0" w:color="auto"/>
            </w:tcBorders>
            <w:vAlign w:val="center"/>
          </w:tcPr>
          <w:p w14:paraId="36AF54F0">
            <w:pPr>
              <w:widowControl/>
              <w:overflowPunct w:val="0"/>
              <w:autoSpaceDE w:val="0"/>
              <w:autoSpaceDN w:val="0"/>
              <w:spacing w:line="240" w:lineRule="auto"/>
              <w:jc w:val="left"/>
              <w:rPr>
                <w:rFonts w:ascii="宋体" w:eastAsia="宋体" w:hAnsi="宋体" w:cs="宋体"/>
                <w:kern w:val="0"/>
                <w:szCs w:val="21"/>
              </w:rPr>
            </w:pPr>
          </w:p>
        </w:tc>
      </w:tr>
      <w:tr w14:paraId="33DB9E5C">
        <w:tblPrEx>
          <w:tblW w:w="8522" w:type="dxa"/>
          <w:jc w:val="center"/>
          <w:tblLayout w:type="fixed"/>
          <w:tblCellMar>
            <w:top w:w="0" w:type="dxa"/>
            <w:left w:w="108" w:type="dxa"/>
            <w:bottom w:w="0" w:type="dxa"/>
            <w:right w:w="108" w:type="dxa"/>
          </w:tblCellMar>
        </w:tblPrEx>
        <w:trPr>
          <w:trHeight w:val="402"/>
          <w:jc w:val="center"/>
        </w:trPr>
        <w:tc>
          <w:tcPr>
            <w:tcW w:w="1247" w:type="dxa"/>
            <w:gridSpan w:val="2"/>
            <w:vMerge/>
            <w:tcBorders>
              <w:top w:val="single" w:sz="4" w:space="0" w:color="auto"/>
              <w:left w:val="single" w:sz="8" w:space="0" w:color="auto"/>
              <w:bottom w:val="single" w:sz="4" w:space="0" w:color="auto"/>
              <w:right w:val="single" w:sz="4" w:space="0" w:color="auto"/>
            </w:tcBorders>
            <w:vAlign w:val="center"/>
          </w:tcPr>
          <w:p w14:paraId="49B8E097">
            <w:pPr>
              <w:widowControl/>
              <w:overflowPunct w:val="0"/>
              <w:autoSpaceDE w:val="0"/>
              <w:autoSpaceDN w:val="0"/>
              <w:spacing w:line="240" w:lineRule="auto"/>
              <w:jc w:val="left"/>
              <w:rPr>
                <w:rFonts w:ascii="宋体" w:eastAsia="宋体" w:hAnsi="宋体" w:cs="宋体"/>
                <w:kern w:val="0"/>
                <w:szCs w:val="21"/>
              </w:rPr>
            </w:pPr>
          </w:p>
        </w:tc>
        <w:tc>
          <w:tcPr>
            <w:tcW w:w="2355" w:type="dxa"/>
            <w:vMerge/>
            <w:tcBorders>
              <w:top w:val="nil"/>
              <w:left w:val="single" w:sz="4" w:space="0" w:color="auto"/>
              <w:bottom w:val="single" w:sz="4" w:space="0" w:color="auto"/>
              <w:right w:val="single" w:sz="4" w:space="0" w:color="auto"/>
            </w:tcBorders>
            <w:vAlign w:val="center"/>
          </w:tcPr>
          <w:p w14:paraId="65C03BAC">
            <w:pPr>
              <w:widowControl/>
              <w:overflowPunct w:val="0"/>
              <w:autoSpaceDE w:val="0"/>
              <w:autoSpaceDN w:val="0"/>
              <w:spacing w:line="240" w:lineRule="auto"/>
              <w:jc w:val="left"/>
              <w:rPr>
                <w:rFonts w:ascii="宋体" w:eastAsia="宋体" w:hAnsi="宋体" w:cs="宋体"/>
                <w:kern w:val="0"/>
                <w:szCs w:val="21"/>
              </w:rPr>
            </w:pPr>
          </w:p>
        </w:tc>
        <w:tc>
          <w:tcPr>
            <w:tcW w:w="1640" w:type="dxa"/>
            <w:gridSpan w:val="2"/>
            <w:vMerge/>
            <w:tcBorders>
              <w:top w:val="nil"/>
              <w:left w:val="single" w:sz="4" w:space="0" w:color="auto"/>
              <w:bottom w:val="single" w:sz="4" w:space="0" w:color="auto"/>
              <w:right w:val="single" w:sz="4" w:space="0" w:color="auto"/>
            </w:tcBorders>
            <w:vAlign w:val="center"/>
          </w:tcPr>
          <w:p w14:paraId="15787D79">
            <w:pPr>
              <w:widowControl/>
              <w:overflowPunct w:val="0"/>
              <w:autoSpaceDE w:val="0"/>
              <w:autoSpaceDN w:val="0"/>
              <w:spacing w:line="240" w:lineRule="auto"/>
              <w:jc w:val="left"/>
              <w:rPr>
                <w:rFonts w:ascii="宋体" w:eastAsia="宋体" w:hAnsi="宋体" w:cs="宋体"/>
                <w:kern w:val="0"/>
                <w:szCs w:val="21"/>
              </w:rPr>
            </w:pPr>
          </w:p>
        </w:tc>
        <w:tc>
          <w:tcPr>
            <w:tcW w:w="1640" w:type="dxa"/>
            <w:gridSpan w:val="2"/>
            <w:vMerge/>
            <w:tcBorders>
              <w:top w:val="nil"/>
              <w:left w:val="single" w:sz="4" w:space="0" w:color="auto"/>
              <w:bottom w:val="single" w:sz="4" w:space="0" w:color="auto"/>
              <w:right w:val="single" w:sz="4" w:space="0" w:color="auto"/>
            </w:tcBorders>
            <w:vAlign w:val="center"/>
          </w:tcPr>
          <w:p w14:paraId="55040E7E">
            <w:pPr>
              <w:widowControl/>
              <w:overflowPunct w:val="0"/>
              <w:autoSpaceDE w:val="0"/>
              <w:autoSpaceDN w:val="0"/>
              <w:spacing w:line="240" w:lineRule="auto"/>
              <w:jc w:val="left"/>
              <w:rPr>
                <w:rFonts w:ascii="宋体" w:eastAsia="宋体" w:hAnsi="宋体" w:cs="宋体"/>
                <w:kern w:val="0"/>
                <w:szCs w:val="21"/>
              </w:rPr>
            </w:pPr>
          </w:p>
        </w:tc>
        <w:tc>
          <w:tcPr>
            <w:tcW w:w="1640" w:type="dxa"/>
            <w:vMerge/>
            <w:tcBorders>
              <w:top w:val="nil"/>
              <w:left w:val="single" w:sz="4" w:space="0" w:color="auto"/>
              <w:bottom w:val="single" w:sz="4" w:space="0" w:color="auto"/>
              <w:right w:val="single" w:sz="4" w:space="0" w:color="auto"/>
            </w:tcBorders>
            <w:vAlign w:val="center"/>
          </w:tcPr>
          <w:p w14:paraId="31DFA6E1">
            <w:pPr>
              <w:widowControl/>
              <w:overflowPunct w:val="0"/>
              <w:autoSpaceDE w:val="0"/>
              <w:autoSpaceDN w:val="0"/>
              <w:spacing w:line="240" w:lineRule="auto"/>
              <w:jc w:val="left"/>
              <w:rPr>
                <w:rFonts w:ascii="宋体" w:eastAsia="宋体" w:hAnsi="宋体" w:cs="宋体"/>
                <w:kern w:val="0"/>
                <w:szCs w:val="21"/>
              </w:rPr>
            </w:pPr>
          </w:p>
        </w:tc>
      </w:tr>
      <w:tr w14:paraId="6C2BD2AC">
        <w:tblPrEx>
          <w:tblW w:w="8522" w:type="dxa"/>
          <w:jc w:val="center"/>
          <w:tblLayout w:type="fixed"/>
          <w:tblCellMar>
            <w:top w:w="0" w:type="dxa"/>
            <w:left w:w="108" w:type="dxa"/>
            <w:bottom w:w="0" w:type="dxa"/>
            <w:right w:w="108" w:type="dxa"/>
          </w:tblCellMar>
        </w:tblPrEx>
        <w:trPr>
          <w:trHeight w:val="402"/>
          <w:jc w:val="center"/>
        </w:trPr>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CD39A">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栏次</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A0E47">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1</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2BF62">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5EC4797">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3</w:t>
            </w:r>
          </w:p>
        </w:tc>
      </w:tr>
      <w:tr w14:paraId="60DA3698">
        <w:tblPrEx>
          <w:tblW w:w="8522" w:type="dxa"/>
          <w:jc w:val="center"/>
          <w:tblLayout w:type="fixed"/>
          <w:tblCellMar>
            <w:top w:w="0" w:type="dxa"/>
            <w:left w:w="108" w:type="dxa"/>
            <w:bottom w:w="0" w:type="dxa"/>
            <w:right w:w="108" w:type="dxa"/>
          </w:tblCellMar>
        </w:tblPrEx>
        <w:trPr>
          <w:trHeight w:val="402"/>
          <w:jc w:val="center"/>
        </w:trPr>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5E1D0">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合计</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B78F8">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0.00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74B00">
            <w:pPr>
              <w:widowControl/>
              <w:overflowPunct w:val="0"/>
              <w:autoSpaceDE w:val="0"/>
              <w:autoSpaceDN w:val="0"/>
              <w:jc w:val="center"/>
              <w:textAlignment w:val="center"/>
              <w:rPr>
                <w:rFonts w:ascii="宋体" w:eastAsia="宋体" w:hAnsi="宋体" w:cs="宋体"/>
                <w:kern w:val="0"/>
                <w:szCs w:val="21"/>
              </w:rPr>
            </w:pPr>
            <w:r>
              <w:rPr>
                <w:rFonts w:ascii="宋体" w:eastAsia="宋体" w:hAnsi="宋体" w:cs="宋体" w:hint="eastAsia"/>
                <w:kern w:val="0"/>
                <w:szCs w:val="21"/>
              </w:rPr>
              <w:t>0.00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BECEE28">
            <w:pPr>
              <w:widowControl/>
              <w:overflowPunct w:val="0"/>
              <w:autoSpaceDE w:val="0"/>
              <w:autoSpaceDN w:val="0"/>
              <w:jc w:val="center"/>
              <w:textAlignment w:val="center"/>
              <w:rPr>
                <w:rFonts w:ascii="宋体" w:eastAsia="宋体" w:hAnsi="宋体" w:cs="宋体"/>
                <w:kern w:val="0"/>
                <w:szCs w:val="21"/>
              </w:rPr>
            </w:pPr>
            <w:r>
              <w:rPr>
                <w:rFonts w:ascii="宋体" w:eastAsia="宋体" w:hAnsi="宋体" w:cs="宋体" w:hint="eastAsia"/>
                <w:kern w:val="0"/>
                <w:szCs w:val="21"/>
              </w:rPr>
              <w:t>0.00</w:t>
            </w:r>
          </w:p>
        </w:tc>
      </w:tr>
      <w:tr w14:paraId="46961D34">
        <w:tblPrEx>
          <w:tblW w:w="8522" w:type="dxa"/>
          <w:jc w:val="center"/>
          <w:tblLayout w:type="fixed"/>
          <w:tblCellMar>
            <w:top w:w="0" w:type="dxa"/>
            <w:left w:w="108" w:type="dxa"/>
            <w:bottom w:w="0" w:type="dxa"/>
            <w:right w:w="108" w:type="dxa"/>
          </w:tblCellMar>
        </w:tblPrEx>
        <w:trPr>
          <w:trHeight w:val="402"/>
          <w:jc w:val="center"/>
        </w:trPr>
        <w:tc>
          <w:tcPr>
            <w:tcW w:w="124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090C490">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kern w:val="0"/>
                <w:szCs w:val="21"/>
              </w:rPr>
              <w:t>　</w:t>
            </w:r>
          </w:p>
        </w:tc>
        <w:tc>
          <w:tcPr>
            <w:tcW w:w="2355" w:type="dxa"/>
            <w:tcBorders>
              <w:top w:val="single" w:sz="4" w:space="0" w:color="auto"/>
              <w:left w:val="nil"/>
              <w:bottom w:val="single" w:sz="4" w:space="0" w:color="auto"/>
              <w:right w:val="single" w:sz="4" w:space="0" w:color="auto"/>
            </w:tcBorders>
            <w:shd w:val="clear" w:color="auto" w:fill="auto"/>
            <w:vAlign w:val="center"/>
          </w:tcPr>
          <w:p w14:paraId="5022AF5F">
            <w:pPr>
              <w:widowControl/>
              <w:overflowPunct w:val="0"/>
              <w:autoSpaceDE w:val="0"/>
              <w:autoSpaceDN w:val="0"/>
              <w:spacing w:line="240" w:lineRule="auto"/>
              <w:jc w:val="center"/>
              <w:rPr>
                <w:rFonts w:ascii="宋体" w:eastAsia="宋体" w:hAnsi="宋体" w:cs="宋体"/>
                <w:kern w:val="0"/>
                <w:szCs w:val="21"/>
              </w:rPr>
            </w:pPr>
          </w:p>
        </w:tc>
        <w:tc>
          <w:tcPr>
            <w:tcW w:w="1640" w:type="dxa"/>
            <w:gridSpan w:val="2"/>
            <w:tcBorders>
              <w:top w:val="single" w:sz="4" w:space="0" w:color="auto"/>
              <w:left w:val="nil"/>
              <w:bottom w:val="single" w:sz="4" w:space="0" w:color="auto"/>
              <w:right w:val="single" w:sz="4" w:space="0" w:color="auto"/>
            </w:tcBorders>
            <w:shd w:val="clear" w:color="auto" w:fill="auto"/>
            <w:vAlign w:val="center"/>
          </w:tcPr>
          <w:p w14:paraId="009EFCB2">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position w:val="-1"/>
                <w:szCs w:val="21"/>
              </w:rPr>
              <w:t>0.00</w:t>
            </w:r>
          </w:p>
        </w:tc>
        <w:tc>
          <w:tcPr>
            <w:tcW w:w="1640" w:type="dxa"/>
            <w:gridSpan w:val="2"/>
            <w:tcBorders>
              <w:top w:val="single" w:sz="4" w:space="0" w:color="auto"/>
              <w:left w:val="nil"/>
              <w:bottom w:val="single" w:sz="4" w:space="0" w:color="auto"/>
              <w:right w:val="single" w:sz="4" w:space="0" w:color="auto"/>
            </w:tcBorders>
            <w:shd w:val="clear" w:color="auto" w:fill="auto"/>
            <w:vAlign w:val="center"/>
          </w:tcPr>
          <w:p w14:paraId="30663F19">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position w:val="-1"/>
                <w:szCs w:val="21"/>
              </w:rPr>
              <w:t>0.00</w:t>
            </w:r>
          </w:p>
        </w:tc>
        <w:tc>
          <w:tcPr>
            <w:tcW w:w="1640" w:type="dxa"/>
            <w:tcBorders>
              <w:top w:val="single" w:sz="4" w:space="0" w:color="auto"/>
              <w:left w:val="nil"/>
              <w:bottom w:val="single" w:sz="4" w:space="0" w:color="auto"/>
              <w:right w:val="single" w:sz="4" w:space="0" w:color="auto"/>
            </w:tcBorders>
            <w:shd w:val="clear" w:color="auto" w:fill="auto"/>
            <w:vAlign w:val="center"/>
          </w:tcPr>
          <w:p w14:paraId="7A0AAF4A">
            <w:pPr>
              <w:widowControl/>
              <w:overflowPunct w:val="0"/>
              <w:autoSpaceDE w:val="0"/>
              <w:autoSpaceDN w:val="0"/>
              <w:spacing w:line="240" w:lineRule="auto"/>
              <w:jc w:val="center"/>
              <w:rPr>
                <w:rFonts w:ascii="宋体" w:eastAsia="宋体" w:hAnsi="宋体" w:cs="宋体"/>
                <w:kern w:val="0"/>
                <w:szCs w:val="21"/>
              </w:rPr>
            </w:pPr>
            <w:r>
              <w:rPr>
                <w:rFonts w:ascii="宋体" w:eastAsia="宋体" w:hAnsi="宋体" w:cs="宋体" w:hint="eastAsia"/>
                <w:position w:val="-1"/>
                <w:szCs w:val="21"/>
              </w:rPr>
              <w:t>0.00</w:t>
            </w:r>
          </w:p>
        </w:tc>
      </w:tr>
      <w:tr w14:paraId="65B2C9DD">
        <w:tblPrEx>
          <w:tblW w:w="8522" w:type="dxa"/>
          <w:jc w:val="center"/>
          <w:tblLayout w:type="fixed"/>
          <w:tblCellMar>
            <w:top w:w="0" w:type="dxa"/>
            <w:left w:w="108" w:type="dxa"/>
            <w:bottom w:w="0" w:type="dxa"/>
            <w:right w:w="108" w:type="dxa"/>
          </w:tblCellMar>
        </w:tblPrEx>
        <w:trPr>
          <w:trHeight w:val="720"/>
          <w:jc w:val="center"/>
        </w:trPr>
        <w:tc>
          <w:tcPr>
            <w:tcW w:w="8522" w:type="dxa"/>
            <w:gridSpan w:val="8"/>
            <w:tcBorders>
              <w:top w:val="single" w:sz="8" w:space="0" w:color="auto"/>
              <w:left w:val="nil"/>
              <w:bottom w:val="nil"/>
              <w:right w:val="nil"/>
            </w:tcBorders>
            <w:shd w:val="clear" w:color="auto" w:fill="auto"/>
            <w:vAlign w:val="center"/>
          </w:tcPr>
          <w:p w14:paraId="129BC008">
            <w:pPr>
              <w:widowControl/>
              <w:overflowPunct w:val="0"/>
              <w:autoSpaceDE w:val="0"/>
              <w:autoSpaceDN w:val="0"/>
              <w:spacing w:line="240" w:lineRule="auto"/>
              <w:jc w:val="left"/>
              <w:rPr>
                <w:rFonts w:ascii="Times New Roman" w:hAnsi="Times New Roman" w:cs="Times New Roman"/>
                <w:color w:val="000000"/>
                <w:kern w:val="0"/>
                <w:sz w:val="24"/>
                <w:szCs w:val="24"/>
              </w:rPr>
            </w:pPr>
            <w:r>
              <w:rPr>
                <w:rFonts w:ascii="宋体" w:eastAsia="宋体" w:hAnsi="宋体" w:cs="宋体" w:hint="eastAsia"/>
                <w:sz w:val="24"/>
                <w:szCs w:val="24"/>
              </w:rPr>
              <w:t>注：1.本表反映单位本年度国有资本经营预算财政拨款支出情况。</w:t>
              <w:br/>
              <w:t xml:space="preserve">    2.本单位2024年度没有使用国有资本经营预算财政拨款安排的支出。</w:t>
            </w:r>
          </w:p>
        </w:tc>
      </w:tr>
    </w:tbl>
    <w:p w14:paraId="6A574BCE">
      <w:pPr>
        <w:overflowPunct w:val="0"/>
        <w:autoSpaceDE w:val="0"/>
        <w:autoSpaceDN w:val="0"/>
        <w:spacing w:line="600" w:lineRule="exact"/>
        <w:jc w:val="center"/>
        <w:rPr>
          <w:rFonts w:ascii="黑体" w:eastAsia="黑体" w:hAnsi="黑体"/>
          <w:sz w:val="36"/>
          <w:szCs w:val="36"/>
        </w:rPr>
      </w:pPr>
    </w:p>
    <w:p w14:paraId="149BA384">
      <w:pPr>
        <w:overflowPunct w:val="0"/>
        <w:autoSpaceDE w:val="0"/>
        <w:autoSpaceDN w:val="0"/>
        <w:spacing w:line="600" w:lineRule="exact"/>
        <w:jc w:val="center"/>
        <w:rPr>
          <w:rFonts w:ascii="黑体" w:eastAsia="黑体" w:hAnsi="黑体"/>
          <w:sz w:val="36"/>
          <w:szCs w:val="36"/>
        </w:rPr>
      </w:pPr>
    </w:p>
    <w:p w14:paraId="6E194442">
      <w:pPr>
        <w:overflowPunct w:val="0"/>
        <w:autoSpaceDE w:val="0"/>
        <w:autoSpaceDN w:val="0"/>
        <w:spacing w:line="600" w:lineRule="exact"/>
        <w:jc w:val="center"/>
        <w:rPr>
          <w:rFonts w:ascii="黑体" w:eastAsia="黑体" w:hAnsi="黑体"/>
          <w:sz w:val="36"/>
          <w:szCs w:val="36"/>
        </w:rPr>
      </w:pPr>
    </w:p>
    <w:p w14:paraId="2FA7EAD6">
      <w:pPr>
        <w:widowControl/>
        <w:overflowPunct w:val="0"/>
        <w:autoSpaceDE w:val="0"/>
        <w:autoSpaceDN w:val="0"/>
        <w:spacing w:line="240" w:lineRule="auto"/>
        <w:jc w:val="left"/>
        <w:rPr>
          <w:rFonts w:ascii="黑体" w:eastAsia="黑体" w:hAnsi="黑体"/>
          <w:sz w:val="36"/>
          <w:szCs w:val="36"/>
        </w:rPr>
      </w:pPr>
      <w:r>
        <w:rPr>
          <w:rFonts w:ascii="黑体" w:eastAsia="黑体" w:hAnsi="黑体"/>
          <w:sz w:val="36"/>
          <w:szCs w:val="36"/>
        </w:rPr>
        <w:br w:type="page"/>
      </w:r>
    </w:p>
    <w:p w14:paraId="6AEAE684">
      <w:pPr>
        <w:pStyle w:val="BodyText"/>
        <w:overflowPunct w:val="0"/>
        <w:jc w:val="center"/>
        <w:rPr>
          <w:rFonts w:ascii="黑体" w:eastAsia="黑体" w:hAnsi="黑体"/>
          <w:sz w:val="36"/>
          <w:szCs w:val="36"/>
          <w:lang w:eastAsia="zh-CN"/>
        </w:rPr>
      </w:pPr>
    </w:p>
    <w:p w14:paraId="1AB5BCA8">
      <w:pPr>
        <w:pStyle w:val="BodyText"/>
        <w:overflowPunct w:val="0"/>
        <w:jc w:val="center"/>
        <w:rPr>
          <w:rFonts w:ascii="黑体" w:eastAsia="黑体" w:hAnsi="黑体"/>
          <w:sz w:val="36"/>
          <w:szCs w:val="36"/>
          <w:lang w:eastAsia="zh-CN"/>
        </w:rPr>
      </w:pPr>
    </w:p>
    <w:p w14:paraId="1ED5906F">
      <w:pPr>
        <w:pStyle w:val="BodyText"/>
        <w:overflowPunct w:val="0"/>
        <w:jc w:val="center"/>
        <w:rPr>
          <w:rFonts w:ascii="黑体" w:eastAsia="黑体" w:hAnsi="黑体"/>
          <w:sz w:val="36"/>
          <w:szCs w:val="36"/>
          <w:lang w:eastAsia="zh-CN"/>
        </w:rPr>
      </w:pPr>
    </w:p>
    <w:p w14:paraId="15362664">
      <w:pPr>
        <w:pStyle w:val="BodyText"/>
        <w:overflowPunct w:val="0"/>
        <w:jc w:val="center"/>
        <w:rPr>
          <w:rFonts w:ascii="黑体" w:eastAsia="黑体" w:hAnsi="黑体"/>
          <w:sz w:val="36"/>
          <w:szCs w:val="36"/>
          <w:lang w:eastAsia="zh-CN"/>
        </w:rPr>
      </w:pPr>
    </w:p>
    <w:p w14:paraId="5053D5F1">
      <w:pPr>
        <w:pStyle w:val="BodyText"/>
        <w:overflowPunct w:val="0"/>
        <w:jc w:val="center"/>
        <w:rPr>
          <w:rFonts w:ascii="黑体" w:eastAsia="黑体" w:hAnsi="黑体"/>
          <w:sz w:val="36"/>
          <w:szCs w:val="36"/>
          <w:lang w:eastAsia="zh-CN"/>
        </w:rPr>
      </w:pPr>
    </w:p>
    <w:p w14:paraId="794F4625">
      <w:pPr>
        <w:pStyle w:val="BodyText"/>
        <w:overflowPunct w:val="0"/>
        <w:jc w:val="center"/>
        <w:rPr>
          <w:rFonts w:ascii="黑体" w:eastAsia="黑体" w:hAnsi="黑体"/>
          <w:sz w:val="36"/>
          <w:szCs w:val="36"/>
          <w:lang w:eastAsia="zh-CN"/>
        </w:rPr>
      </w:pPr>
    </w:p>
    <w:p w14:paraId="50DA79A9">
      <w:pPr>
        <w:pStyle w:val="BodyText"/>
        <w:overflowPunct w:val="0"/>
        <w:jc w:val="center"/>
        <w:rPr>
          <w:rFonts w:ascii="黑体" w:eastAsia="黑体" w:hAnsi="黑体"/>
          <w:sz w:val="36"/>
          <w:szCs w:val="36"/>
          <w:lang w:eastAsia="zh-CN"/>
        </w:rPr>
      </w:pPr>
    </w:p>
    <w:p w14:paraId="0BDEFDEC">
      <w:pPr>
        <w:pStyle w:val="BodyText"/>
        <w:overflowPunct w:val="0"/>
        <w:jc w:val="center"/>
        <w:rPr>
          <w:rFonts w:ascii="黑体" w:eastAsia="黑体" w:hAnsi="黑体"/>
          <w:sz w:val="36"/>
          <w:szCs w:val="36"/>
          <w:lang w:eastAsia="zh-CN"/>
        </w:rPr>
      </w:pPr>
    </w:p>
    <w:p w14:paraId="555B00D1">
      <w:pPr>
        <w:pStyle w:val="BodyText"/>
        <w:overflowPunct w:val="0"/>
        <w:outlineLvl w:val="0"/>
        <w:rPr>
          <w:rFonts w:ascii="黑体" w:eastAsia="黑体" w:hAnsi="黑体"/>
          <w:sz w:val="56"/>
          <w:szCs w:val="36"/>
          <w:lang w:eastAsia="zh-CN"/>
        </w:rPr>
      </w:pPr>
      <w:bookmarkStart w:id="18" w:name="_Toc256000016"/>
      <w:r>
        <w:rPr>
          <w:rFonts w:ascii="黑体" w:eastAsia="黑体" w:hAnsi="黑体" w:hint="eastAsia"/>
          <w:sz w:val="56"/>
          <w:szCs w:val="36"/>
          <w:lang w:eastAsia="zh-CN"/>
        </w:rPr>
        <w:t>第三部分</w:t>
      </w:r>
      <w:bookmarkEnd w:id="18"/>
    </w:p>
    <w:p w14:paraId="0877BAA2">
      <w:pPr>
        <w:overflowPunct w:val="0"/>
        <w:autoSpaceDE w:val="0"/>
        <w:autoSpaceDN w:val="0"/>
        <w:spacing w:line="600" w:lineRule="exact"/>
        <w:jc w:val="center"/>
        <w:outlineLvl w:val="0"/>
        <w:rPr>
          <w:rFonts w:ascii="黑体" w:eastAsia="黑体" w:hAnsi="黑体"/>
          <w:sz w:val="36"/>
          <w:szCs w:val="36"/>
        </w:rPr>
      </w:pPr>
      <w:bookmarkStart w:id="19" w:name="_Toc256000017"/>
      <w:r>
        <w:rPr>
          <w:rFonts w:ascii="黑体" w:eastAsia="黑体" w:hAnsi="黑体" w:cs="黑体" w:hint="eastAsia"/>
          <w:bCs/>
          <w:sz w:val="56"/>
        </w:rPr>
        <w:t>2024</w:t>
      </w:r>
      <w:r>
        <w:rPr>
          <w:rFonts w:ascii="黑体" w:eastAsia="黑体" w:hAnsi="黑体" w:cs="黑体"/>
          <w:sz w:val="56"/>
          <w:u w:color="auto"/>
        </w:rPr>
        <w:t>年度</w:t>
      </w:r>
      <w:r>
        <w:rPr>
          <w:rFonts w:ascii="黑体" w:eastAsia="黑体" w:hAnsi="黑体" w:cs="黑体" w:hint="eastAsia"/>
          <w:bCs/>
          <w:sz w:val="56"/>
          <w:szCs w:val="56"/>
        </w:rPr>
        <w:t>单位</w:t>
      </w:r>
      <w:r>
        <w:rPr>
          <w:rFonts w:ascii="黑体" w:eastAsia="黑体" w:hAnsi="黑体" w:hint="eastAsia"/>
          <w:sz w:val="56"/>
          <w:szCs w:val="36"/>
        </w:rPr>
        <w:t>决算情况说明</w:t>
      </w:r>
      <w:bookmarkEnd w:id="19"/>
    </w:p>
    <w:p w14:paraId="522FD728">
      <w:pPr>
        <w:overflowPunct w:val="0"/>
        <w:autoSpaceDE w:val="0"/>
        <w:autoSpaceDN w:val="0"/>
        <w:spacing w:line="600" w:lineRule="exact"/>
        <w:rPr>
          <w:rFonts w:ascii="仿宋" w:eastAsia="仿宋" w:hAnsi="仿宋"/>
          <w:sz w:val="32"/>
          <w:szCs w:val="32"/>
        </w:rPr>
      </w:pPr>
    </w:p>
    <w:p w14:paraId="3ADC10E3">
      <w:pPr>
        <w:widowControl/>
        <w:kinsoku w:val="0"/>
        <w:overflowPunct w:val="0"/>
        <w:autoSpaceDE w:val="0"/>
        <w:autoSpaceDN w:val="0"/>
        <w:spacing w:line="240" w:lineRule="auto"/>
        <w:jc w:val="left"/>
        <w:rPr>
          <w:rFonts w:ascii="黑体" w:eastAsia="黑体" w:hAnsi="黑体"/>
          <w:sz w:val="32"/>
          <w:szCs w:val="32"/>
        </w:rPr>
      </w:pPr>
      <w:r>
        <w:rPr>
          <w:rFonts w:ascii="黑体" w:eastAsia="黑体" w:hAnsi="黑体"/>
          <w:sz w:val="32"/>
          <w:szCs w:val="32"/>
        </w:rPr>
        <w:br w:type="page"/>
      </w:r>
    </w:p>
    <w:p w14:paraId="66015A46">
      <w:pPr>
        <w:topLinePunct/>
        <w:spacing w:line="600" w:lineRule="exact"/>
        <w:ind w:firstLine="640" w:firstLineChars="200"/>
        <w:outlineLvl w:val="1"/>
        <w:rPr>
          <w:rFonts w:ascii="黑体" w:eastAsia="黑体" w:hAnsi="黑体"/>
          <w:sz w:val="32"/>
          <w:szCs w:val="32"/>
        </w:rPr>
      </w:pPr>
      <w:bookmarkStart w:id="20" w:name="_Toc256000018"/>
      <w:r>
        <w:rPr>
          <w:rFonts w:ascii="黑体" w:eastAsia="黑体" w:hAnsi="黑体" w:hint="eastAsia"/>
          <w:sz w:val="32"/>
          <w:szCs w:val="32"/>
        </w:rPr>
        <w:t>一、收入支出决算总体情况说明</w:t>
      </w:r>
      <w:bookmarkEnd w:id="20"/>
    </w:p>
    <w:p w14:paraId="3F95EB74">
      <w:pPr>
        <w:topLinePunct/>
        <w:autoSpaceDE w:val="0"/>
        <w:spacing w:line="600" w:lineRule="exact"/>
        <w:ind w:firstLine="640" w:firstLineChars="200"/>
        <w:rPr>
          <w:rFonts w:ascii="楷体" w:eastAsia="楷体" w:hAnsi="楷体" w:cs="楷体"/>
          <w:sz w:val="32"/>
          <w:szCs w:val="32"/>
        </w:rPr>
      </w:pPr>
      <w:r>
        <w:rPr>
          <w:rFonts w:ascii="楷体" w:eastAsia="楷体" w:hAnsi="楷体" w:cs="楷体" w:hint="eastAsia"/>
          <w:sz w:val="32"/>
          <w:szCs w:val="32"/>
        </w:rPr>
        <w:t>（一）收入支出决算总体情况说明</w:t>
      </w:r>
    </w:p>
    <w:p w14:paraId="115E5AF9">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2024</w:t>
      </w:r>
      <w:r>
        <w:rPr>
          <w:rFonts w:ascii="仿宋" w:eastAsia="仿宋" w:hAnsi="仿宋" w:cs="仿宋"/>
          <w:sz w:val="32"/>
          <w:u w:color="auto"/>
        </w:rPr>
        <w:t>年度本</w:t>
      </w:r>
      <w:r>
        <w:rPr>
          <w:rFonts w:ascii="仿宋" w:eastAsia="仿宋" w:hAnsi="仿宋" w:cs="仿宋"/>
          <w:sz w:val="32"/>
          <w:u w:color="auto"/>
        </w:rPr>
        <w:t>单位</w:t>
      </w:r>
      <w:r>
        <w:rPr>
          <w:rFonts w:ascii="仿宋" w:eastAsia="仿宋" w:hAnsi="仿宋" w:cs="仿宋"/>
          <w:sz w:val="32"/>
          <w:u w:color="auto"/>
        </w:rPr>
        <w:t>收入总计</w:t>
      </w:r>
      <w:r>
        <w:rPr>
          <w:rFonts w:ascii="仿宋" w:eastAsia="仿宋" w:hAnsi="仿宋" w:cs="仿宋"/>
          <w:sz w:val="32"/>
          <w:u w:color="auto"/>
        </w:rPr>
        <w:t>7077.55</w:t>
      </w:r>
      <w:r>
        <w:rPr>
          <w:rFonts w:ascii="仿宋" w:eastAsia="仿宋" w:hAnsi="仿宋" w:cs="仿宋"/>
          <w:sz w:val="32"/>
          <w:u w:color="auto"/>
        </w:rPr>
        <w:t>万元，支出总计</w:t>
      </w:r>
      <w:r>
        <w:rPr>
          <w:rFonts w:ascii="仿宋" w:eastAsia="仿宋" w:hAnsi="仿宋" w:cs="仿宋"/>
          <w:sz w:val="32"/>
          <w:u w:color="auto"/>
        </w:rPr>
        <w:t>7077.55</w:t>
      </w:r>
      <w:r>
        <w:rPr>
          <w:rFonts w:ascii="仿宋" w:eastAsia="仿宋" w:hAnsi="仿宋" w:cs="仿宋"/>
          <w:sz w:val="32"/>
          <w:u w:color="auto"/>
        </w:rPr>
        <w:t>万元，与上年决算数相比，各</w:t>
      </w:r>
      <w:r>
        <w:rPr>
          <w:rFonts w:ascii="仿宋" w:eastAsia="仿宋" w:hAnsi="仿宋" w:cs="仿宋"/>
          <w:sz w:val="32"/>
          <w:u w:color="auto"/>
        </w:rPr>
        <w:t>增加420.47</w:t>
      </w:r>
      <w:r>
        <w:rPr>
          <w:rFonts w:ascii="仿宋" w:eastAsia="仿宋" w:hAnsi="仿宋" w:cs="仿宋"/>
          <w:sz w:val="32"/>
          <w:u w:color="auto"/>
        </w:rPr>
        <w:t>万元</w:t>
      </w:r>
      <w:r>
        <w:rPr>
          <w:rFonts w:ascii="仿宋" w:eastAsia="仿宋" w:hAnsi="仿宋" w:cs="仿宋_GB2312" w:hint="eastAsia"/>
          <w:sz w:val="32"/>
          <w:szCs w:val="32"/>
        </w:rPr>
        <w:t>，</w:t>
      </w:r>
      <w:r>
        <w:rPr>
          <w:rFonts w:ascii="仿宋" w:eastAsia="仿宋" w:hAnsi="仿宋" w:cs="仿宋"/>
          <w:sz w:val="32"/>
          <w:u w:color="auto"/>
        </w:rPr>
        <w:t>增长6.32%</w:t>
      </w:r>
      <w:r>
        <w:rPr>
          <w:rFonts w:ascii="仿宋" w:eastAsia="仿宋" w:hAnsi="仿宋" w:cs="仿宋"/>
          <w:sz w:val="32"/>
          <w:u w:color="auto"/>
        </w:rPr>
        <w:t>。主要是</w:t>
      </w:r>
      <w:r>
        <w:rPr>
          <w:rFonts w:ascii="仿宋" w:eastAsia="仿宋" w:hAnsi="仿宋" w:cs="仿宋"/>
          <w:sz w:val="32"/>
          <w:u w:color="auto"/>
        </w:rPr>
        <w:t>人员增加，工资福利等支出增加</w:t>
      </w:r>
      <w:r>
        <w:rPr>
          <w:rFonts w:ascii="仿宋" w:eastAsia="仿宋" w:hAnsi="仿宋" w:cs="仿宋"/>
          <w:sz w:val="32"/>
          <w:u w:color="auto"/>
        </w:rPr>
        <w:t>。</w:t>
      </w:r>
    </w:p>
    <w:p w14:paraId="5977D006">
      <w:pPr>
        <w:suppressLineNumbers/>
        <w:suppressAutoHyphens/>
        <w:topLinePunct/>
        <w:autoSpaceDE w:val="0"/>
        <w:spacing w:line="600" w:lineRule="exact"/>
        <w:ind w:firstLine="640" w:firstLineChars="200"/>
        <w:rPr>
          <w:rFonts w:ascii="楷体_GB2312" w:eastAsia="楷体_GB2312" w:hAnsi="仿宋" w:cs="仿宋_GB2312"/>
          <w:sz w:val="32"/>
          <w:szCs w:val="32"/>
        </w:rPr>
      </w:pPr>
      <w:r>
        <w:rPr>
          <w:rFonts w:ascii="楷体" w:eastAsia="楷体" w:hAnsi="楷体" w:cs="楷体" w:hint="eastAsia"/>
          <w:sz w:val="32"/>
          <w:szCs w:val="32"/>
        </w:rPr>
        <w:t>（二）收入决算情况说明</w:t>
      </w:r>
    </w:p>
    <w:p w14:paraId="5F6F907D">
      <w:pPr>
        <w:suppressLineNumbers/>
        <w:suppressAutoHyphens/>
        <w:topLinePunct/>
        <w:autoSpaceDE w:val="0"/>
        <w:adjustRightInd w:val="0"/>
        <w:spacing w:line="600" w:lineRule="exact"/>
        <w:ind w:firstLine="640" w:firstLineChars="200"/>
        <w:rPr>
          <w:rFonts w:ascii="仿宋" w:eastAsia="仿宋" w:hAnsi="仿宋" w:cs="Times New Roman"/>
          <w:sz w:val="32"/>
          <w:szCs w:val="32"/>
        </w:rPr>
      </w:pPr>
      <w:r>
        <w:rPr>
          <w:rFonts w:ascii="仿宋" w:eastAsia="仿宋" w:hAnsi="仿宋" w:cs="仿宋_GB2312" w:hint="eastAsia"/>
          <w:sz w:val="32"/>
          <w:szCs w:val="32"/>
        </w:rPr>
        <w:t>2024</w:t>
      </w:r>
      <w:r>
        <w:rPr>
          <w:rFonts w:ascii="仿宋" w:eastAsia="仿宋" w:hAnsi="仿宋" w:cs="仿宋"/>
          <w:sz w:val="32"/>
          <w:u w:color="auto"/>
        </w:rPr>
        <w:t>年度收入</w:t>
      </w:r>
      <w:r>
        <w:rPr>
          <w:rFonts w:ascii="仿宋" w:eastAsia="仿宋" w:hAnsi="仿宋" w:cs="仿宋"/>
          <w:sz w:val="32"/>
          <w:u w:color="auto"/>
        </w:rPr>
        <w:t>7077.55</w:t>
      </w:r>
      <w:r>
        <w:rPr>
          <w:rFonts w:ascii="仿宋" w:eastAsia="仿宋" w:hAnsi="仿宋" w:cs="仿宋"/>
          <w:sz w:val="32"/>
          <w:u w:color="auto"/>
        </w:rPr>
        <w:t>万元，比上年决算数</w:t>
      </w:r>
      <w:r>
        <w:rPr>
          <w:rFonts w:ascii="仿宋" w:eastAsia="仿宋" w:hAnsi="仿宋" w:cs="仿宋"/>
          <w:sz w:val="32"/>
          <w:u w:color="auto"/>
        </w:rPr>
        <w:t>增加420.47</w:t>
      </w:r>
      <w:r>
        <w:rPr>
          <w:rFonts w:ascii="仿宋" w:eastAsia="仿宋" w:hAnsi="仿宋" w:cs="仿宋"/>
          <w:sz w:val="32"/>
          <w:u w:color="auto"/>
        </w:rPr>
        <w:t>万元</w:t>
      </w:r>
      <w:r>
        <w:rPr>
          <w:rFonts w:ascii="仿宋" w:eastAsia="仿宋" w:hAnsi="仿宋" w:cs="仿宋_GB2312" w:hint="eastAsia"/>
          <w:sz w:val="32"/>
          <w:szCs w:val="32"/>
        </w:rPr>
        <w:t>，</w:t>
      </w:r>
      <w:r>
        <w:rPr>
          <w:rFonts w:ascii="仿宋" w:eastAsia="仿宋" w:hAnsi="仿宋" w:cs="仿宋"/>
          <w:sz w:val="32"/>
          <w:u w:color="auto"/>
        </w:rPr>
        <w:t>增长6.32%</w:t>
      </w:r>
      <w:r>
        <w:rPr>
          <w:rFonts w:ascii="仿宋" w:eastAsia="仿宋" w:hAnsi="仿宋" w:hint="eastAsia"/>
          <w:sz w:val="32"/>
          <w:szCs w:val="32"/>
        </w:rPr>
        <w:t>，</w:t>
      </w:r>
      <w:r>
        <w:rPr>
          <w:rFonts w:ascii="仿宋" w:eastAsia="仿宋" w:hAnsi="仿宋" w:cs="仿宋_GB2312" w:hint="eastAsia"/>
          <w:sz w:val="32"/>
          <w:szCs w:val="32"/>
        </w:rPr>
        <w:t>具体情况如下：</w:t>
      </w:r>
    </w:p>
    <w:p w14:paraId="5D58D44F">
      <w:pPr>
        <w:suppressLineNumbers/>
        <w:suppressAutoHyphens/>
        <w:topLinePunct/>
        <w:autoSpaceDE w:val="0"/>
        <w:adjustRightInd w:val="0"/>
        <w:spacing w:line="600" w:lineRule="exact"/>
        <w:ind w:left="182" w:firstLine="480" w:leftChars="76" w:firstLineChars="15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hint="eastAsia"/>
          <w:sz w:val="32"/>
          <w:szCs w:val="32"/>
        </w:rPr>
        <w:t>一般公共预算财政拨款收入</w:t>
      </w:r>
      <w:r>
        <w:rPr>
          <w:rFonts w:ascii="仿宋" w:eastAsia="仿宋" w:hAnsi="仿宋" w:cs="仿宋"/>
          <w:sz w:val="32"/>
          <w:u w:color="auto"/>
        </w:rPr>
        <w:t>7041.84</w:t>
      </w:r>
      <w:r>
        <w:rPr>
          <w:rFonts w:ascii="仿宋" w:eastAsia="仿宋" w:hAnsi="仿宋" w:cs="仿宋_GB2312"/>
          <w:sz w:val="32"/>
          <w:szCs w:val="32"/>
        </w:rPr>
        <w:t>万元</w:t>
      </w:r>
      <w:r>
        <w:rPr>
          <w:rFonts w:ascii="仿宋" w:eastAsia="仿宋" w:hAnsi="仿宋" w:cs="仿宋_GB2312" w:hint="eastAsia"/>
          <w:sz w:val="32"/>
          <w:szCs w:val="32"/>
        </w:rPr>
        <w:t>。</w:t>
      </w:r>
    </w:p>
    <w:p w14:paraId="41AF7FEB">
      <w:pPr>
        <w:suppressLineNumbers/>
        <w:suppressAutoHyphens/>
        <w:topLinePunct/>
        <w:autoSpaceDE w:val="0"/>
        <w:adjustRightInd w:val="0"/>
        <w:spacing w:line="600" w:lineRule="exact"/>
        <w:ind w:left="182" w:firstLine="480" w:leftChars="76" w:firstLineChars="150"/>
        <w:rPr>
          <w:rFonts w:ascii="仿宋" w:eastAsia="仿宋" w:hAnsi="仿宋" w:cs="仿宋_GB2312"/>
          <w:sz w:val="32"/>
          <w:szCs w:val="32"/>
        </w:rPr>
      </w:pPr>
      <w:r>
        <w:rPr>
          <w:rFonts w:ascii="仿宋" w:eastAsia="仿宋" w:hAnsi="仿宋" w:cs="仿宋_GB2312" w:hint="eastAsia"/>
          <w:sz w:val="32"/>
          <w:szCs w:val="32"/>
        </w:rPr>
        <w:t>2.政府性基金预算财政拨款收入</w:t>
      </w:r>
      <w:r>
        <w:rPr>
          <w:rFonts w:ascii="仿宋" w:eastAsia="仿宋" w:hAnsi="仿宋" w:cs="仿宋"/>
          <w:sz w:val="32"/>
          <w:u w:color="auto"/>
        </w:rPr>
        <w:t>0.00</w:t>
      </w:r>
      <w:r>
        <w:rPr>
          <w:rFonts w:ascii="仿宋" w:eastAsia="仿宋" w:hAnsi="仿宋" w:cs="仿宋_GB2312"/>
          <w:sz w:val="32"/>
          <w:szCs w:val="32"/>
        </w:rPr>
        <w:t>万元。</w:t>
      </w:r>
    </w:p>
    <w:p w14:paraId="526ED9A6">
      <w:pPr>
        <w:suppressLineNumbers/>
        <w:suppressAutoHyphens/>
        <w:topLinePunct/>
        <w:autoSpaceDE w:val="0"/>
        <w:adjustRightInd w:val="0"/>
        <w:spacing w:line="600" w:lineRule="exact"/>
        <w:ind w:left="182" w:firstLine="480" w:leftChars="76" w:firstLineChars="150"/>
        <w:rPr>
          <w:rFonts w:ascii="仿宋" w:eastAsia="仿宋" w:hAnsi="仿宋"/>
          <w:sz w:val="32"/>
          <w:szCs w:val="32"/>
        </w:rPr>
      </w:pPr>
      <w:r>
        <w:rPr>
          <w:rFonts w:ascii="仿宋" w:eastAsia="仿宋" w:hAnsi="仿宋" w:cs="仿宋_GB2312" w:hint="eastAsia"/>
          <w:sz w:val="32"/>
          <w:szCs w:val="32"/>
        </w:rPr>
        <w:t>3.国有资本经营预算财政拨款收入</w:t>
      </w:r>
      <w:r>
        <w:rPr>
          <w:rFonts w:ascii="仿宋" w:eastAsia="仿宋" w:hAnsi="仿宋" w:cs="仿宋"/>
          <w:sz w:val="32"/>
          <w:u w:color="auto"/>
        </w:rPr>
        <w:t>0.00</w:t>
      </w:r>
      <w:r>
        <w:rPr>
          <w:rFonts w:ascii="仿宋" w:eastAsia="仿宋" w:hAnsi="仿宋" w:cs="仿宋_GB2312"/>
          <w:sz w:val="32"/>
          <w:szCs w:val="32"/>
        </w:rPr>
        <w:t>万元。</w:t>
      </w:r>
    </w:p>
    <w:p w14:paraId="406F9187">
      <w:pPr>
        <w:suppressLineNumbers/>
        <w:suppressAutoHyphens/>
        <w:topLinePunct/>
        <w:autoSpaceDE w:val="0"/>
        <w:adjustRightInd w:val="0"/>
        <w:spacing w:line="600" w:lineRule="exact"/>
        <w:ind w:firstLine="640" w:firstLineChars="200"/>
        <w:rPr>
          <w:rFonts w:ascii="仿宋" w:eastAsia="仿宋" w:hAnsi="仿宋"/>
          <w:sz w:val="32"/>
          <w:szCs w:val="32"/>
        </w:rPr>
      </w:pPr>
      <w:r>
        <w:rPr>
          <w:rFonts w:ascii="仿宋" w:eastAsia="仿宋" w:hAnsi="仿宋" w:cs="仿宋_GB2312" w:hint="eastAsia"/>
          <w:sz w:val="32"/>
          <w:szCs w:val="32"/>
        </w:rPr>
        <w:t>4</w:t>
      </w:r>
      <w:r>
        <w:rPr>
          <w:rFonts w:ascii="仿宋" w:eastAsia="仿宋" w:hAnsi="仿宋" w:cs="仿宋_GB2312"/>
          <w:sz w:val="32"/>
          <w:szCs w:val="32"/>
        </w:rPr>
        <w:t>.</w:t>
      </w:r>
      <w:r>
        <w:rPr>
          <w:rFonts w:ascii="仿宋" w:eastAsia="仿宋" w:hAnsi="仿宋" w:hint="eastAsia"/>
          <w:sz w:val="32"/>
          <w:szCs w:val="32"/>
        </w:rPr>
        <w:t>上级补助收入</w:t>
      </w:r>
      <w:r>
        <w:rPr>
          <w:rFonts w:ascii="仿宋" w:eastAsia="仿宋" w:hAnsi="仿宋" w:cs="仿宋_GB2312" w:hint="eastAsia"/>
          <w:sz w:val="32"/>
          <w:szCs w:val="32"/>
        </w:rPr>
        <w:t>0.00</w:t>
      </w:r>
      <w:r>
        <w:rPr>
          <w:rFonts w:ascii="仿宋" w:eastAsia="仿宋" w:hAnsi="仿宋" w:hint="eastAsia"/>
          <w:sz w:val="32"/>
          <w:szCs w:val="32"/>
        </w:rPr>
        <w:t>万元。</w:t>
      </w:r>
    </w:p>
    <w:p w14:paraId="707DD649">
      <w:pPr>
        <w:suppressLineNumbers/>
        <w:suppressAutoHyphens/>
        <w:topLinePunct/>
        <w:autoSpaceDE w:val="0"/>
        <w:adjustRightInd w:val="0"/>
        <w:spacing w:line="600" w:lineRule="exact"/>
        <w:ind w:firstLine="640" w:firstLineChars="200"/>
        <w:rPr>
          <w:rFonts w:ascii="仿宋" w:eastAsia="仿宋" w:hAnsi="仿宋"/>
          <w:sz w:val="32"/>
          <w:szCs w:val="32"/>
        </w:rPr>
      </w:pPr>
      <w:r>
        <w:rPr>
          <w:rFonts w:ascii="仿宋" w:eastAsia="仿宋" w:hAnsi="仿宋" w:cs="仿宋_GB2312" w:hint="eastAsia"/>
          <w:sz w:val="32"/>
          <w:szCs w:val="32"/>
        </w:rPr>
        <w:t>5</w:t>
      </w:r>
      <w:r>
        <w:rPr>
          <w:rFonts w:ascii="仿宋" w:eastAsia="仿宋" w:hAnsi="仿宋" w:cs="仿宋_GB2312"/>
          <w:sz w:val="32"/>
          <w:szCs w:val="32"/>
        </w:rPr>
        <w:t>.事业收入</w:t>
      </w:r>
      <w:r>
        <w:rPr>
          <w:rFonts w:ascii="仿宋" w:eastAsia="仿宋" w:hAnsi="仿宋" w:cs="仿宋_GB2312" w:hint="eastAsia"/>
          <w:sz w:val="32"/>
          <w:szCs w:val="32"/>
        </w:rPr>
        <w:t>35.70</w:t>
      </w:r>
      <w:r>
        <w:rPr>
          <w:rFonts w:ascii="仿宋" w:eastAsia="仿宋" w:hAnsi="仿宋" w:cs="仿宋"/>
          <w:sz w:val="32"/>
          <w:u w:color="auto"/>
        </w:rPr>
        <w:t>万元。</w:t>
      </w:r>
    </w:p>
    <w:p w14:paraId="6FA45721">
      <w:pPr>
        <w:suppressLineNumbers/>
        <w:suppressAutoHyphens/>
        <w:topLinePunct/>
        <w:autoSpaceDE w:val="0"/>
        <w:adjustRightInd w:val="0"/>
        <w:spacing w:line="600" w:lineRule="exact"/>
        <w:ind w:firstLine="640" w:firstLineChars="200"/>
        <w:outlineLvl w:val="3"/>
        <w:rPr>
          <w:rFonts w:ascii="仿宋" w:eastAsia="仿宋" w:hAnsi="仿宋"/>
          <w:sz w:val="32"/>
          <w:szCs w:val="32"/>
        </w:rPr>
      </w:pPr>
      <w:r>
        <w:rPr>
          <w:rFonts w:ascii="仿宋" w:eastAsia="仿宋" w:hAnsi="仿宋" w:cs="仿宋_GB2312" w:hint="eastAsia"/>
          <w:sz w:val="32"/>
          <w:szCs w:val="32"/>
        </w:rPr>
        <w:t>6</w:t>
      </w:r>
      <w:r>
        <w:rPr>
          <w:rFonts w:ascii="仿宋" w:eastAsia="仿宋" w:hAnsi="仿宋" w:cs="仿宋_GB2312"/>
          <w:sz w:val="32"/>
          <w:szCs w:val="32"/>
        </w:rPr>
        <w:t>.经营收入</w:t>
      </w:r>
      <w:r>
        <w:rPr>
          <w:rFonts w:ascii="仿宋" w:eastAsia="仿宋" w:hAnsi="仿宋" w:cs="仿宋_GB2312" w:hint="eastAsia"/>
          <w:sz w:val="32"/>
          <w:szCs w:val="32"/>
        </w:rPr>
        <w:t>0.00</w:t>
      </w:r>
      <w:r>
        <w:rPr>
          <w:rFonts w:ascii="仿宋" w:eastAsia="仿宋" w:hAnsi="仿宋" w:cs="仿宋"/>
          <w:sz w:val="32"/>
          <w:u w:color="auto"/>
        </w:rPr>
        <w:t>万元。</w:t>
      </w:r>
    </w:p>
    <w:p w14:paraId="1C108EC1">
      <w:pPr>
        <w:suppressLineNumbers/>
        <w:suppressAutoHyphens/>
        <w:topLinePunct/>
        <w:autoSpaceDE w:val="0"/>
        <w:adjustRightInd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sz w:val="32"/>
          <w:szCs w:val="32"/>
        </w:rPr>
        <w:t>.附属单位上缴收入</w:t>
      </w:r>
      <w:r>
        <w:rPr>
          <w:rFonts w:ascii="仿宋" w:eastAsia="仿宋" w:hAnsi="仿宋" w:cs="仿宋_GB2312" w:hint="eastAsia"/>
          <w:sz w:val="32"/>
          <w:szCs w:val="32"/>
        </w:rPr>
        <w:t>0.00</w:t>
      </w:r>
      <w:r>
        <w:rPr>
          <w:rFonts w:ascii="仿宋" w:eastAsia="仿宋" w:hAnsi="仿宋" w:cs="仿宋"/>
          <w:sz w:val="32"/>
          <w:u w:color="auto"/>
        </w:rPr>
        <w:t>万元。</w:t>
      </w:r>
    </w:p>
    <w:p w14:paraId="422A20F8">
      <w:pPr>
        <w:suppressLineNumbers/>
        <w:suppressAutoHyphens/>
        <w:topLinePunct/>
        <w:autoSpaceDE w:val="0"/>
        <w:adjustRightInd w:val="0"/>
        <w:spacing w:line="600" w:lineRule="exact"/>
        <w:ind w:firstLine="640" w:firstLineChars="200"/>
        <w:outlineLvl w:val="3"/>
        <w:rPr>
          <w:rFonts w:ascii="仿宋" w:eastAsia="仿宋" w:hAnsi="仿宋" w:cs="仿宋_GB2312"/>
          <w:sz w:val="32"/>
          <w:szCs w:val="32"/>
        </w:rPr>
      </w:pPr>
      <w:r>
        <w:rPr>
          <w:rFonts w:ascii="仿宋" w:eastAsia="仿宋" w:hAnsi="仿宋" w:cs="仿宋_GB2312" w:hint="eastAsia"/>
          <w:sz w:val="32"/>
          <w:szCs w:val="32"/>
        </w:rPr>
        <w:t>8</w:t>
      </w:r>
      <w:r>
        <w:rPr>
          <w:rFonts w:ascii="仿宋" w:eastAsia="仿宋" w:hAnsi="仿宋" w:cs="仿宋_GB2312"/>
          <w:sz w:val="32"/>
          <w:szCs w:val="32"/>
        </w:rPr>
        <w:t>.其他收入</w:t>
      </w:r>
      <w:r>
        <w:rPr>
          <w:rFonts w:ascii="仿宋" w:eastAsia="仿宋" w:hAnsi="仿宋" w:cs="仿宋_GB2312" w:hint="eastAsia"/>
          <w:sz w:val="32"/>
          <w:szCs w:val="32"/>
        </w:rPr>
        <w:t>0.00</w:t>
      </w:r>
      <w:r>
        <w:rPr>
          <w:rFonts w:ascii="仿宋" w:eastAsia="仿宋" w:hAnsi="仿宋" w:cs="仿宋"/>
          <w:sz w:val="32"/>
          <w:u w:color="auto"/>
        </w:rPr>
        <w:t>万元。</w:t>
      </w:r>
    </w:p>
    <w:p w14:paraId="39E2827C">
      <w:pPr>
        <w:suppressLineNumbers/>
        <w:suppressAutoHyphens/>
        <w:topLinePunct/>
        <w:autoSpaceDE w:val="0"/>
        <w:spacing w:line="600" w:lineRule="exact"/>
        <w:ind w:firstLine="640" w:firstLineChars="200"/>
        <w:rPr>
          <w:rFonts w:ascii="楷体" w:eastAsia="楷体" w:hAnsi="楷体" w:cs="楷体"/>
          <w:sz w:val="32"/>
          <w:szCs w:val="32"/>
        </w:rPr>
      </w:pPr>
      <w:r>
        <w:rPr>
          <w:rFonts w:ascii="楷体" w:eastAsia="楷体" w:hAnsi="楷体" w:cs="楷体" w:hint="eastAsia"/>
          <w:sz w:val="32"/>
          <w:szCs w:val="32"/>
        </w:rPr>
        <w:t>（三）支出决算情况说明</w:t>
      </w:r>
    </w:p>
    <w:p w14:paraId="00B5D387">
      <w:pPr>
        <w:suppressLineNumbers/>
        <w:suppressAutoHyphens/>
        <w:topLinePunct/>
        <w:autoSpaceDE w:val="0"/>
        <w:spacing w:line="274" w:lineRule="auto"/>
        <w:ind w:firstLine="640" w:firstLineChars="200"/>
        <w:rPr>
          <w:rFonts w:ascii="仿宋" w:eastAsia="仿宋" w:hAnsi="仿宋" w:cs="Times New Roman"/>
          <w:sz w:val="32"/>
          <w:szCs w:val="32"/>
        </w:rPr>
      </w:pPr>
      <w:r>
        <w:rPr>
          <w:rFonts w:ascii="仿宋" w:eastAsia="仿宋" w:hAnsi="仿宋" w:cs="仿宋_GB2312" w:hint="eastAsia"/>
          <w:sz w:val="32"/>
          <w:szCs w:val="32"/>
        </w:rPr>
        <w:t>2024</w:t>
      </w:r>
      <w:r>
        <w:rPr>
          <w:rFonts w:ascii="仿宋" w:eastAsia="仿宋" w:hAnsi="仿宋" w:cs="仿宋"/>
          <w:sz w:val="32"/>
          <w:u w:color="auto"/>
        </w:rPr>
        <w:t>年度支出</w:t>
      </w:r>
      <w:r>
        <w:rPr>
          <w:rFonts w:ascii="仿宋" w:eastAsia="仿宋" w:hAnsi="仿宋" w:cs="仿宋"/>
          <w:sz w:val="32"/>
          <w:u w:color="auto"/>
        </w:rPr>
        <w:t>7077.55</w:t>
      </w:r>
      <w:r>
        <w:rPr>
          <w:rFonts w:ascii="仿宋" w:eastAsia="仿宋" w:hAnsi="仿宋" w:cs="仿宋"/>
          <w:sz w:val="32"/>
          <w:u w:color="auto"/>
        </w:rPr>
        <w:t>万元，比上年决算数</w:t>
      </w:r>
      <w:r>
        <w:rPr>
          <w:rFonts w:ascii="仿宋" w:eastAsia="仿宋" w:hAnsi="仿宋" w:cs="仿宋"/>
          <w:sz w:val="32"/>
          <w:u w:color="auto"/>
        </w:rPr>
        <w:t>增加420.47</w:t>
      </w:r>
      <w:r>
        <w:rPr>
          <w:rFonts w:ascii="仿宋" w:eastAsia="仿宋" w:hAnsi="仿宋" w:cs="仿宋"/>
          <w:sz w:val="32"/>
          <w:u w:color="auto"/>
        </w:rPr>
        <w:t>万元</w:t>
      </w:r>
      <w:r>
        <w:rPr>
          <w:rFonts w:ascii="仿宋" w:eastAsia="仿宋" w:hAnsi="仿宋" w:cs="仿宋_GB2312" w:hint="eastAsia"/>
          <w:sz w:val="32"/>
          <w:szCs w:val="32"/>
        </w:rPr>
        <w:t>，</w:t>
      </w:r>
      <w:r>
        <w:rPr>
          <w:rFonts w:ascii="仿宋" w:eastAsia="仿宋" w:hAnsi="仿宋" w:cs="仿宋"/>
          <w:sz w:val="32"/>
          <w:u w:color="auto"/>
        </w:rPr>
        <w:t>增长6.32%</w:t>
      </w:r>
      <w:r>
        <w:rPr>
          <w:rFonts w:ascii="仿宋" w:eastAsia="仿宋" w:hAnsi="仿宋" w:hint="eastAsia"/>
          <w:sz w:val="32"/>
          <w:szCs w:val="32"/>
        </w:rPr>
        <w:t>，</w:t>
      </w:r>
      <w:r>
        <w:rPr>
          <w:rFonts w:ascii="仿宋" w:eastAsia="仿宋" w:hAnsi="仿宋" w:cs="仿宋_GB2312" w:hint="eastAsia"/>
          <w:sz w:val="32"/>
          <w:szCs w:val="32"/>
        </w:rPr>
        <w:t>具体情况如下：</w:t>
      </w:r>
    </w:p>
    <w:p w14:paraId="4B4F818D">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sz w:val="32"/>
          <w:szCs w:val="32"/>
        </w:rPr>
      </w:pPr>
      <w:r>
        <w:rPr>
          <w:rFonts w:ascii="仿宋" w:eastAsia="仿宋" w:hAnsi="仿宋" w:cs="仿宋_GB2312"/>
          <w:sz w:val="32"/>
          <w:szCs w:val="32"/>
        </w:rPr>
        <w:t>1.</w:t>
      </w:r>
      <w:r>
        <w:rPr>
          <w:rFonts w:ascii="仿宋" w:eastAsia="仿宋" w:hAnsi="仿宋" w:cs="仿宋_GB2312" w:hint="eastAsia"/>
          <w:sz w:val="32"/>
          <w:szCs w:val="32"/>
        </w:rPr>
        <w:t>基本支出</w:t>
      </w:r>
      <w:r>
        <w:rPr>
          <w:rFonts w:ascii="仿宋" w:eastAsia="仿宋" w:hAnsi="仿宋" w:cs="仿宋"/>
          <w:sz w:val="32"/>
          <w:u w:color="auto"/>
        </w:rPr>
        <w:t>6783.97</w:t>
      </w:r>
      <w:r>
        <w:rPr>
          <w:rFonts w:ascii="仿宋" w:eastAsia="仿宋" w:hAnsi="仿宋" w:cs="仿宋"/>
          <w:sz w:val="32"/>
          <w:u w:color="auto"/>
        </w:rPr>
        <w:t>万元。其中，人员支出</w:t>
      </w:r>
      <w:r>
        <w:rPr>
          <w:rFonts w:ascii="仿宋" w:eastAsia="仿宋" w:hAnsi="仿宋" w:cs="仿宋"/>
          <w:sz w:val="32"/>
          <w:u w:color="auto"/>
        </w:rPr>
        <w:t>5426.24</w:t>
      </w:r>
      <w:r>
        <w:rPr>
          <w:rFonts w:ascii="仿宋" w:eastAsia="仿宋" w:hAnsi="仿宋" w:cs="仿宋"/>
          <w:sz w:val="32"/>
          <w:u w:color="auto"/>
        </w:rPr>
        <w:t>万元，公用支出</w:t>
      </w:r>
      <w:r>
        <w:rPr>
          <w:rFonts w:ascii="仿宋" w:eastAsia="仿宋" w:hAnsi="仿宋" w:cs="仿宋"/>
          <w:sz w:val="32"/>
          <w:u w:color="auto"/>
        </w:rPr>
        <w:t>1357.73</w:t>
      </w:r>
      <w:r>
        <w:rPr>
          <w:rFonts w:ascii="仿宋" w:eastAsia="仿宋" w:hAnsi="仿宋" w:cs="仿宋"/>
          <w:sz w:val="32"/>
          <w:u w:color="auto"/>
        </w:rPr>
        <w:t>万元。</w:t>
      </w:r>
    </w:p>
    <w:p w14:paraId="31611B63">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sz w:val="32"/>
          <w:szCs w:val="32"/>
        </w:rPr>
      </w:pPr>
      <w:r>
        <w:rPr>
          <w:rFonts w:ascii="仿宋" w:eastAsia="仿宋" w:hAnsi="仿宋" w:cs="仿宋_GB2312"/>
          <w:sz w:val="32"/>
          <w:szCs w:val="32"/>
        </w:rPr>
        <w:t>2.</w:t>
      </w:r>
      <w:r>
        <w:rPr>
          <w:rFonts w:ascii="仿宋" w:eastAsia="仿宋" w:hAnsi="仿宋" w:cs="仿宋_GB2312" w:hint="eastAsia"/>
          <w:sz w:val="32"/>
          <w:szCs w:val="32"/>
        </w:rPr>
        <w:t>项目支出</w:t>
      </w:r>
      <w:r>
        <w:rPr>
          <w:rFonts w:ascii="仿宋" w:eastAsia="仿宋" w:hAnsi="仿宋" w:cs="仿宋"/>
          <w:sz w:val="32"/>
          <w:u w:color="auto"/>
        </w:rPr>
        <w:t>293.58</w:t>
      </w:r>
      <w:r>
        <w:rPr>
          <w:rFonts w:ascii="仿宋" w:eastAsia="仿宋" w:hAnsi="仿宋" w:cs="仿宋"/>
          <w:sz w:val="32"/>
          <w:u w:color="auto"/>
        </w:rPr>
        <w:t>万元。</w:t>
      </w:r>
    </w:p>
    <w:p w14:paraId="70A0BB51">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sz w:val="32"/>
          <w:szCs w:val="32"/>
        </w:rPr>
      </w:pPr>
      <w:r>
        <w:rPr>
          <w:rFonts w:ascii="仿宋" w:eastAsia="仿宋" w:hAnsi="仿宋" w:cs="仿宋_GB2312"/>
          <w:sz w:val="32"/>
          <w:szCs w:val="32"/>
        </w:rPr>
        <w:t>3.</w:t>
      </w:r>
      <w:r>
        <w:rPr>
          <w:rFonts w:ascii="仿宋" w:eastAsia="仿宋" w:hAnsi="仿宋" w:cs="仿宋_GB2312" w:hint="eastAsia"/>
          <w:sz w:val="32"/>
          <w:szCs w:val="32"/>
        </w:rPr>
        <w:t>上缴上级支出</w:t>
      </w:r>
      <w:r>
        <w:rPr>
          <w:rFonts w:ascii="仿宋" w:eastAsia="仿宋" w:hAnsi="仿宋" w:cs="仿宋"/>
          <w:sz w:val="32"/>
          <w:u w:color="auto"/>
        </w:rPr>
        <w:t>0.00</w:t>
      </w:r>
      <w:r>
        <w:rPr>
          <w:rFonts w:ascii="仿宋" w:eastAsia="仿宋" w:hAnsi="仿宋" w:cs="仿宋"/>
          <w:sz w:val="32"/>
          <w:u w:color="auto"/>
        </w:rPr>
        <w:t>万元。</w:t>
      </w:r>
    </w:p>
    <w:p w14:paraId="2126D1EB">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sz w:val="32"/>
          <w:szCs w:val="32"/>
        </w:rPr>
      </w:pPr>
      <w:r>
        <w:rPr>
          <w:rFonts w:ascii="仿宋" w:eastAsia="仿宋" w:hAnsi="仿宋" w:cs="仿宋_GB2312"/>
          <w:sz w:val="32"/>
          <w:szCs w:val="32"/>
        </w:rPr>
        <w:t>4.</w:t>
      </w:r>
      <w:r>
        <w:rPr>
          <w:rFonts w:ascii="仿宋" w:eastAsia="仿宋" w:hAnsi="仿宋" w:cs="仿宋_GB2312" w:hint="eastAsia"/>
          <w:sz w:val="32"/>
          <w:szCs w:val="32"/>
        </w:rPr>
        <w:t>经营支出</w:t>
      </w:r>
      <w:r>
        <w:rPr>
          <w:rFonts w:ascii="仿宋" w:eastAsia="仿宋" w:hAnsi="仿宋" w:cs="仿宋"/>
          <w:sz w:val="32"/>
          <w:u w:color="auto"/>
        </w:rPr>
        <w:t>0.00</w:t>
      </w:r>
      <w:r>
        <w:rPr>
          <w:rFonts w:ascii="仿宋" w:eastAsia="仿宋" w:hAnsi="仿宋" w:cs="仿宋"/>
          <w:sz w:val="32"/>
          <w:u w:color="auto"/>
        </w:rPr>
        <w:t>万元。</w:t>
      </w:r>
    </w:p>
    <w:p w14:paraId="154C8002">
      <w:pPr>
        <w:suppressLineNumbers/>
        <w:suppressAutoHyphens/>
        <w:topLinePunct/>
        <w:autoSpaceDE w:val="0"/>
        <w:spacing w:line="600" w:lineRule="exact"/>
        <w:ind w:firstLine="640" w:firstLineChars="200"/>
        <w:rPr>
          <w:rFonts w:ascii="仿宋" w:eastAsia="仿宋" w:hAnsi="仿宋"/>
          <w:sz w:val="32"/>
          <w:szCs w:val="32"/>
        </w:rPr>
      </w:pPr>
      <w:r>
        <w:rPr>
          <w:rFonts w:ascii="仿宋" w:eastAsia="仿宋" w:hAnsi="仿宋" w:cs="仿宋_GB2312"/>
          <w:sz w:val="32"/>
          <w:szCs w:val="32"/>
        </w:rPr>
        <w:t>5.</w:t>
      </w:r>
      <w:r>
        <w:rPr>
          <w:rFonts w:ascii="仿宋" w:eastAsia="仿宋" w:hAnsi="仿宋" w:cs="仿宋_GB2312" w:hint="eastAsia"/>
          <w:sz w:val="32"/>
          <w:szCs w:val="32"/>
        </w:rPr>
        <w:t>对附属单位补助支出</w:t>
      </w:r>
      <w:r>
        <w:rPr>
          <w:rFonts w:ascii="仿宋" w:eastAsia="仿宋" w:hAnsi="仿宋" w:cs="仿宋"/>
          <w:sz w:val="32"/>
          <w:u w:color="auto"/>
        </w:rPr>
        <w:t>0.00</w:t>
      </w:r>
      <w:r>
        <w:rPr>
          <w:rFonts w:ascii="仿宋" w:eastAsia="仿宋" w:hAnsi="仿宋" w:cs="仿宋"/>
          <w:sz w:val="32"/>
          <w:u w:color="auto"/>
        </w:rPr>
        <w:t>万元。</w:t>
      </w:r>
    </w:p>
    <w:p w14:paraId="324789B6">
      <w:pPr>
        <w:suppressLineNumbers/>
        <w:suppressAutoHyphens/>
        <w:topLinePunct/>
        <w:autoSpaceDE w:val="0"/>
        <w:adjustRightInd w:val="0"/>
        <w:spacing w:line="240" w:lineRule="auto"/>
        <w:ind w:firstLine="480" w:firstLineChars="150"/>
        <w:jc w:val="left"/>
        <w:outlineLvl w:val="1"/>
        <w:rPr>
          <w:rFonts w:ascii="黑体" w:eastAsia="黑体" w:cs="黑体"/>
          <w:kern w:val="0"/>
          <w:sz w:val="32"/>
          <w:szCs w:val="32"/>
        </w:rPr>
      </w:pPr>
      <w:bookmarkStart w:id="21" w:name="_Toc256000019"/>
      <w:r>
        <w:rPr>
          <w:rFonts w:ascii="黑体" w:eastAsia="黑体" w:hAnsi="黑体" w:hint="eastAsia"/>
          <w:sz w:val="32"/>
          <w:szCs w:val="32"/>
        </w:rPr>
        <w:t>二、</w:t>
      </w:r>
      <w:r>
        <w:rPr>
          <w:rFonts w:ascii="黑体" w:eastAsia="黑体" w:cs="黑体" w:hint="eastAsia"/>
          <w:kern w:val="0"/>
          <w:sz w:val="32"/>
          <w:szCs w:val="32"/>
        </w:rPr>
        <w:t>财政拨款收入支出决算总体情况说明</w:t>
      </w:r>
      <w:bookmarkEnd w:id="21"/>
    </w:p>
    <w:p w14:paraId="0155E21E">
      <w:pPr>
        <w:suppressLineNumbers/>
        <w:suppressAutoHyphens/>
        <w:topLinePunct/>
        <w:autoSpaceDE w:val="0"/>
        <w:adjustRightInd w:val="0"/>
        <w:spacing w:line="240" w:lineRule="auto"/>
        <w:ind w:firstLine="640" w:firstLineChars="200"/>
        <w:jc w:val="left"/>
        <w:rPr>
          <w:rFonts w:ascii="仿宋" w:eastAsia="仿宋" w:hAnsi="仿宋"/>
          <w:sz w:val="32"/>
          <w:szCs w:val="32"/>
        </w:rPr>
      </w:pPr>
      <w:r>
        <w:rPr>
          <w:rFonts w:ascii="仿宋" w:eastAsia="仿宋" w:hAnsi="仿宋" w:cs="仿宋_GB2312" w:hint="eastAsia"/>
          <w:sz w:val="32"/>
          <w:szCs w:val="32"/>
        </w:rPr>
        <w:t>2024</w:t>
      </w:r>
      <w:r>
        <w:rPr>
          <w:rFonts w:ascii="仿宋" w:eastAsia="仿宋" w:hAnsi="仿宋" w:cs="仿宋_GB2312" w:hint="eastAsia"/>
          <w:kern w:val="0"/>
          <w:sz w:val="32"/>
          <w:szCs w:val="32"/>
        </w:rPr>
        <w:t>年度财政拨款</w:t>
      </w:r>
      <w:r>
        <w:rPr>
          <w:rFonts w:ascii="仿宋" w:eastAsia="仿宋" w:hAnsi="仿宋" w:cs="仿宋_GB2312" w:hint="eastAsia"/>
          <w:sz w:val="32"/>
          <w:szCs w:val="32"/>
        </w:rPr>
        <w:t>收入总计</w:t>
      </w:r>
      <w:r>
        <w:rPr>
          <w:rFonts w:ascii="仿宋" w:eastAsia="仿宋" w:hAnsi="仿宋" w:cs="仿宋"/>
          <w:sz w:val="32"/>
          <w:u w:color="auto"/>
        </w:rPr>
        <w:t>7041.84</w:t>
      </w:r>
      <w:r>
        <w:rPr>
          <w:rFonts w:ascii="仿宋" w:eastAsia="仿宋" w:hAnsi="仿宋" w:cs="仿宋"/>
          <w:sz w:val="32"/>
          <w:u w:color="auto"/>
        </w:rPr>
        <w:t>万元， 支出总计</w:t>
      </w:r>
      <w:r>
        <w:rPr>
          <w:rFonts w:ascii="仿宋" w:eastAsia="仿宋" w:hAnsi="仿宋" w:cs="仿宋"/>
          <w:sz w:val="32"/>
          <w:u w:color="auto"/>
        </w:rPr>
        <w:t>7041.84</w:t>
      </w:r>
      <w:r>
        <w:rPr>
          <w:rFonts w:ascii="仿宋" w:eastAsia="仿宋" w:hAnsi="仿宋" w:cs="仿宋"/>
          <w:sz w:val="32"/>
          <w:u w:color="auto"/>
        </w:rPr>
        <w:t>万元，与上年决算数相比，</w:t>
      </w:r>
      <w:r>
        <w:rPr>
          <w:rFonts w:ascii="仿宋" w:eastAsia="仿宋" w:hAnsi="仿宋" w:cs="仿宋_GB2312" w:hint="eastAsia"/>
          <w:kern w:val="0"/>
          <w:sz w:val="32"/>
          <w:szCs w:val="32"/>
        </w:rPr>
        <w:t>各</w:t>
      </w:r>
      <w:r>
        <w:rPr>
          <w:rFonts w:ascii="仿宋" w:eastAsia="仿宋" w:hAnsi="仿宋" w:cs="仿宋"/>
          <w:sz w:val="32"/>
          <w:u w:color="auto"/>
        </w:rPr>
        <w:t>增加414.95</w:t>
      </w:r>
      <w:r>
        <w:rPr>
          <w:rFonts w:ascii="仿宋" w:eastAsia="仿宋" w:hAnsi="仿宋" w:cs="仿宋_GB2312" w:hint="eastAsia"/>
          <w:kern w:val="0"/>
          <w:sz w:val="32"/>
          <w:szCs w:val="32"/>
        </w:rPr>
        <w:t>万元</w:t>
      </w:r>
      <w:r>
        <w:rPr>
          <w:rFonts w:ascii="仿宋" w:eastAsia="仿宋" w:hAnsi="仿宋" w:cs="仿宋_GB2312" w:hint="eastAsia"/>
          <w:kern w:val="0"/>
          <w:sz w:val="32"/>
          <w:szCs w:val="32"/>
        </w:rPr>
        <w:t>，</w:t>
      </w:r>
      <w:r>
        <w:rPr>
          <w:rFonts w:ascii="仿宋" w:eastAsia="仿宋" w:hAnsi="仿宋" w:cs="仿宋"/>
          <w:sz w:val="32"/>
          <w:u w:color="auto"/>
        </w:rPr>
        <w:t>增长6.26%</w:t>
      </w:r>
      <w:r>
        <w:rPr>
          <w:rFonts w:ascii="仿宋" w:eastAsia="仿宋" w:hAnsi="仿宋" w:cs="仿宋_GB2312" w:hint="eastAsia"/>
          <w:kern w:val="0"/>
          <w:sz w:val="32"/>
          <w:szCs w:val="32"/>
        </w:rPr>
        <w:t>，主要是：</w:t>
      </w:r>
      <w:r>
        <w:rPr>
          <w:rFonts w:ascii="仿宋" w:eastAsia="仿宋" w:hAnsi="仿宋" w:cs="仿宋_GB2312" w:hint="eastAsia"/>
          <w:sz w:val="32"/>
          <w:szCs w:val="32"/>
        </w:rPr>
        <w:t>工资福利支出增加</w:t>
      </w:r>
      <w:r>
        <w:rPr>
          <w:rFonts w:ascii="仿宋" w:eastAsia="仿宋" w:hAnsi="仿宋" w:cs="仿宋"/>
          <w:sz w:val="32"/>
        </w:rPr>
        <w:t>。</w:t>
      </w:r>
    </w:p>
    <w:p w14:paraId="42ABDE9F">
      <w:pPr>
        <w:suppressLineNumbers/>
        <w:suppressAutoHyphens/>
        <w:topLinePunct/>
        <w:autoSpaceDE w:val="0"/>
        <w:spacing w:line="600" w:lineRule="exact"/>
        <w:ind w:firstLine="640" w:firstLineChars="200"/>
        <w:outlineLvl w:val="1"/>
        <w:rPr>
          <w:rFonts w:ascii="黑体" w:eastAsia="黑体" w:hAnsi="黑体"/>
          <w:sz w:val="32"/>
          <w:szCs w:val="32"/>
        </w:rPr>
      </w:pPr>
      <w:bookmarkStart w:id="22" w:name="_Toc256000020"/>
      <w:r>
        <w:rPr>
          <w:rFonts w:ascii="黑体" w:eastAsia="黑体" w:hAnsi="黑体" w:hint="eastAsia"/>
          <w:sz w:val="32"/>
          <w:szCs w:val="32"/>
        </w:rPr>
        <w:t>三、一般公共预算拨款支出决算情况说明</w:t>
      </w:r>
      <w:bookmarkEnd w:id="22"/>
    </w:p>
    <w:p w14:paraId="05F75392">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2024年一般公共预算拨款支出7041.84万元，比上年决算数增加414.95万元，增长6.26%，具体情况如下 (按项级科目分类统计)：</w:t>
      </w:r>
    </w:p>
    <w:p w14:paraId="3E2CF1F7">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（一）</w:t>
      </w:r>
      <w:r>
        <w:rPr>
          <w:rFonts w:ascii="仿宋" w:eastAsia="仿宋" w:hAnsi="仿宋" w:cs="仿宋"/>
          <w:sz w:val="32"/>
          <w:u w:color="auto"/>
        </w:rPr>
        <w:t>2013105-专项业务1.17万元，较上年决算数增加1.17万元。</w:t>
      </w:r>
      <w:r>
        <w:rPr>
          <w:rFonts w:ascii="仿宋" w:eastAsia="仿宋" w:hAnsi="仿宋" w:cs="仿宋"/>
          <w:sz w:val="32"/>
          <w:u w:color="auto"/>
        </w:rPr>
        <w:t>主要原因是</w:t>
      </w:r>
      <w:r>
        <w:rPr>
          <w:rFonts w:ascii="仿宋" w:eastAsia="仿宋" w:hAnsi="仿宋" w:cs="仿宋"/>
          <w:sz w:val="32"/>
          <w:u w:color="auto"/>
        </w:rPr>
        <w:t>开支党建项目</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仿宋"/>
          <w:sz w:val="32"/>
          <w:u w:color="auto"/>
        </w:rPr>
        <w:t>2050199-其他教育管理事务支出73.70万元，较上年决算数增加73.70万元。</w:t>
      </w:r>
      <w:r>
        <w:rPr>
          <w:rFonts w:ascii="仿宋" w:eastAsia="仿宋" w:hAnsi="仿宋" w:cs="仿宋"/>
          <w:sz w:val="32"/>
          <w:u w:color="auto"/>
        </w:rPr>
        <w:t>主要原因是</w:t>
      </w:r>
      <w:r>
        <w:rPr>
          <w:rFonts w:ascii="仿宋" w:eastAsia="仿宋" w:hAnsi="仿宋" w:cs="仿宋"/>
          <w:sz w:val="32"/>
          <w:u w:color="auto"/>
        </w:rPr>
        <w:t>工资福利支出</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（三）</w:t>
      </w:r>
      <w:r>
        <w:rPr>
          <w:rFonts w:ascii="仿宋" w:eastAsia="仿宋" w:hAnsi="仿宋" w:cs="仿宋"/>
          <w:sz w:val="32"/>
          <w:u w:color="auto"/>
        </w:rPr>
        <w:t>2050203-初中教育74.92万元，较上年决算数减少3.07万元，下降3.94%。</w:t>
      </w:r>
      <w:r>
        <w:rPr>
          <w:rFonts w:ascii="仿宋" w:eastAsia="仿宋" w:hAnsi="仿宋" w:cs="仿宋"/>
          <w:sz w:val="32"/>
          <w:u w:color="auto"/>
        </w:rPr>
        <w:t>主要原因是</w:t>
      </w:r>
      <w:r>
        <w:rPr>
          <w:rFonts w:ascii="仿宋" w:eastAsia="仿宋" w:hAnsi="仿宋" w:cs="仿宋"/>
          <w:sz w:val="32"/>
          <w:u w:color="auto"/>
        </w:rPr>
        <w:t>商品和服务支出减少</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（四）</w:t>
      </w:r>
      <w:r>
        <w:rPr>
          <w:rFonts w:ascii="仿宋" w:eastAsia="仿宋" w:hAnsi="仿宋" w:cs="仿宋"/>
          <w:sz w:val="32"/>
          <w:u w:color="auto"/>
        </w:rPr>
        <w:t>2050204-高中教育4050.54万元，较上年决算数减少1753.29万元，下降30.21%。</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（五）</w:t>
      </w:r>
      <w:r>
        <w:rPr>
          <w:rFonts w:ascii="仿宋" w:eastAsia="仿宋" w:hAnsi="仿宋" w:cs="仿宋"/>
          <w:sz w:val="32"/>
          <w:u w:color="auto"/>
        </w:rPr>
        <w:t>2050299-其他普通教育支出559.80万元，较上年决算数增加330.58万元，增长144.22%。</w:t>
      </w:r>
      <w:r>
        <w:rPr>
          <w:rFonts w:ascii="仿宋" w:eastAsia="仿宋" w:hAnsi="仿宋" w:cs="仿宋"/>
          <w:sz w:val="32"/>
          <w:u w:color="auto"/>
        </w:rPr>
        <w:t>主要原因是</w:t>
      </w:r>
      <w:r>
        <w:rPr>
          <w:rFonts w:ascii="仿宋" w:eastAsia="仿宋" w:hAnsi="仿宋" w:cs="仿宋"/>
          <w:sz w:val="32"/>
          <w:u w:color="auto"/>
        </w:rPr>
        <w:t>工资福利等补贴支出增加</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（六）</w:t>
      </w:r>
      <w:r>
        <w:rPr>
          <w:rFonts w:ascii="仿宋" w:eastAsia="仿宋" w:hAnsi="仿宋" w:cs="仿宋"/>
          <w:sz w:val="32"/>
          <w:u w:color="auto"/>
        </w:rPr>
        <w:t>2050799-其他特殊教育支出2.85万元，较上年决算数减少5.70万元，下降66.67%。</w:t>
      </w:r>
      <w:r>
        <w:rPr>
          <w:rFonts w:ascii="仿宋" w:eastAsia="仿宋" w:hAnsi="仿宋" w:cs="仿宋"/>
          <w:sz w:val="32"/>
          <w:u w:color="auto"/>
        </w:rPr>
        <w:t>主要原因是</w:t>
      </w:r>
      <w:r>
        <w:rPr>
          <w:rFonts w:ascii="仿宋" w:eastAsia="仿宋" w:hAnsi="仿宋" w:cs="仿宋"/>
          <w:sz w:val="32"/>
          <w:u w:color="auto"/>
        </w:rPr>
        <w:t>资金收入减少</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（七）</w:t>
      </w:r>
      <w:r>
        <w:rPr>
          <w:rFonts w:ascii="仿宋" w:eastAsia="仿宋" w:hAnsi="仿宋" w:cs="仿宋"/>
          <w:sz w:val="32"/>
          <w:u w:color="auto"/>
        </w:rPr>
        <w:t>2050999-其他教育费附加安排的支出189.78万元，较上年决算数减少317.51万元，下降62.59%。</w:t>
      </w:r>
      <w:r>
        <w:rPr>
          <w:rFonts w:ascii="仿宋" w:eastAsia="仿宋" w:hAnsi="仿宋" w:cs="仿宋"/>
          <w:sz w:val="32"/>
          <w:u w:color="auto"/>
        </w:rPr>
        <w:t>主要原因是</w:t>
      </w:r>
      <w:r>
        <w:rPr>
          <w:rFonts w:ascii="仿宋" w:eastAsia="仿宋" w:hAnsi="仿宋" w:cs="仿宋"/>
          <w:sz w:val="32"/>
          <w:u w:color="auto"/>
        </w:rPr>
        <w:t>专项开支减少</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（八）</w:t>
      </w:r>
      <w:r>
        <w:rPr>
          <w:rFonts w:ascii="仿宋" w:eastAsia="仿宋" w:hAnsi="仿宋" w:cs="仿宋"/>
          <w:sz w:val="32"/>
          <w:u w:color="auto"/>
        </w:rPr>
        <w:t>2059999-其他教育支出51.46万元，较上年决算数增加51.46万元。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（九）</w:t>
      </w:r>
      <w:r>
        <w:rPr>
          <w:rFonts w:ascii="仿宋" w:eastAsia="仿宋" w:hAnsi="仿宋" w:cs="仿宋"/>
          <w:sz w:val="32"/>
          <w:u w:color="auto"/>
        </w:rPr>
        <w:t>2080502-事业单位离退休287.42万元，较上年决算数增加287.42万元。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w:t>
      </w:r>
      <w:r>
        <w:rPr>
          <w:rFonts w:ascii="仿宋" w:eastAsia="仿宋" w:hAnsi="仿宋" w:cs="仿宋"/>
          <w:sz w:val="32"/>
          <w:u w:color="auto"/>
        </w:rPr>
        <w:t>2080505-机关事业单位基本养老保险缴费支出463.95万元，较上年决算数增加463.95万元。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（十一）</w:t>
      </w:r>
      <w:r>
        <w:rPr>
          <w:rFonts w:ascii="仿宋" w:eastAsia="仿宋" w:hAnsi="仿宋" w:cs="仿宋"/>
          <w:sz w:val="32"/>
          <w:u w:color="auto"/>
        </w:rPr>
        <w:t>2080506-机关事业单位职业年金缴费支出278.85万元，较上年决算数增加278.85万元。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（十二）</w:t>
      </w:r>
      <w:r>
        <w:rPr>
          <w:rFonts w:ascii="仿宋" w:eastAsia="仿宋" w:hAnsi="仿宋" w:cs="仿宋"/>
          <w:sz w:val="32"/>
          <w:u w:color="auto"/>
        </w:rPr>
        <w:t>2089999-其他社会保障和就业支出20.23万元，较上年决算数增加20.23万元。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（十三）</w:t>
      </w:r>
      <w:r>
        <w:rPr>
          <w:rFonts w:ascii="仿宋" w:eastAsia="仿宋" w:hAnsi="仿宋" w:cs="仿宋"/>
          <w:sz w:val="32"/>
          <w:u w:color="auto"/>
        </w:rPr>
        <w:t>2101102-事业单位医疗188.63万元，较上年决算数增加188.63万元。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（十四）</w:t>
      </w:r>
      <w:r>
        <w:rPr>
          <w:rFonts w:ascii="仿宋" w:eastAsia="仿宋" w:hAnsi="仿宋" w:cs="仿宋"/>
          <w:sz w:val="32"/>
          <w:u w:color="auto"/>
        </w:rPr>
        <w:t>2101103-公务员医疗补助141.65万元，较上年决算数增加141.65万元。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（十五）</w:t>
      </w:r>
      <w:r>
        <w:rPr>
          <w:rFonts w:ascii="仿宋" w:eastAsia="仿宋" w:hAnsi="仿宋" w:cs="仿宋"/>
          <w:sz w:val="32"/>
          <w:u w:color="auto"/>
        </w:rPr>
        <w:t>2210201-住房公积金395.37万元，较上年决算数增加395.37万元。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（十六）</w:t>
      </w:r>
      <w:r>
        <w:rPr>
          <w:rFonts w:ascii="仿宋" w:eastAsia="仿宋" w:hAnsi="仿宋" w:cs="仿宋"/>
          <w:sz w:val="32"/>
          <w:u w:color="auto"/>
        </w:rPr>
        <w:t>2210202-提租补贴72.62万元，较上年决算数增加72.62万元。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（十七）</w:t>
      </w:r>
      <w:r>
        <w:rPr>
          <w:rFonts w:ascii="仿宋" w:eastAsia="仿宋" w:hAnsi="仿宋" w:cs="仿宋"/>
          <w:sz w:val="32"/>
          <w:u w:color="auto"/>
        </w:rPr>
        <w:t>2210203-购房补贴188.90万元，较上年决算数增加188.90万元。</w:t>
      </w:r>
      <w:r>
        <w:rPr>
          <w:rFonts w:ascii="仿宋" w:eastAsia="仿宋" w:hAnsi="仿宋" w:cs="仿宋"/>
          <w:sz w:val="32"/>
          <w:u w:color="auto"/>
        </w:rPr>
        <w:t>主要原因是</w:t>
      </w:r>
      <w:r>
        <w:rPr>
          <w:rFonts w:ascii="仿宋" w:eastAsia="仿宋" w:hAnsi="仿宋" w:cs="仿宋"/>
          <w:sz w:val="32"/>
          <w:u w:color="auto"/>
        </w:rPr>
        <w:t>功能分类变动</w:t>
      </w:r>
      <w:r>
        <w:rPr>
          <w:rFonts w:ascii="仿宋" w:eastAsia="仿宋" w:hAnsi="仿宋" w:cs="仿宋"/>
          <w:sz w:val="32"/>
          <w:u w:color="auto"/>
        </w:rPr>
        <w:t>。</w:t>
      </w:r>
    </w:p>
    <w:p w14:paraId="6ED899DC">
      <w:pPr>
        <w:suppressLineNumbers/>
        <w:tabs>
          <w:tab w:val="left" w:pos="7513"/>
        </w:tabs>
        <w:suppressAutoHyphens/>
        <w:topLinePunct/>
        <w:autoSpaceDE w:val="0"/>
        <w:adjustRightInd w:val="0"/>
        <w:snapToGrid w:val="0"/>
        <w:spacing w:line="600" w:lineRule="exact"/>
        <w:ind w:firstLine="640" w:firstLineChars="200"/>
        <w:outlineLvl w:val="1"/>
        <w:rPr>
          <w:rFonts w:ascii="黑体" w:eastAsia="黑体" w:hAnsi="黑体" w:cs="仿宋_GB2312"/>
          <w:bCs/>
          <w:sz w:val="32"/>
          <w:szCs w:val="32"/>
        </w:rPr>
      </w:pPr>
      <w:bookmarkStart w:id="23" w:name="_Toc256000021"/>
      <w:r>
        <w:rPr>
          <w:rFonts w:ascii="黑体" w:eastAsia="黑体" w:hAnsi="黑体" w:cs="仿宋_GB2312" w:hint="eastAsia"/>
          <w:bCs/>
          <w:sz w:val="32"/>
          <w:szCs w:val="32"/>
        </w:rPr>
        <w:t>四、政府性基金预算财政拨款支出决算情况说明</w:t>
      </w:r>
      <w:bookmarkEnd w:id="23"/>
    </w:p>
    <w:p w14:paraId="7C4CE55E">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2024年度政府性基金支出0.00万元，比上年决算数增加0.00万元，与上年决算数持平。</w:t>
      </w:r>
    </w:p>
    <w:p w14:paraId="751950E9">
      <w:pPr>
        <w:suppressLineNumbers/>
        <w:suppressAutoHyphens/>
        <w:kinsoku w:val="0"/>
        <w:overflowPunct w:val="0"/>
        <w:autoSpaceDE w:val="0"/>
        <w:autoSpaceDN w:val="0"/>
        <w:spacing w:line="600" w:lineRule="exact"/>
        <w:ind w:firstLine="640" w:firstLineChars="200"/>
        <w:rPr>
          <w:rFonts w:ascii="仿宋" w:eastAsia="仿宋" w:hAnsi="仿宋" w:cs="仿宋_GB2312" w:hint="eastAsia"/>
          <w:sz w:val="32"/>
          <w:szCs w:val="32"/>
        </w:rPr>
      </w:pPr>
      <w:r>
        <w:rPr>
          <w:rFonts w:ascii="仿宋" w:eastAsia="仿宋" w:hAnsi="仿宋" w:cs="仿宋_GB2312" w:hint="eastAsia"/>
          <w:sz w:val="32"/>
          <w:szCs w:val="32"/>
        </w:rPr>
        <w:t>注：本单位2024年度没有使用政府性基金预算拨款安排的支出。</w:t>
      </w:r>
    </w:p>
    <w:p w14:paraId="153F61C0">
      <w:pPr>
        <w:suppressLineNumbers/>
        <w:tabs>
          <w:tab w:val="left" w:pos="7513"/>
        </w:tabs>
        <w:suppressAutoHyphens/>
        <w:topLinePunct/>
        <w:autoSpaceDE w:val="0"/>
        <w:adjustRightInd w:val="0"/>
        <w:snapToGrid w:val="0"/>
        <w:spacing w:line="600" w:lineRule="exact"/>
        <w:ind w:firstLine="640" w:firstLineChars="200"/>
        <w:outlineLvl w:val="1"/>
        <w:rPr>
          <w:rFonts w:ascii="黑体" w:eastAsia="黑体" w:hAnsi="黑体" w:cs="仿宋_GB2312"/>
          <w:bCs/>
          <w:sz w:val="32"/>
          <w:szCs w:val="32"/>
        </w:rPr>
      </w:pPr>
      <w:bookmarkStart w:id="24" w:name="_Toc256000022"/>
      <w:r>
        <w:rPr>
          <w:rFonts w:ascii="黑体" w:eastAsia="黑体" w:hAnsi="黑体" w:cs="仿宋_GB2312" w:hint="eastAsia"/>
          <w:bCs/>
          <w:sz w:val="32"/>
          <w:szCs w:val="32"/>
        </w:rPr>
        <w:t>五、国有资本经营预算财政拨款支出决算情况说明</w:t>
      </w:r>
      <w:bookmarkEnd w:id="24"/>
    </w:p>
    <w:p w14:paraId="6899D9DF">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sz w:val="32"/>
          <w:szCs w:val="32"/>
        </w:rPr>
        <w:t>2024年度国有资本经营预算支出0.00万元，比上年决算数增加0.00万元，与上年决算数持平。</w:t>
      </w:r>
    </w:p>
    <w:p w14:paraId="6AD54234">
      <w:pPr>
        <w:suppressLineNumber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sz w:val="32"/>
          <w:szCs w:val="32"/>
        </w:rPr>
        <w:t>注：本单位2024年度没有使用国有资本经营预算财政拨款安排的支出。</w:t>
      </w:r>
    </w:p>
    <w:p w14:paraId="318FEC14">
      <w:pPr>
        <w:pStyle w:val="Heading2"/>
        <w:spacing w:before="0" w:after="0" w:line="240" w:lineRule="auto"/>
        <w:ind w:firstLine="640" w:firstLineChars="200"/>
        <w:rPr>
          <w:rFonts w:ascii="黑体" w:eastAsia="黑体" w:hAnsi="黑体" w:cs="仿宋_GB2312"/>
          <w:b w:val="0"/>
        </w:rPr>
      </w:pPr>
      <w:bookmarkStart w:id="25" w:name="_Toc256000023"/>
      <w:r>
        <w:rPr>
          <w:rFonts w:ascii="黑体" w:eastAsia="黑体" w:hAnsi="黑体" w:cs="仿宋_GB2312" w:hint="eastAsia"/>
          <w:b w:val="0"/>
        </w:rPr>
        <w:t>六、一般公共预算财政拨款基本支出决算情况说明</w:t>
      </w:r>
      <w:bookmarkEnd w:id="25"/>
    </w:p>
    <w:p w14:paraId="07309C39">
      <w:pPr>
        <w:suppressLineNumbers/>
        <w:tabs>
          <w:tab w:val="left" w:pos="7513"/>
        </w:tabs>
        <w:suppressAutoHyphens/>
        <w:topLinePunct/>
        <w:autoSpaceDE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2024</w:t>
      </w:r>
      <w:r>
        <w:rPr>
          <w:rFonts w:ascii="仿宋" w:eastAsia="仿宋" w:hAnsi="仿宋" w:cs="仿宋"/>
          <w:sz w:val="32"/>
          <w:u w:color="auto"/>
        </w:rPr>
        <w:t>年度</w:t>
      </w:r>
      <w:r>
        <w:rPr>
          <w:rFonts w:ascii="仿宋" w:eastAsia="仿宋" w:hAnsi="仿宋" w:hint="eastAsia"/>
          <w:sz w:val="32"/>
          <w:szCs w:val="32"/>
        </w:rPr>
        <w:t>一般公共预算</w:t>
      </w:r>
      <w:r>
        <w:rPr>
          <w:rFonts w:ascii="仿宋" w:eastAsia="仿宋" w:hAnsi="仿宋" w:cs="仿宋_GB2312" w:hint="eastAsia"/>
          <w:sz w:val="32"/>
          <w:szCs w:val="32"/>
        </w:rPr>
        <w:t>财政拨款基本支出</w:t>
      </w:r>
      <w:r>
        <w:rPr>
          <w:rFonts w:ascii="仿宋" w:eastAsia="仿宋" w:hAnsi="仿宋" w:cs="仿宋"/>
          <w:sz w:val="32"/>
          <w:u w:color="auto"/>
        </w:rPr>
        <w:t>6748.27</w:t>
      </w:r>
      <w:r>
        <w:rPr>
          <w:rFonts w:ascii="仿宋" w:eastAsia="仿宋" w:hAnsi="仿宋" w:cs="仿宋"/>
          <w:sz w:val="32"/>
          <w:u w:color="auto"/>
        </w:rPr>
        <w:t>万元，其中：</w:t>
      </w:r>
    </w:p>
    <w:p w14:paraId="050CEABB">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（一）人员经费</w:t>
      </w:r>
      <w:r>
        <w:rPr>
          <w:rFonts w:ascii="仿宋" w:eastAsia="仿宋" w:hAnsi="仿宋" w:cs="仿宋"/>
          <w:sz w:val="32"/>
          <w:u w:color="auto"/>
        </w:rPr>
        <w:t>5423.81</w:t>
      </w:r>
      <w:r>
        <w:rPr>
          <w:rFonts w:ascii="仿宋" w:eastAsia="仿宋" w:hAnsi="仿宋" w:cs="仿宋"/>
          <w:sz w:val="32"/>
          <w:u w:color="auto"/>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829F555">
      <w:pPr>
        <w:suppressLineNumbers/>
        <w:suppressAutoHyphens/>
        <w:topLinePunct/>
        <w:autoSpaceDE w:val="0"/>
        <w:adjustRightInd w:val="0"/>
        <w:spacing w:line="240" w:lineRule="auto"/>
        <w:ind w:firstLine="640" w:firstLineChars="200"/>
        <w:jc w:val="left"/>
        <w:rPr>
          <w:rFonts w:ascii="仿宋" w:eastAsia="仿宋" w:hAnsi="仿宋" w:cs="仿宋_GB2312"/>
          <w:sz w:val="32"/>
          <w:szCs w:val="32"/>
        </w:rPr>
      </w:pPr>
      <w:r>
        <w:rPr>
          <w:rFonts w:ascii="仿宋" w:eastAsia="仿宋" w:hAnsi="仿宋" w:cs="仿宋_GB2312" w:hint="eastAsia"/>
          <w:sz w:val="32"/>
          <w:szCs w:val="32"/>
        </w:rPr>
        <w:t>（二）公用经费</w:t>
      </w:r>
      <w:r>
        <w:rPr>
          <w:rFonts w:ascii="仿宋" w:eastAsia="仿宋" w:hAnsi="仿宋" w:cs="仿宋"/>
          <w:sz w:val="32"/>
          <w:u w:color="auto"/>
        </w:rPr>
        <w:t>1324.46</w:t>
      </w:r>
      <w:r>
        <w:rPr>
          <w:rFonts w:ascii="仿宋" w:eastAsia="仿宋" w:hAnsi="仿宋" w:cs="仿宋"/>
          <w:sz w:val="32"/>
          <w:u w:color="auto"/>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2BED023">
      <w:pPr>
        <w:suppressLineNumbers/>
        <w:tabs>
          <w:tab w:val="left" w:pos="7513"/>
        </w:tabs>
        <w:suppressAutoHyphens/>
        <w:topLinePunct/>
        <w:autoSpaceDE w:val="0"/>
        <w:adjustRightInd w:val="0"/>
        <w:snapToGrid w:val="0"/>
        <w:spacing w:line="600" w:lineRule="exact"/>
        <w:ind w:firstLine="640" w:firstLineChars="200"/>
        <w:outlineLvl w:val="1"/>
        <w:rPr>
          <w:rFonts w:ascii="黑体" w:eastAsia="黑体" w:hAnsi="黑体" w:cs="仿宋_GB2312"/>
          <w:bCs/>
          <w:sz w:val="32"/>
          <w:szCs w:val="32"/>
        </w:rPr>
      </w:pPr>
      <w:bookmarkStart w:id="26" w:name="_Toc256000024"/>
      <w:r>
        <w:rPr>
          <w:rFonts w:ascii="黑体" w:eastAsia="黑体" w:hAnsi="黑体" w:cs="仿宋_GB2312" w:hint="eastAsia"/>
          <w:bCs/>
          <w:sz w:val="32"/>
          <w:szCs w:val="32"/>
        </w:rPr>
        <w:t>七、</w:t>
      </w:r>
      <w:r>
        <w:rPr>
          <w:rFonts w:ascii="黑体" w:eastAsia="黑体" w:hAnsi="黑体" w:hint="eastAsia"/>
          <w:sz w:val="32"/>
          <w:szCs w:val="32"/>
        </w:rPr>
        <w:t>一般公共预算拨款</w:t>
      </w:r>
      <w:r>
        <w:rPr>
          <w:rFonts w:ascii="黑体" w:eastAsia="黑体" w:hAnsi="黑体" w:cs="仿宋_GB2312" w:hint="eastAsia"/>
          <w:bCs/>
          <w:sz w:val="32"/>
          <w:szCs w:val="32"/>
        </w:rPr>
        <w:t>“三公”经费支出决算情况说明</w:t>
      </w:r>
      <w:bookmarkEnd w:id="26"/>
    </w:p>
    <w:p w14:paraId="59ADFB40">
      <w:pPr>
        <w:suppressLineNumbers/>
        <w:suppressAutoHyphens/>
        <w:topLinePunct/>
        <w:autoSpaceDE w:val="0"/>
        <w:spacing w:line="274" w:lineRule="auto"/>
        <w:ind w:firstLine="640" w:firstLineChars="200"/>
        <w:rPr>
          <w:rFonts w:ascii="仿宋" w:eastAsia="仿宋" w:hAnsi="仿宋" w:cs="仿宋_GB2312"/>
          <w:sz w:val="32"/>
          <w:szCs w:val="32"/>
        </w:rPr>
      </w:pPr>
      <w:r>
        <w:rPr>
          <w:rFonts w:ascii="仿宋" w:eastAsia="仿宋" w:hAnsi="仿宋" w:cs="仿宋_GB2312" w:hint="eastAsia"/>
          <w:sz w:val="32"/>
          <w:szCs w:val="32"/>
        </w:rPr>
        <w:t>2024</w:t>
      </w:r>
      <w:r>
        <w:rPr>
          <w:rFonts w:ascii="仿宋" w:eastAsia="仿宋" w:hAnsi="仿宋" w:cs="仿宋_GB2312"/>
          <w:sz w:val="32"/>
          <w:szCs w:val="32"/>
        </w:rPr>
        <w:t>年</w:t>
      </w:r>
      <w:r>
        <w:rPr>
          <w:rFonts w:ascii="仿宋" w:eastAsia="仿宋" w:hAnsi="仿宋" w:cs="仿宋_GB2312" w:hint="eastAsia"/>
          <w:sz w:val="32"/>
          <w:szCs w:val="32"/>
        </w:rPr>
        <w:t>度</w:t>
      </w:r>
      <w:r>
        <w:rPr>
          <w:rFonts w:ascii="仿宋" w:eastAsia="仿宋" w:hAnsi="仿宋" w:cs="仿宋"/>
          <w:sz w:val="32"/>
          <w:u w:color="auto"/>
        </w:rPr>
        <w:t>一般公共预算拨款“三公”经费支出1.65万元，完成全年预算的22.00%；较上年增加0.08万元，增长5.10%。</w:t>
      </w:r>
      <w:r>
        <w:rPr>
          <w:rFonts w:ascii="仿宋" w:eastAsia="仿宋" w:hAnsi="仿宋" w:cs="仿宋"/>
          <w:sz w:val="32"/>
          <w:u w:color="auto"/>
        </w:rPr>
        <w:t>主要原因是</w:t>
      </w:r>
      <w:r>
        <w:rPr>
          <w:rFonts w:ascii="仿宋" w:eastAsia="仿宋" w:hAnsi="仿宋" w:cs="仿宋"/>
          <w:sz w:val="32"/>
          <w:u w:color="auto"/>
        </w:rPr>
        <w:t>公务车支出增加</w:t>
      </w:r>
      <w:r>
        <w:rPr>
          <w:rFonts w:ascii="仿宋" w:eastAsia="仿宋" w:hAnsi="仿宋" w:cs="仿宋_GB2312"/>
          <w:sz w:val="32"/>
          <w:szCs w:val="32"/>
        </w:rPr>
        <w:t>。具体情况如下：</w:t>
      </w:r>
      <w:r>
        <w:br/>
      </w:r>
      <w:r>
        <w:rPr>
          <w:rFonts w:ascii="仿宋" w:eastAsia="仿宋" w:hAnsi="仿宋" w:cs="仿宋_GB2312" w:hint="eastAsia"/>
          <w:sz w:val="32"/>
          <w:szCs w:val="32"/>
        </w:rPr>
        <w:t>　　（一）</w:t>
      </w:r>
      <w:r>
        <w:rPr>
          <w:rFonts w:ascii="仿宋" w:eastAsia="仿宋" w:hAnsi="仿宋" w:cs="仿宋"/>
          <w:sz w:val="32"/>
          <w:u w:color="auto"/>
        </w:rPr>
        <w:t>因公出国（境）费支出0.00万元，与全年预算持平；较上年增加0.00万元，与上年决算持平。</w:t>
      </w:r>
      <w:r>
        <w:rPr>
          <w:rFonts w:ascii="仿宋" w:eastAsia="仿宋" w:hAnsi="仿宋" w:cs="仿宋"/>
          <w:sz w:val="32"/>
          <w:u w:color="auto"/>
        </w:rPr>
        <w:t>全年安排本</w:t>
      </w:r>
      <w:r>
        <w:rPr>
          <w:rFonts w:ascii="仿宋" w:eastAsia="仿宋" w:hAnsi="仿宋" w:cs="仿宋"/>
          <w:sz w:val="32"/>
          <w:u w:color="auto"/>
        </w:rPr>
        <w:t>单位</w:t>
      </w:r>
      <w:r>
        <w:rPr>
          <w:rFonts w:ascii="仿宋" w:eastAsia="仿宋" w:hAnsi="仿宋" w:cs="仿宋"/>
          <w:sz w:val="32"/>
          <w:u w:color="auto"/>
        </w:rPr>
        <w:t>组织的出国团组</w:t>
      </w:r>
      <w:r>
        <w:rPr>
          <w:rFonts w:ascii="仿宋" w:eastAsia="仿宋" w:hAnsi="仿宋" w:cs="仿宋" w:hint="eastAsia"/>
          <w:sz w:val="32"/>
        </w:rPr>
        <w:t>0</w:t>
      </w:r>
      <w:r>
        <w:rPr>
          <w:rFonts w:ascii="仿宋" w:eastAsia="仿宋" w:hAnsi="仿宋" w:cs="仿宋_GB2312" w:hint="eastAsia"/>
          <w:sz w:val="32"/>
          <w:szCs w:val="32"/>
        </w:rPr>
        <w:t>个，参加其他</w:t>
      </w:r>
      <w:r>
        <w:rPr>
          <w:rFonts w:ascii="仿宋" w:eastAsia="仿宋" w:hAnsi="仿宋" w:cs="仿宋"/>
          <w:sz w:val="32"/>
          <w:u w:color="auto"/>
        </w:rPr>
        <w:t>单位</w:t>
      </w:r>
      <w:r>
        <w:rPr>
          <w:rFonts w:ascii="仿宋" w:eastAsia="仿宋" w:hAnsi="仿宋" w:cs="仿宋"/>
          <w:sz w:val="32"/>
          <w:u w:color="auto"/>
        </w:rPr>
        <w:t>出国团组</w:t>
      </w:r>
      <w:r>
        <w:rPr>
          <w:rFonts w:ascii="仿宋" w:eastAsia="仿宋" w:hAnsi="仿宋" w:cs="仿宋" w:hint="eastAsia"/>
          <w:sz w:val="32"/>
        </w:rPr>
        <w:t>0</w:t>
      </w:r>
      <w:r>
        <w:rPr>
          <w:rFonts w:ascii="仿宋" w:eastAsia="仿宋" w:hAnsi="仿宋" w:cs="仿宋_GB2312" w:hint="eastAsia"/>
          <w:sz w:val="32"/>
          <w:szCs w:val="32"/>
        </w:rPr>
        <w:t>个；全年因公出国（境）累计</w:t>
      </w:r>
      <w:r>
        <w:rPr>
          <w:rFonts w:ascii="仿宋" w:eastAsia="仿宋" w:hAnsi="仿宋" w:cs="仿宋" w:hint="eastAsia"/>
          <w:sz w:val="32"/>
        </w:rPr>
        <w:t>0</w:t>
      </w:r>
      <w:r>
        <w:rPr>
          <w:rFonts w:ascii="仿宋" w:eastAsia="仿宋" w:hAnsi="仿宋" w:cs="仿宋_GB2312" w:hint="eastAsia"/>
          <w:sz w:val="32"/>
          <w:szCs w:val="32"/>
        </w:rPr>
        <w:t>人次。主要是</w:t>
      </w:r>
      <w:r>
        <w:rPr>
          <w:rFonts w:ascii="仿宋" w:eastAsia="仿宋" w:hAnsi="仿宋" w:cs="仿宋"/>
          <w:sz w:val="32"/>
          <w:u w:color="auto"/>
        </w:rPr>
        <w:t>本年无因公出国（境）费用支出</w:t>
      </w:r>
      <w:r>
        <w:rPr>
          <w:rFonts w:ascii="仿宋" w:eastAsia="仿宋" w:hAnsi="仿宋" w:cs="仿宋"/>
          <w:sz w:val="32"/>
          <w:u w:color="auto"/>
        </w:rPr>
        <w:t>。</w:t>
      </w:r>
    </w:p>
    <w:p w14:paraId="15585DDE">
      <w:pPr>
        <w:suppressLineNumbers/>
        <w:tabs>
          <w:tab w:val="left" w:pos="7513"/>
        </w:tabs>
        <w:suppressAutoHyphens/>
        <w:topLinePunct/>
        <w:autoSpaceDE w:val="0"/>
        <w:adjustRightInd w:val="0"/>
        <w:snapToGrid w:val="0"/>
        <w:spacing w:line="600" w:lineRule="exact"/>
        <w:ind w:firstLine="645"/>
        <w:rPr>
          <w:rFonts w:ascii="仿宋" w:eastAsia="仿宋" w:hAnsi="仿宋" w:cs="仿宋_GB2312"/>
          <w:sz w:val="32"/>
          <w:szCs w:val="32"/>
        </w:rPr>
      </w:pPr>
      <w:r>
        <w:rPr>
          <w:rFonts w:ascii="仿宋" w:eastAsia="仿宋" w:hAnsi="仿宋" w:cs="仿宋_GB2312"/>
          <w:sz w:val="32"/>
          <w:szCs w:val="32"/>
        </w:rPr>
        <w:t>（二）</w:t>
      </w:r>
      <w:r>
        <w:rPr>
          <w:rFonts w:ascii="仿宋" w:eastAsia="仿宋" w:hAnsi="仿宋" w:cs="仿宋_GB2312" w:hint="eastAsia"/>
          <w:sz w:val="32"/>
          <w:szCs w:val="32"/>
        </w:rPr>
        <w:t>公务用车购置及运行费支出1.65万元，完成全年预算的66.00%；较上年增加0.08万元，增长5.10%。</w:t>
      </w:r>
      <w:r>
        <w:rPr>
          <w:rFonts w:ascii="仿宋" w:eastAsia="仿宋" w:hAnsi="仿宋" w:cs="仿宋_GB2312"/>
          <w:sz w:val="32"/>
          <w:szCs w:val="32"/>
        </w:rPr>
        <w:t>其中：</w:t>
      </w:r>
    </w:p>
    <w:p w14:paraId="0110B6DB">
      <w:pPr>
        <w:suppressLineNumbers/>
        <w:tabs>
          <w:tab w:val="left" w:pos="7513"/>
        </w:tabs>
        <w:suppressAutoHyphens/>
        <w:topLinePunct/>
        <w:autoSpaceDE w:val="0"/>
        <w:adjustRightInd w:val="0"/>
        <w:snapToGrid w:val="0"/>
        <w:spacing w:line="600" w:lineRule="exact"/>
        <w:ind w:firstLine="645"/>
        <w:rPr>
          <w:rFonts w:ascii="仿宋" w:eastAsia="仿宋" w:hAnsi="仿宋" w:cs="仿宋_GB2312"/>
          <w:sz w:val="32"/>
          <w:szCs w:val="32"/>
        </w:rPr>
      </w:pPr>
      <w:r>
        <w:rPr>
          <w:rFonts w:ascii="仿宋" w:eastAsia="仿宋" w:hAnsi="仿宋" w:cs="仿宋_GB2312" w:hint="eastAsia"/>
          <w:sz w:val="32"/>
          <w:szCs w:val="32"/>
        </w:rPr>
        <w:t>公务用车购置费支出0.00万元，与全年预算持平；较上年增加0.00万元，与上年决算持平。</w:t>
      </w:r>
      <w:r>
        <w:rPr>
          <w:rFonts w:ascii="仿宋" w:eastAsia="仿宋" w:hAnsi="仿宋" w:cs="仿宋" w:hint="eastAsia"/>
          <w:sz w:val="32"/>
        </w:rPr>
        <w:t>2024</w:t>
      </w:r>
      <w:r>
        <w:rPr>
          <w:rFonts w:ascii="仿宋" w:eastAsia="仿宋" w:hAnsi="仿宋" w:cs="仿宋_GB2312"/>
          <w:sz w:val="32"/>
          <w:szCs w:val="32"/>
        </w:rPr>
        <w:t>年公务用车购置</w:t>
      </w:r>
      <w:r>
        <w:rPr>
          <w:rFonts w:ascii="仿宋" w:eastAsia="仿宋" w:hAnsi="仿宋" w:cs="仿宋_GB2312" w:hint="eastAsia"/>
          <w:sz w:val="32"/>
          <w:szCs w:val="32"/>
        </w:rPr>
        <w:t>0</w:t>
      </w:r>
      <w:r>
        <w:rPr>
          <w:rFonts w:ascii="仿宋" w:eastAsia="仿宋" w:hAnsi="仿宋" w:cs="仿宋"/>
          <w:sz w:val="32"/>
          <w:u w:color="auto"/>
        </w:rPr>
        <w:t>辆，</w:t>
      </w:r>
      <w:r>
        <w:rPr>
          <w:rFonts w:ascii="仿宋" w:eastAsia="仿宋" w:hAnsi="仿宋" w:cs="仿宋_GB2312"/>
          <w:sz w:val="32"/>
          <w:szCs w:val="32"/>
        </w:rPr>
        <w:t>主要是</w:t>
      </w:r>
      <w:r>
        <w:rPr>
          <w:rFonts w:ascii="仿宋" w:eastAsia="仿宋" w:hAnsi="仿宋" w:cs="仿宋_GB2312" w:hint="eastAsia"/>
          <w:sz w:val="32"/>
          <w:szCs w:val="32"/>
        </w:rPr>
        <w:t>本年无公务用车购置费用支出</w:t>
      </w:r>
      <w:r>
        <w:rPr>
          <w:rFonts w:ascii="仿宋" w:eastAsia="仿宋" w:hAnsi="仿宋" w:cs="仿宋_GB2312"/>
          <w:sz w:val="32"/>
          <w:szCs w:val="32"/>
        </w:rPr>
        <w:t>。</w:t>
      </w:r>
    </w:p>
    <w:p w14:paraId="21148ACF">
      <w:pPr>
        <w:suppressLineNumbers/>
        <w:tabs>
          <w:tab w:val="left" w:pos="7513"/>
        </w:tabs>
        <w:suppressAutoHyphens/>
        <w:topLinePunct/>
        <w:autoSpaceDE w:val="0"/>
        <w:adjustRightInd w:val="0"/>
        <w:snapToGrid w:val="0"/>
        <w:spacing w:line="600" w:lineRule="exact"/>
        <w:ind w:firstLine="646"/>
        <w:rPr>
          <w:rFonts w:ascii="仿宋" w:eastAsia="仿宋" w:hAnsi="仿宋" w:cs="仿宋_GB2312"/>
          <w:sz w:val="32"/>
          <w:szCs w:val="32"/>
        </w:rPr>
      </w:pPr>
      <w:r>
        <w:rPr>
          <w:rFonts w:ascii="仿宋" w:eastAsia="仿宋" w:hAnsi="仿宋" w:cs="仿宋_GB2312" w:hint="eastAsia"/>
          <w:sz w:val="32"/>
          <w:szCs w:val="32"/>
        </w:rPr>
        <w:t>公务用车运行费支出1.65万元，完成全年预算的66.00%；较上年增加0.08万元，增长5.10%。</w:t>
      </w:r>
      <w:r>
        <w:rPr>
          <w:rFonts w:ascii="仿宋" w:eastAsia="仿宋" w:hAnsi="仿宋" w:cs="仿宋"/>
          <w:sz w:val="32"/>
          <w:u w:color="auto"/>
        </w:rPr>
        <w:t>主要是</w:t>
      </w:r>
      <w:r>
        <w:rPr>
          <w:rFonts w:ascii="仿宋" w:eastAsia="仿宋" w:hAnsi="仿宋" w:cs="仿宋"/>
          <w:sz w:val="32"/>
          <w:u w:color="auto"/>
        </w:rPr>
        <w:t>公务车支出增加</w:t>
      </w:r>
      <w:r>
        <w:rPr>
          <w:rFonts w:ascii="仿宋" w:eastAsia="仿宋" w:hAnsi="仿宋" w:cs="仿宋"/>
          <w:sz w:val="32"/>
          <w:u w:color="auto"/>
        </w:rPr>
        <w:t>。截至</w:t>
      </w:r>
      <w:r>
        <w:rPr>
          <w:rFonts w:ascii="仿宋" w:eastAsia="仿宋" w:hAnsi="仿宋" w:cs="仿宋" w:hint="eastAsia"/>
          <w:sz w:val="32"/>
        </w:rPr>
        <w:t>2024</w:t>
      </w:r>
      <w:r>
        <w:rPr>
          <w:rFonts w:ascii="仿宋" w:eastAsia="仿宋" w:hAnsi="仿宋" w:cs="仿宋_GB2312" w:hint="eastAsia"/>
          <w:sz w:val="32"/>
          <w:szCs w:val="32"/>
        </w:rPr>
        <w:t>年</w:t>
      </w:r>
      <w:r>
        <w:rPr>
          <w:rFonts w:ascii="仿宋" w:eastAsia="仿宋" w:hAnsi="仿宋" w:cs="仿宋_GB2312"/>
          <w:sz w:val="32"/>
          <w:szCs w:val="32"/>
        </w:rPr>
        <w:t>12</w:t>
      </w:r>
      <w:r>
        <w:rPr>
          <w:rFonts w:ascii="仿宋" w:eastAsia="仿宋" w:hAnsi="仿宋" w:cs="仿宋_GB2312" w:hint="eastAsia"/>
          <w:sz w:val="32"/>
          <w:szCs w:val="32"/>
        </w:rPr>
        <w:t>月</w:t>
      </w:r>
      <w:r>
        <w:rPr>
          <w:rFonts w:ascii="仿宋" w:eastAsia="仿宋" w:hAnsi="仿宋" w:cs="仿宋_GB2312"/>
          <w:sz w:val="32"/>
          <w:szCs w:val="32"/>
        </w:rPr>
        <w:t>31</w:t>
      </w:r>
      <w:r>
        <w:rPr>
          <w:rFonts w:ascii="仿宋" w:eastAsia="仿宋" w:hAnsi="仿宋" w:cs="仿宋_GB2312" w:hint="eastAsia"/>
          <w:sz w:val="32"/>
          <w:szCs w:val="32"/>
        </w:rPr>
        <w:t>日，本</w:t>
      </w:r>
      <w:r>
        <w:rPr>
          <w:rFonts w:ascii="仿宋" w:eastAsia="仿宋" w:hAnsi="仿宋" w:cs="仿宋"/>
          <w:sz w:val="32"/>
          <w:u w:color="auto"/>
        </w:rPr>
        <w:t>单位</w:t>
      </w:r>
      <w:r>
        <w:rPr>
          <w:rFonts w:ascii="仿宋" w:eastAsia="仿宋" w:hAnsi="仿宋" w:cs="仿宋"/>
          <w:sz w:val="32"/>
          <w:u w:color="auto"/>
        </w:rPr>
        <w:t>公务用车保有量为</w:t>
      </w:r>
      <w:r>
        <w:rPr>
          <w:rFonts w:ascii="仿宋" w:eastAsia="仿宋" w:hAnsi="仿宋" w:cs="仿宋"/>
          <w:sz w:val="32"/>
          <w:u w:color="auto"/>
        </w:rPr>
        <w:t>1</w:t>
      </w:r>
      <w:r>
        <w:rPr>
          <w:rFonts w:ascii="仿宋" w:eastAsia="仿宋" w:hAnsi="仿宋" w:cs="仿宋"/>
          <w:sz w:val="32"/>
          <w:u w:color="auto"/>
        </w:rPr>
        <w:t>辆</w:t>
      </w:r>
      <w:r>
        <w:rPr>
          <w:rFonts w:ascii="仿宋" w:eastAsia="仿宋" w:hAnsi="仿宋" w:cs="仿宋_GB2312"/>
          <w:sz w:val="32"/>
          <w:szCs w:val="32"/>
        </w:rPr>
        <w:t>。</w:t>
      </w:r>
    </w:p>
    <w:p w14:paraId="65080A23">
      <w:pPr>
        <w:suppressLineNumbers/>
        <w:tabs>
          <w:tab w:val="left" w:pos="7513"/>
        </w:tabs>
        <w:suppressAutoHyphens/>
        <w:topLinePunct/>
        <w:autoSpaceDE w:val="0"/>
        <w:adjustRightInd w:val="0"/>
        <w:snapToGrid w:val="0"/>
        <w:spacing w:line="600" w:lineRule="exact"/>
        <w:ind w:firstLine="645"/>
        <w:rPr>
          <w:rFonts w:ascii="仿宋" w:eastAsia="仿宋" w:hAnsi="仿宋" w:cs="仿宋_GB2312"/>
          <w:sz w:val="32"/>
          <w:szCs w:val="32"/>
        </w:rPr>
      </w:pPr>
      <w:r>
        <w:rPr>
          <w:rFonts w:ascii="仿宋" w:eastAsia="仿宋" w:hAnsi="仿宋" w:cs="仿宋_GB2312" w:hint="eastAsia"/>
          <w:sz w:val="32"/>
          <w:szCs w:val="32"/>
        </w:rPr>
        <w:t>（三）</w:t>
      </w:r>
      <w:r>
        <w:rPr>
          <w:rFonts w:ascii="仿宋" w:eastAsia="仿宋" w:hAnsi="仿宋" w:cs="仿宋"/>
          <w:sz w:val="32"/>
          <w:u w:color="auto"/>
        </w:rPr>
        <w:t>公务接待费支出0.00万元，完成全年预算的0.00%；较上年增加0.00万元，与上年决算持平。</w:t>
      </w:r>
      <w:r>
        <w:rPr>
          <w:rFonts w:ascii="仿宋" w:eastAsia="仿宋" w:hAnsi="仿宋" w:cs="仿宋"/>
          <w:sz w:val="32"/>
          <w:u w:color="auto"/>
        </w:rPr>
        <w:t>主要是</w:t>
      </w:r>
      <w:r>
        <w:rPr>
          <w:rFonts w:ascii="仿宋" w:eastAsia="仿宋" w:hAnsi="仿宋" w:cs="仿宋"/>
          <w:sz w:val="32"/>
          <w:u w:color="auto"/>
        </w:rPr>
        <w:t>本年无公务接待费用支出</w:t>
      </w:r>
      <w:r>
        <w:rPr>
          <w:rFonts w:ascii="仿宋" w:eastAsia="仿宋" w:hAnsi="仿宋" w:cs="仿宋"/>
          <w:sz w:val="32"/>
          <w:u w:color="auto"/>
        </w:rPr>
        <w:t>。累计接待</w:t>
      </w:r>
      <w:r>
        <w:rPr>
          <w:rFonts w:ascii="仿宋" w:eastAsia="仿宋" w:hAnsi="仿宋" w:cs="仿宋"/>
          <w:sz w:val="32"/>
          <w:u w:color="auto"/>
        </w:rPr>
        <w:t>0</w:t>
      </w:r>
      <w:r>
        <w:rPr>
          <w:rFonts w:ascii="仿宋" w:eastAsia="仿宋" w:hAnsi="仿宋" w:cs="仿宋"/>
          <w:sz w:val="32"/>
          <w:u w:color="auto"/>
        </w:rPr>
        <w:t>批次、</w:t>
      </w:r>
      <w:r>
        <w:rPr>
          <w:rFonts w:ascii="仿宋" w:eastAsia="仿宋" w:hAnsi="仿宋" w:cs="仿宋"/>
          <w:sz w:val="32"/>
          <w:u w:color="auto"/>
        </w:rPr>
        <w:t>0</w:t>
      </w:r>
      <w:r>
        <w:rPr>
          <w:rFonts w:ascii="仿宋" w:eastAsia="仿宋" w:hAnsi="仿宋" w:cs="仿宋"/>
          <w:sz w:val="32"/>
          <w:u w:color="auto"/>
        </w:rPr>
        <w:t>人次。</w:t>
      </w:r>
    </w:p>
    <w:p w14:paraId="7E790A06">
      <w:pPr>
        <w:suppressLineNumbers/>
        <w:tabs>
          <w:tab w:val="left" w:pos="7513"/>
        </w:tabs>
        <w:suppressAutoHyphens/>
        <w:topLinePunct/>
        <w:autoSpaceDE w:val="0"/>
        <w:adjustRightInd w:val="0"/>
        <w:snapToGrid w:val="0"/>
        <w:spacing w:line="600" w:lineRule="exact"/>
        <w:ind w:firstLine="640" w:firstLineChars="200"/>
        <w:outlineLvl w:val="1"/>
        <w:rPr>
          <w:rFonts w:ascii="黑体" w:eastAsia="黑体" w:hAnsi="黑体"/>
          <w:sz w:val="32"/>
          <w:szCs w:val="32"/>
        </w:rPr>
      </w:pPr>
      <w:bookmarkStart w:id="27" w:name="_Toc256000025"/>
      <w:r>
        <w:rPr>
          <w:rFonts w:ascii="黑体" w:eastAsia="黑体" w:hAnsi="黑体" w:hint="eastAsia"/>
          <w:sz w:val="32"/>
          <w:szCs w:val="32"/>
        </w:rPr>
        <w:t>八、预算绩效情况说明</w:t>
      </w:r>
      <w:bookmarkEnd w:id="27"/>
    </w:p>
    <w:p w14:paraId="330B88DB">
      <w:pPr>
        <w:suppressLineNumbers/>
        <w:suppressAutoHyphens/>
        <w:topLinePunct/>
        <w:autoSpaceDE w:val="0"/>
        <w:ind w:firstLine="640" w:firstLineChars="200"/>
        <w:rPr>
          <w:rFonts w:ascii="仿宋" w:eastAsia="仿宋" w:hAnsi="仿宋" w:cs="仿宋"/>
          <w:sz w:val="32"/>
          <w:szCs w:val="32"/>
        </w:rPr>
      </w:pPr>
      <w:r>
        <w:rPr>
          <w:rFonts w:ascii="仿宋" w:eastAsia="仿宋" w:hAnsi="仿宋" w:hint="eastAsia"/>
          <w:sz w:val="32"/>
          <w:szCs w:val="32"/>
        </w:rPr>
        <w:t>根据</w:t>
      </w:r>
      <w:r>
        <w:rPr>
          <w:rFonts w:ascii="仿宋" w:eastAsia="仿宋" w:hAnsi="仿宋"/>
          <w:sz w:val="32"/>
          <w:u w:color="auto"/>
        </w:rPr>
        <w:t>预算绩效管理要求，本</w:t>
      </w:r>
      <w:r>
        <w:rPr>
          <w:rFonts w:ascii="仿宋" w:eastAsia="仿宋" w:hAnsi="仿宋"/>
          <w:sz w:val="32"/>
          <w:u w:color="auto"/>
        </w:rPr>
        <w:t>单位</w:t>
      </w:r>
      <w:r>
        <w:rPr>
          <w:rFonts w:ascii="仿宋" w:eastAsia="仿宋" w:hAnsi="仿宋"/>
          <w:sz w:val="32"/>
          <w:u w:color="auto"/>
        </w:rPr>
        <w:t>组织对</w:t>
      </w:r>
      <w:r>
        <w:rPr>
          <w:rFonts w:ascii="仿宋" w:eastAsia="仿宋" w:hAnsi="仿宋" w:cs="仿宋_GB2312" w:hint="eastAsia"/>
          <w:sz w:val="32"/>
          <w:szCs w:val="32"/>
        </w:rPr>
        <w:t>2024</w:t>
      </w:r>
      <w:r>
        <w:rPr>
          <w:rFonts w:ascii="仿宋" w:eastAsia="仿宋" w:hAnsi="仿宋" w:cs="仿宋" w:hint="eastAsia"/>
          <w:sz w:val="32"/>
          <w:szCs w:val="32"/>
        </w:rPr>
        <w:t>年度</w:t>
      </w:r>
      <w:r>
        <w:rPr>
          <w:rFonts w:ascii="仿宋" w:eastAsia="仿宋" w:hAnsi="仿宋" w:cs="仿宋"/>
          <w:sz w:val="32"/>
          <w:u w:color="auto"/>
        </w:rPr>
        <w:t>0</w:t>
      </w:r>
      <w:r>
        <w:rPr>
          <w:rFonts w:ascii="仿宋" w:eastAsia="仿宋" w:hAnsi="仿宋" w:cs="仿宋"/>
          <w:sz w:val="32"/>
          <w:u w:color="auto"/>
        </w:rPr>
        <w:t>个项目实施单位自评。</w:t>
      </w:r>
      <w:r>
        <w:rPr>
          <w:rFonts w:ascii="仿宋" w:eastAsia="仿宋" w:hAnsi="仿宋"/>
          <w:sz w:val="32"/>
          <w:u w:color="auto"/>
        </w:rPr>
        <w:t>涉及财政拨款资金共计</w:t>
      </w:r>
      <w:r>
        <w:rPr>
          <w:rFonts w:ascii="仿宋" w:eastAsia="仿宋" w:hAnsi="仿宋"/>
          <w:sz w:val="32"/>
          <w:u w:color="auto"/>
        </w:rPr>
        <w:t>0</w:t>
      </w:r>
      <w:r>
        <w:rPr>
          <w:rFonts w:ascii="仿宋" w:eastAsia="仿宋" w:hAnsi="仿宋"/>
          <w:sz w:val="32"/>
          <w:u w:color="auto"/>
        </w:rPr>
        <w:t>万元。</w:t>
      </w:r>
    </w:p>
    <w:p w14:paraId="4CD9F0D1">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cs="仿宋"/>
          <w:sz w:val="32"/>
          <w:szCs w:val="32"/>
        </w:rPr>
      </w:pPr>
      <w:r>
        <w:rPr>
          <w:rFonts w:ascii="仿宋" w:eastAsia="仿宋" w:hAnsi="仿宋" w:cs="仿宋" w:hint="eastAsia"/>
          <w:sz w:val="32"/>
          <w:szCs w:val="32"/>
        </w:rPr>
        <w:t>注：该年度本</w:t>
      </w:r>
      <w:r>
        <w:rPr>
          <w:rFonts w:ascii="仿宋" w:eastAsia="仿宋" w:hAnsi="仿宋" w:cs="仿宋"/>
          <w:sz w:val="32"/>
          <w:u w:color="auto"/>
        </w:rPr>
        <w:t>单位</w:t>
      </w:r>
      <w:r>
        <w:rPr>
          <w:rFonts w:ascii="仿宋" w:eastAsia="仿宋" w:hAnsi="仿宋" w:cs="仿宋"/>
          <w:sz w:val="32"/>
          <w:u w:color="auto"/>
        </w:rPr>
        <w:t>无单位自评项目。</w:t>
      </w:r>
    </w:p>
    <w:p w14:paraId="728E8BA6">
      <w:pPr>
        <w:suppressLineNumbers/>
        <w:tabs>
          <w:tab w:val="left" w:pos="7513"/>
        </w:tabs>
        <w:suppressAutoHyphens/>
        <w:topLinePunct/>
        <w:autoSpaceDE w:val="0"/>
        <w:adjustRightInd w:val="0"/>
        <w:snapToGrid w:val="0"/>
        <w:spacing w:line="600" w:lineRule="exact"/>
        <w:ind w:firstLine="640" w:firstLineChars="200"/>
        <w:outlineLvl w:val="1"/>
        <w:rPr>
          <w:rFonts w:ascii="黑体" w:eastAsia="黑体" w:hAnsi="黑体"/>
          <w:sz w:val="32"/>
          <w:szCs w:val="32"/>
        </w:rPr>
      </w:pPr>
      <w:bookmarkStart w:id="28" w:name="_Toc256000026"/>
      <w:r>
        <w:rPr>
          <w:rFonts w:ascii="黑体" w:eastAsia="黑体" w:hAnsi="黑体" w:hint="eastAsia"/>
          <w:sz w:val="32"/>
          <w:szCs w:val="32"/>
        </w:rPr>
        <w:t>九、其他重要事项说明</w:t>
      </w:r>
      <w:bookmarkEnd w:id="28"/>
    </w:p>
    <w:p w14:paraId="72117C40">
      <w:pPr>
        <w:suppressLineNumbers/>
        <w:suppressAutoHyphens/>
        <w:topLinePunct/>
        <w:autoSpaceDE w:val="0"/>
        <w:spacing w:line="600" w:lineRule="exact"/>
        <w:ind w:firstLine="640" w:firstLineChars="200"/>
        <w:rPr>
          <w:rFonts w:ascii="楷体" w:eastAsia="楷体" w:hAnsi="楷体" w:cs="楷体"/>
          <w:b/>
          <w:bCs/>
          <w:sz w:val="32"/>
          <w:szCs w:val="32"/>
        </w:rPr>
      </w:pPr>
      <w:r>
        <w:rPr>
          <w:rFonts w:ascii="楷体" w:eastAsia="楷体" w:hAnsi="楷体" w:cs="楷体" w:hint="eastAsia"/>
          <w:b/>
          <w:bCs/>
          <w:sz w:val="32"/>
          <w:szCs w:val="32"/>
        </w:rPr>
        <w:t>（一）机关运行经费</w:t>
      </w:r>
    </w:p>
    <w:p w14:paraId="25CBB960">
      <w:pPr>
        <w:suppressLineNumbers/>
        <w:tabs>
          <w:tab w:val="left" w:pos="7513"/>
        </w:tabs>
        <w:suppressAutoHyphens/>
        <w:overflowPunct w:val="0"/>
        <w:autoSpaceDE w:val="0"/>
        <w:autoSpaceDN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 w:hint="eastAsia"/>
          <w:sz w:val="32"/>
        </w:rPr>
        <w:t>2024</w:t>
      </w:r>
      <w:r>
        <w:rPr>
          <w:rFonts w:ascii="仿宋" w:eastAsia="仿宋" w:hAnsi="仿宋" w:cs="仿宋_GB2312" w:hint="eastAsia"/>
          <w:sz w:val="32"/>
          <w:szCs w:val="32"/>
        </w:rPr>
        <w:t>年度</w:t>
      </w:r>
      <w:r>
        <w:rPr>
          <w:rFonts w:ascii="仿宋" w:eastAsia="仿宋" w:hAnsi="仿宋" w:cs="仿宋_GB2312"/>
          <w:sz w:val="32"/>
          <w:szCs w:val="32"/>
        </w:rPr>
        <w:t>机关运行经费支出</w:t>
      </w:r>
      <w:r>
        <w:rPr>
          <w:rFonts w:ascii="仿宋" w:eastAsia="仿宋" w:hAnsi="仿宋" w:cs="仿宋_GB2312" w:hint="eastAsia"/>
          <w:sz w:val="32"/>
          <w:szCs w:val="32"/>
        </w:rPr>
        <w:t>0.00</w:t>
      </w:r>
      <w:r>
        <w:rPr>
          <w:rFonts w:ascii="仿宋" w:eastAsia="仿宋" w:hAnsi="仿宋" w:cs="仿宋_GB2312"/>
          <w:sz w:val="32"/>
          <w:szCs w:val="32"/>
        </w:rPr>
        <w:t>万元</w:t>
      </w:r>
      <w:r>
        <w:rPr>
          <w:rFonts w:ascii="仿宋" w:eastAsia="仿宋" w:hAnsi="仿宋" w:cs="仿宋_GB2312"/>
          <w:sz w:val="32"/>
          <w:szCs w:val="32"/>
        </w:rPr>
        <w:t>，比</w:t>
      </w:r>
      <w:r>
        <w:rPr>
          <w:rFonts w:ascii="仿宋" w:eastAsia="仿宋" w:hAnsi="仿宋" w:hint="eastAsia"/>
          <w:sz w:val="32"/>
          <w:szCs w:val="32"/>
        </w:rPr>
        <w:t>上年</w:t>
      </w:r>
      <w:r>
        <w:rPr>
          <w:rFonts w:ascii="仿宋" w:eastAsia="仿宋" w:hAnsi="仿宋" w:cs="仿宋_GB2312"/>
          <w:sz w:val="32"/>
          <w:szCs w:val="32"/>
        </w:rPr>
        <w:t>决算数</w:t>
      </w:r>
      <w:r>
        <w:rPr>
          <w:rFonts w:ascii="仿宋" w:eastAsia="仿宋" w:hAnsi="仿宋" w:cs="仿宋_GB2312" w:hint="eastAsia"/>
          <w:kern w:val="0"/>
          <w:sz w:val="32"/>
          <w:szCs w:val="32"/>
        </w:rPr>
        <w:t>增加0.00</w:t>
      </w:r>
      <w:r>
        <w:rPr>
          <w:rFonts w:ascii="仿宋" w:eastAsia="仿宋" w:hAnsi="仿宋" w:cs="仿宋_GB2312" w:hint="eastAsia"/>
          <w:kern w:val="0"/>
          <w:sz w:val="32"/>
          <w:szCs w:val="32"/>
        </w:rPr>
        <w:t>万元</w:t>
      </w:r>
      <w:r>
        <w:rPr>
          <w:rFonts w:ascii="仿宋" w:eastAsia="仿宋" w:hAnsi="仿宋" w:cs="仿宋_GB2312" w:hint="eastAsia"/>
          <w:kern w:val="0"/>
          <w:sz w:val="32"/>
          <w:szCs w:val="32"/>
        </w:rPr>
        <w:t>，</w:t>
      </w:r>
      <w:r>
        <w:rPr>
          <w:rFonts w:ascii="仿宋" w:eastAsia="仿宋" w:hAnsi="仿宋" w:cs="仿宋"/>
          <w:sz w:val="32"/>
          <w:u w:color="auto"/>
        </w:rPr>
        <w:t>与上年决算数持平</w:t>
      </w:r>
      <w:r>
        <w:rPr>
          <w:rFonts w:ascii="仿宋" w:eastAsia="仿宋" w:hAnsi="仿宋" w:cs="仿宋"/>
          <w:sz w:val="32"/>
          <w:u w:color="auto"/>
        </w:rPr>
        <w:t>。</w:t>
      </w:r>
    </w:p>
    <w:p w14:paraId="4BEE368C">
      <w:pPr>
        <w:suppressLineNumbers/>
        <w:tabs>
          <w:tab w:val="left" w:pos="7513"/>
        </w:tabs>
        <w:suppressAutoHyphens/>
        <w:overflowPunct w:val="0"/>
        <w:autoSpaceDE w:val="0"/>
        <w:autoSpaceDN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注： 本</w:t>
      </w:r>
      <w:r>
        <w:rPr>
          <w:rFonts w:ascii="仿宋" w:eastAsia="仿宋" w:hAnsi="仿宋" w:cs="仿宋"/>
          <w:sz w:val="32"/>
          <w:u w:color="auto"/>
        </w:rPr>
        <w:t>单位</w:t>
      </w:r>
      <w:r>
        <w:rPr>
          <w:rFonts w:ascii="仿宋" w:eastAsia="仿宋" w:hAnsi="仿宋" w:cs="仿宋"/>
          <w:sz w:val="32"/>
          <w:u w:color="auto"/>
        </w:rPr>
        <w:t>为事业单位没有机关运行经费。</w:t>
      </w:r>
    </w:p>
    <w:p w14:paraId="6F7FD0E5">
      <w:pPr>
        <w:suppressLineNumbers/>
        <w:suppressAutoHyphens/>
        <w:topLinePunct/>
        <w:autoSpaceDE w:val="0"/>
        <w:spacing w:line="600" w:lineRule="exact"/>
        <w:ind w:firstLine="640" w:firstLineChars="200"/>
        <w:rPr>
          <w:rFonts w:ascii="楷体" w:eastAsia="楷体" w:hAnsi="楷体" w:cs="楷体"/>
          <w:b/>
          <w:bCs/>
          <w:sz w:val="32"/>
          <w:szCs w:val="32"/>
        </w:rPr>
      </w:pPr>
      <w:r>
        <w:rPr>
          <w:rFonts w:ascii="楷体" w:eastAsia="楷体" w:hAnsi="楷体" w:cs="楷体" w:hint="eastAsia"/>
          <w:b/>
          <w:bCs/>
          <w:sz w:val="32"/>
          <w:szCs w:val="32"/>
        </w:rPr>
        <w:t>（二）政府采购情况</w:t>
      </w:r>
    </w:p>
    <w:p w14:paraId="58D114B6">
      <w:pPr>
        <w:suppressLineNumbers/>
        <w:tabs>
          <w:tab w:val="left" w:pos="7513"/>
        </w:tabs>
        <w:suppressAutoHyphens/>
        <w:topLinePunct/>
        <w:autoSpaceDE w:val="0"/>
        <w:adjustRightInd w:val="0"/>
        <w:snapToGrid w:val="0"/>
        <w:spacing w:line="600" w:lineRule="exact"/>
        <w:ind w:firstLine="640" w:firstLineChars="200"/>
        <w:rPr>
          <w:rFonts w:ascii="仿宋" w:eastAsia="仿宋" w:hAnsi="仿宋" w:cs="仿宋_GB2312"/>
          <w:sz w:val="32"/>
          <w:szCs w:val="32"/>
        </w:rPr>
      </w:pPr>
      <w:r>
        <w:rPr>
          <w:rFonts w:ascii="仿宋" w:eastAsia="仿宋" w:hAnsi="仿宋" w:cs="仿宋_GB2312" w:hint="eastAsia"/>
          <w:sz w:val="32"/>
          <w:szCs w:val="32"/>
        </w:rPr>
        <w:t>本</w:t>
      </w:r>
      <w:r>
        <w:rPr>
          <w:rFonts w:ascii="仿宋" w:eastAsia="仿宋" w:hAnsi="仿宋" w:cs="仿宋"/>
          <w:sz w:val="32"/>
          <w:u w:color="auto"/>
        </w:rPr>
        <w:t>单位</w:t>
      </w:r>
      <w:r>
        <w:rPr>
          <w:rFonts w:ascii="仿宋" w:eastAsia="仿宋" w:hAnsi="仿宋" w:cs="仿宋"/>
          <w:sz w:val="32"/>
          <w:u w:color="auto"/>
        </w:rPr>
        <w:t>2024</w:t>
      </w:r>
      <w:r>
        <w:rPr>
          <w:rFonts w:ascii="仿宋" w:eastAsia="仿宋" w:hAnsi="仿宋" w:cs="仿宋"/>
          <w:sz w:val="32"/>
          <w:u w:color="auto"/>
        </w:rPr>
        <w:t>年度</w:t>
      </w:r>
      <w:r>
        <w:rPr>
          <w:rFonts w:ascii="仿宋" w:eastAsia="仿宋" w:hAnsi="仿宋" w:cs="仿宋_GB2312"/>
          <w:sz w:val="32"/>
          <w:szCs w:val="32"/>
        </w:rPr>
        <w:t>政府采购支出总额</w:t>
      </w:r>
      <w:r>
        <w:rPr>
          <w:rFonts w:ascii="仿宋" w:eastAsia="仿宋" w:hAnsi="仿宋" w:cs="仿宋_GB2312" w:hint="eastAsia"/>
          <w:sz w:val="32"/>
          <w:szCs w:val="32"/>
        </w:rPr>
        <w:t>230.01</w:t>
      </w:r>
      <w:r>
        <w:rPr>
          <w:rFonts w:ascii="仿宋" w:eastAsia="仿宋" w:hAnsi="仿宋" w:cs="仿宋"/>
          <w:sz w:val="32"/>
          <w:u w:color="auto"/>
        </w:rPr>
        <w:t>万元，其中：政府采购货物支出</w:t>
      </w:r>
      <w:r>
        <w:rPr>
          <w:rFonts w:ascii="仿宋" w:eastAsia="仿宋" w:hAnsi="仿宋" w:cs="仿宋"/>
          <w:sz w:val="32"/>
          <w:u w:color="auto"/>
        </w:rPr>
        <w:t>91.21</w:t>
      </w:r>
      <w:r>
        <w:rPr>
          <w:rFonts w:ascii="仿宋" w:eastAsia="仿宋" w:hAnsi="仿宋" w:cs="仿宋"/>
          <w:sz w:val="32"/>
          <w:u w:color="auto"/>
        </w:rPr>
        <w:t>万元、政府采购工程支出</w:t>
      </w:r>
      <w:r>
        <w:rPr>
          <w:rFonts w:ascii="仿宋" w:eastAsia="仿宋" w:hAnsi="仿宋" w:cs="仿宋"/>
          <w:sz w:val="32"/>
          <w:u w:color="auto"/>
        </w:rPr>
        <w:t>0.00</w:t>
      </w:r>
      <w:r>
        <w:rPr>
          <w:rFonts w:ascii="仿宋" w:eastAsia="仿宋" w:hAnsi="仿宋" w:cs="仿宋"/>
          <w:sz w:val="32"/>
          <w:u w:color="auto"/>
        </w:rPr>
        <w:t>万元、政府采购服务支出</w:t>
      </w:r>
      <w:r>
        <w:rPr>
          <w:rFonts w:ascii="仿宋" w:eastAsia="仿宋" w:hAnsi="仿宋" w:cs="仿宋"/>
          <w:sz w:val="32"/>
          <w:u w:color="auto"/>
        </w:rPr>
        <w:t>138.80</w:t>
      </w:r>
      <w:r>
        <w:rPr>
          <w:rFonts w:ascii="仿宋" w:eastAsia="仿宋" w:hAnsi="仿宋" w:cs="仿宋"/>
          <w:sz w:val="32"/>
          <w:u w:color="auto"/>
        </w:rPr>
        <w:t>万元。授予中小企业合同金额</w:t>
      </w:r>
      <w:r>
        <w:rPr>
          <w:rFonts w:ascii="仿宋" w:eastAsia="仿宋" w:hAnsi="仿宋" w:cs="仿宋"/>
          <w:sz w:val="32"/>
          <w:u w:color="auto"/>
        </w:rPr>
        <w:t>230.01</w:t>
      </w:r>
      <w:r>
        <w:rPr>
          <w:rFonts w:ascii="仿宋" w:eastAsia="仿宋" w:hAnsi="仿宋" w:cs="仿宋"/>
          <w:sz w:val="32"/>
          <w:u w:color="auto"/>
        </w:rPr>
        <w:t>万元，占政府采购支出总额的</w:t>
      </w:r>
      <w:r>
        <w:rPr>
          <w:rFonts w:ascii="仿宋" w:eastAsia="仿宋" w:hAnsi="仿宋" w:cs="仿宋"/>
          <w:sz w:val="32"/>
          <w:u w:color="auto"/>
        </w:rPr>
        <w:t>100.00%</w:t>
      </w:r>
      <w:r>
        <w:rPr>
          <w:rFonts w:ascii="仿宋" w:eastAsia="仿宋" w:hAnsi="仿宋" w:cs="仿宋"/>
          <w:sz w:val="32"/>
          <w:u w:color="auto"/>
        </w:rPr>
        <w:t>，其中：授予小微企业合同金额</w:t>
      </w:r>
      <w:r>
        <w:rPr>
          <w:rFonts w:ascii="仿宋" w:eastAsia="仿宋" w:hAnsi="仿宋" w:cs="仿宋"/>
          <w:sz w:val="32"/>
          <w:u w:color="auto"/>
        </w:rPr>
        <w:t>230.01</w:t>
      </w:r>
      <w:r>
        <w:rPr>
          <w:rFonts w:ascii="仿宋" w:eastAsia="仿宋" w:hAnsi="仿宋" w:cs="仿宋"/>
          <w:sz w:val="32"/>
          <w:u w:color="auto"/>
        </w:rPr>
        <w:t>万元，占授予中小企业合同金额的</w:t>
      </w:r>
      <w:r>
        <w:rPr>
          <w:rFonts w:ascii="仿宋" w:eastAsia="仿宋" w:hAnsi="仿宋" w:cs="仿宋"/>
          <w:sz w:val="32"/>
          <w:u w:color="auto"/>
        </w:rPr>
        <w:t>100.00%</w:t>
      </w:r>
      <w:r>
        <w:rPr>
          <w:rFonts w:ascii="仿宋" w:eastAsia="仿宋" w:hAnsi="仿宋" w:cs="仿宋"/>
          <w:sz w:val="32"/>
          <w:u w:color="auto"/>
        </w:rPr>
        <w:t>；货物采购授予中小企业合同金额占货物支出金额的</w:t>
      </w:r>
      <w:r>
        <w:rPr>
          <w:rFonts w:ascii="仿宋" w:eastAsia="仿宋" w:hAnsi="仿宋" w:cs="仿宋"/>
          <w:sz w:val="32"/>
          <w:u w:color="auto"/>
        </w:rPr>
        <w:t>100.00</w:t>
      </w:r>
      <w:r>
        <w:rPr>
          <w:rFonts w:ascii="仿宋" w:eastAsia="仿宋" w:hAnsi="仿宋" w:cs="仿宋"/>
          <w:sz w:val="32"/>
          <w:u w:color="auto"/>
        </w:rPr>
        <w:t>%，工程采购授予中小企业合同金额占工程支出金额的</w:t>
      </w:r>
      <w:r>
        <w:rPr>
          <w:rFonts w:ascii="仿宋" w:eastAsia="仿宋" w:hAnsi="仿宋" w:cs="仿宋"/>
          <w:sz w:val="32"/>
          <w:u w:color="auto"/>
        </w:rPr>
        <w:t>0.00</w:t>
      </w:r>
      <w:r>
        <w:rPr>
          <w:rFonts w:ascii="仿宋" w:eastAsia="仿宋" w:hAnsi="仿宋" w:cs="仿宋"/>
          <w:sz w:val="32"/>
          <w:u w:color="auto"/>
        </w:rPr>
        <w:t>%，服务采购授予中小企业合同金额占服务支出金额的</w:t>
      </w:r>
      <w:r>
        <w:rPr>
          <w:rFonts w:ascii="仿宋" w:eastAsia="仿宋" w:hAnsi="仿宋" w:cs="仿宋"/>
          <w:sz w:val="32"/>
          <w:u w:color="auto"/>
        </w:rPr>
        <w:t>100.00</w:t>
      </w:r>
      <w:r>
        <w:rPr>
          <w:rFonts w:ascii="仿宋" w:eastAsia="仿宋" w:hAnsi="仿宋" w:cs="仿宋"/>
          <w:sz w:val="32"/>
          <w:u w:color="auto"/>
        </w:rPr>
        <w:t>%。</w:t>
      </w:r>
    </w:p>
    <w:p w14:paraId="7021C384">
      <w:pPr>
        <w:suppressLineNumbers/>
        <w:suppressAutoHyphens/>
        <w:topLinePunct/>
        <w:autoSpaceDE w:val="0"/>
        <w:spacing w:line="600" w:lineRule="exact"/>
        <w:ind w:firstLine="640" w:firstLineChars="200"/>
        <w:rPr>
          <w:rFonts w:ascii="楷体" w:eastAsia="楷体" w:hAnsi="楷体" w:cs="楷体"/>
          <w:b/>
          <w:bCs/>
          <w:sz w:val="32"/>
          <w:szCs w:val="32"/>
        </w:rPr>
      </w:pPr>
      <w:r>
        <w:rPr>
          <w:rFonts w:ascii="楷体" w:eastAsia="楷体" w:hAnsi="楷体" w:cs="楷体" w:hint="eastAsia"/>
          <w:b/>
          <w:bCs/>
          <w:sz w:val="32"/>
          <w:szCs w:val="32"/>
        </w:rPr>
        <w:t xml:space="preserve">（三）国有资产占用使用情况 </w:t>
      </w:r>
    </w:p>
    <w:p w14:paraId="12C374AC">
      <w:pPr>
        <w:suppressLineNumbers/>
        <w:tabs>
          <w:tab w:val="left" w:pos="7513"/>
        </w:tabs>
        <w:suppressAutoHyphens/>
        <w:topLinePunct/>
        <w:autoSpaceDE w:val="0"/>
        <w:adjustRightInd w:val="0"/>
        <w:snapToGrid w:val="0"/>
        <w:spacing w:line="600" w:lineRule="exact"/>
        <w:ind w:firstLine="704" w:firstLineChars="220"/>
        <w:rPr>
          <w:rFonts w:ascii="黑体" w:eastAsia="黑体" w:hAnsi="黑体"/>
          <w:sz w:val="36"/>
          <w:szCs w:val="36"/>
        </w:rPr>
      </w:pPr>
      <w:r>
        <w:rPr>
          <w:rFonts w:ascii="仿宋" w:eastAsia="仿宋" w:hAnsi="仿宋" w:cs="仿宋_GB2312" w:hint="eastAsia"/>
          <w:kern w:val="0"/>
          <w:sz w:val="32"/>
          <w:szCs w:val="32"/>
        </w:rPr>
        <w:t>截至</w:t>
      </w:r>
      <w:r>
        <w:rPr>
          <w:rFonts w:ascii="仿宋" w:eastAsia="仿宋" w:hAnsi="仿宋" w:hint="eastAsia"/>
          <w:sz w:val="32"/>
          <w:szCs w:val="32"/>
        </w:rPr>
        <w:t>2024</w:t>
      </w:r>
      <w:r>
        <w:rPr>
          <w:rFonts w:ascii="仿宋" w:eastAsia="仿宋" w:hAnsi="仿宋" w:cs="仿宋_GB2312" w:hint="eastAsia"/>
          <w:kern w:val="0"/>
          <w:sz w:val="32"/>
          <w:szCs w:val="32"/>
        </w:rPr>
        <w:t>年</w:t>
      </w:r>
      <w:r>
        <w:rPr>
          <w:rFonts w:ascii="仿宋" w:eastAsia="仿宋" w:hAnsi="仿宋" w:cs="仿宋_GB2312"/>
          <w:kern w:val="0"/>
          <w:sz w:val="32"/>
          <w:szCs w:val="32"/>
        </w:rPr>
        <w:t>12月31日，本</w:t>
      </w:r>
      <w:r>
        <w:rPr>
          <w:rFonts w:ascii="仿宋" w:eastAsia="仿宋" w:hAnsi="仿宋" w:cs="仿宋_GB2312" w:hint="eastAsia"/>
          <w:kern w:val="0"/>
          <w:sz w:val="32"/>
          <w:szCs w:val="32"/>
        </w:rPr>
        <w:t>单位</w:t>
      </w:r>
      <w:r>
        <w:rPr>
          <w:rFonts w:ascii="仿宋" w:eastAsia="仿宋" w:hAnsi="仿宋" w:cs="仿宋_GB2312"/>
          <w:kern w:val="0"/>
          <w:sz w:val="32"/>
          <w:szCs w:val="32"/>
        </w:rPr>
        <w:t>共有车辆</w:t>
      </w:r>
      <w:r>
        <w:rPr>
          <w:rFonts w:ascii="仿宋" w:eastAsia="仿宋" w:hAnsi="仿宋" w:cs="仿宋_GB2312" w:hint="eastAsia"/>
          <w:sz w:val="32"/>
          <w:szCs w:val="32"/>
        </w:rPr>
        <w:t>1</w:t>
      </w:r>
      <w:r>
        <w:rPr>
          <w:rFonts w:ascii="仿宋" w:eastAsia="仿宋" w:hAnsi="仿宋" w:cs="仿宋_GB2312" w:hint="eastAsia"/>
          <w:kern w:val="0"/>
          <w:sz w:val="32"/>
          <w:szCs w:val="32"/>
        </w:rPr>
        <w:t>辆，其中：副部（省）级以上领导用车</w:t>
      </w:r>
      <w:r>
        <w:rPr>
          <w:rFonts w:ascii="仿宋" w:eastAsia="仿宋" w:hAnsi="仿宋" w:cs="仿宋_GB2312" w:hint="eastAsia"/>
          <w:sz w:val="32"/>
          <w:szCs w:val="32"/>
        </w:rPr>
        <w:t>0</w:t>
      </w:r>
      <w:r>
        <w:rPr>
          <w:rFonts w:ascii="仿宋" w:eastAsia="仿宋" w:hAnsi="仿宋" w:cs="仿宋_GB2312" w:hint="eastAsia"/>
          <w:kern w:val="0"/>
          <w:sz w:val="32"/>
          <w:szCs w:val="32"/>
        </w:rPr>
        <w:t>辆、主要领导干部用车</w:t>
      </w:r>
      <w:r>
        <w:rPr>
          <w:rFonts w:ascii="仿宋" w:eastAsia="仿宋" w:hAnsi="仿宋" w:cs="仿宋_GB2312" w:hint="eastAsia"/>
          <w:sz w:val="32"/>
          <w:szCs w:val="32"/>
        </w:rPr>
        <w:t>0</w:t>
      </w:r>
      <w:r>
        <w:rPr>
          <w:rFonts w:ascii="仿宋" w:eastAsia="仿宋" w:hAnsi="仿宋" w:cs="仿宋_GB2312" w:hint="eastAsia"/>
          <w:kern w:val="0"/>
          <w:sz w:val="32"/>
          <w:szCs w:val="32"/>
        </w:rPr>
        <w:t>辆、机要通信用车</w:t>
      </w:r>
      <w:r>
        <w:rPr>
          <w:rFonts w:ascii="仿宋" w:eastAsia="仿宋" w:hAnsi="仿宋" w:cs="仿宋_GB2312" w:hint="eastAsia"/>
          <w:sz w:val="32"/>
          <w:szCs w:val="32"/>
        </w:rPr>
        <w:t>0</w:t>
      </w:r>
      <w:r>
        <w:rPr>
          <w:rFonts w:ascii="仿宋" w:eastAsia="仿宋" w:hAnsi="仿宋" w:cs="仿宋_GB2312" w:hint="eastAsia"/>
          <w:kern w:val="0"/>
          <w:sz w:val="32"/>
          <w:szCs w:val="32"/>
        </w:rPr>
        <w:t>辆、应急保障用车</w:t>
      </w:r>
      <w:r>
        <w:rPr>
          <w:rFonts w:ascii="仿宋" w:eastAsia="仿宋" w:hAnsi="仿宋" w:cs="仿宋_GB2312" w:hint="eastAsia"/>
          <w:sz w:val="32"/>
          <w:szCs w:val="32"/>
        </w:rPr>
        <w:t>0</w:t>
      </w:r>
      <w:r>
        <w:rPr>
          <w:rFonts w:ascii="仿宋" w:eastAsia="仿宋" w:hAnsi="仿宋" w:cs="仿宋_GB2312" w:hint="eastAsia"/>
          <w:kern w:val="0"/>
          <w:sz w:val="32"/>
          <w:szCs w:val="32"/>
        </w:rPr>
        <w:t>辆、执法执勤用车</w:t>
      </w:r>
      <w:r>
        <w:rPr>
          <w:rFonts w:ascii="仿宋" w:eastAsia="仿宋" w:hAnsi="仿宋" w:cs="仿宋_GB2312" w:hint="eastAsia"/>
          <w:sz w:val="32"/>
          <w:szCs w:val="32"/>
        </w:rPr>
        <w:t>0</w:t>
      </w:r>
      <w:r>
        <w:rPr>
          <w:rFonts w:ascii="仿宋" w:eastAsia="仿宋" w:hAnsi="仿宋" w:cs="仿宋_GB2312" w:hint="eastAsia"/>
          <w:kern w:val="0"/>
          <w:sz w:val="32"/>
          <w:szCs w:val="32"/>
        </w:rPr>
        <w:t>辆、特种专业技术用车</w:t>
      </w:r>
      <w:r>
        <w:rPr>
          <w:rFonts w:ascii="仿宋" w:eastAsia="仿宋" w:hAnsi="仿宋" w:cs="仿宋_GB2312" w:hint="eastAsia"/>
          <w:sz w:val="32"/>
          <w:szCs w:val="32"/>
        </w:rPr>
        <w:t>0</w:t>
      </w:r>
      <w:r>
        <w:rPr>
          <w:rFonts w:ascii="仿宋" w:eastAsia="仿宋" w:hAnsi="仿宋" w:cs="仿宋_GB2312" w:hint="eastAsia"/>
          <w:kern w:val="0"/>
          <w:sz w:val="32"/>
          <w:szCs w:val="32"/>
        </w:rPr>
        <w:t>辆、离退休干部用车</w:t>
      </w:r>
      <w:r>
        <w:rPr>
          <w:rFonts w:ascii="仿宋" w:eastAsia="仿宋" w:hAnsi="仿宋" w:cs="仿宋_GB2312" w:hint="eastAsia"/>
          <w:sz w:val="32"/>
          <w:szCs w:val="32"/>
        </w:rPr>
        <w:t>0</w:t>
      </w:r>
      <w:r>
        <w:rPr>
          <w:rFonts w:ascii="仿宋" w:eastAsia="仿宋" w:hAnsi="仿宋" w:cs="仿宋_GB2312" w:hint="eastAsia"/>
          <w:kern w:val="0"/>
          <w:sz w:val="32"/>
          <w:szCs w:val="32"/>
        </w:rPr>
        <w:t>辆、其他用车</w:t>
      </w:r>
      <w:r>
        <w:rPr>
          <w:rFonts w:ascii="仿宋" w:eastAsia="仿宋" w:hAnsi="仿宋" w:cs="仿宋_GB2312" w:hint="eastAsia"/>
          <w:sz w:val="32"/>
          <w:szCs w:val="32"/>
        </w:rPr>
        <w:t>1</w:t>
      </w:r>
      <w:r>
        <w:rPr>
          <w:rFonts w:ascii="仿宋" w:eastAsia="仿宋" w:hAnsi="仿宋" w:cs="仿宋_GB2312" w:hint="eastAsia"/>
          <w:kern w:val="0"/>
          <w:sz w:val="32"/>
          <w:szCs w:val="32"/>
        </w:rPr>
        <w:t>辆</w:t>
      </w:r>
      <w:r>
        <w:rPr>
          <w:rFonts w:ascii="仿宋" w:eastAsia="仿宋" w:hAnsi="仿宋" w:cs="仿宋_GB2312" w:hint="eastAsia"/>
          <w:kern w:val="0"/>
          <w:sz w:val="32"/>
          <w:szCs w:val="32"/>
        </w:rPr>
        <w:t>，其他用车主要是</w:t>
      </w:r>
      <w:r>
        <w:rPr>
          <w:rFonts w:ascii="仿宋" w:eastAsia="仿宋" w:hAnsi="仿宋" w:cs="仿宋"/>
          <w:sz w:val="32"/>
          <w:u w:color="auto"/>
        </w:rPr>
        <w:t>公务车</w:t>
      </w:r>
      <w:r>
        <w:rPr>
          <w:rFonts w:ascii="仿宋" w:eastAsia="仿宋" w:hAnsi="仿宋" w:cs="仿宋"/>
          <w:sz w:val="32"/>
          <w:u w:color="auto"/>
        </w:rPr>
        <w:t>；单位价值100万元以上设备（不含车辆）</w:t>
      </w:r>
      <w:r>
        <w:rPr>
          <w:rFonts w:ascii="仿宋" w:eastAsia="仿宋" w:hAnsi="仿宋" w:cs="仿宋"/>
          <w:sz w:val="32"/>
          <w:u w:color="auto"/>
        </w:rPr>
        <w:t>0</w:t>
      </w:r>
      <w:r>
        <w:rPr>
          <w:rFonts w:ascii="仿宋" w:eastAsia="仿宋" w:hAnsi="仿宋" w:cs="仿宋"/>
          <w:sz w:val="32"/>
          <w:u w:color="auto"/>
        </w:rPr>
        <w:t>台（套）。</w:t>
      </w:r>
      <w:r>
        <w:br w:type="page"/>
      </w:r>
    </w:p>
    <w:p w14:paraId="5B270544">
      <w:pPr>
        <w:topLinePunct/>
        <w:autoSpaceDE w:val="0"/>
        <w:jc w:val="center"/>
        <w:rPr>
          <w:rFonts w:ascii="黑体" w:eastAsia="黑体" w:hAnsi="黑体"/>
          <w:sz w:val="56"/>
        </w:rPr>
      </w:pPr>
    </w:p>
    <w:p w14:paraId="134FAE0D">
      <w:pPr>
        <w:topLinePunct/>
        <w:autoSpaceDE w:val="0"/>
        <w:jc w:val="center"/>
        <w:rPr>
          <w:rFonts w:ascii="黑体" w:eastAsia="黑体" w:hAnsi="黑体"/>
          <w:sz w:val="56"/>
        </w:rPr>
      </w:pPr>
    </w:p>
    <w:p w14:paraId="2676585C">
      <w:pPr>
        <w:topLinePunct/>
        <w:autoSpaceDE w:val="0"/>
        <w:jc w:val="center"/>
        <w:rPr>
          <w:rFonts w:ascii="黑体" w:eastAsia="黑体" w:hAnsi="黑体"/>
          <w:sz w:val="56"/>
        </w:rPr>
      </w:pPr>
    </w:p>
    <w:p w14:paraId="07E5E58C">
      <w:pPr>
        <w:topLinePunct/>
        <w:autoSpaceDE w:val="0"/>
        <w:jc w:val="center"/>
        <w:rPr>
          <w:rFonts w:ascii="黑体" w:eastAsia="黑体" w:hAnsi="黑体"/>
          <w:sz w:val="56"/>
        </w:rPr>
      </w:pPr>
    </w:p>
    <w:p w14:paraId="374CCED0">
      <w:pPr>
        <w:topLinePunct/>
        <w:autoSpaceDE w:val="0"/>
        <w:jc w:val="center"/>
        <w:rPr>
          <w:rFonts w:ascii="黑体" w:eastAsia="黑体" w:hAnsi="黑体"/>
          <w:sz w:val="56"/>
        </w:rPr>
      </w:pPr>
    </w:p>
    <w:p w14:paraId="61596292">
      <w:pPr>
        <w:topLinePunct/>
        <w:autoSpaceDE w:val="0"/>
        <w:jc w:val="left"/>
        <w:outlineLvl w:val="0"/>
        <w:rPr>
          <w:rFonts w:ascii="黑体" w:eastAsia="黑体" w:hAnsi="黑体"/>
          <w:sz w:val="56"/>
        </w:rPr>
      </w:pPr>
      <w:bookmarkStart w:id="29" w:name="_Toc256000027"/>
      <w:r>
        <w:rPr>
          <w:rFonts w:ascii="黑体" w:eastAsia="黑体" w:hAnsi="黑体" w:hint="eastAsia"/>
          <w:sz w:val="56"/>
        </w:rPr>
        <w:t>第四部分</w:t>
      </w:r>
      <w:bookmarkEnd w:id="29"/>
    </w:p>
    <w:p w14:paraId="4C34046E">
      <w:pPr>
        <w:topLinePunct/>
        <w:autoSpaceDE w:val="0"/>
        <w:jc w:val="center"/>
        <w:outlineLvl w:val="0"/>
        <w:rPr>
          <w:rFonts w:ascii="黑体" w:eastAsia="黑体" w:hAnsi="黑体"/>
          <w:sz w:val="56"/>
        </w:rPr>
      </w:pPr>
      <w:bookmarkStart w:id="30" w:name="_Toc256000028"/>
      <w:r>
        <w:rPr>
          <w:rFonts w:ascii="黑体" w:eastAsia="黑体" w:hAnsi="黑体" w:hint="eastAsia"/>
          <w:sz w:val="56"/>
        </w:rPr>
        <w:t>名词解释</w:t>
      </w:r>
      <w:bookmarkEnd w:id="30"/>
    </w:p>
    <w:p w14:paraId="4AC72398">
      <w:pPr>
        <w:topLinePunct/>
        <w:autoSpaceDE w:val="0"/>
        <w:adjustRightInd w:val="0"/>
        <w:spacing w:line="600" w:lineRule="exact"/>
        <w:ind w:firstLine="640" w:firstLineChars="200"/>
        <w:jc w:val="left"/>
        <w:rPr>
          <w:rFonts w:ascii="仿宋" w:eastAsia="仿宋" w:hAnsi="仿宋" w:cs="仿宋_GB2312"/>
          <w:kern w:val="0"/>
          <w:sz w:val="32"/>
          <w:szCs w:val="32"/>
        </w:rPr>
      </w:pPr>
    </w:p>
    <w:p w14:paraId="7BB0590D">
      <w:pPr>
        <w:widowControl/>
        <w:topLinePunct/>
        <w:autoSpaceDE w:val="0"/>
        <w:spacing w:line="240" w:lineRule="auto"/>
        <w:jc w:val="left"/>
        <w:rPr>
          <w:rFonts w:ascii="仿宋" w:eastAsia="仿宋" w:hAnsi="仿宋" w:cs="仿宋"/>
          <w:b/>
          <w:color w:val="000000"/>
          <w:kern w:val="0"/>
          <w:sz w:val="32"/>
          <w:szCs w:val="32"/>
        </w:rPr>
      </w:pPr>
      <w:r>
        <w:rPr>
          <w:rFonts w:ascii="仿宋" w:eastAsia="仿宋" w:hAnsi="仿宋" w:cs="仿宋"/>
          <w:b/>
          <w:color w:val="000000"/>
          <w:kern w:val="0"/>
          <w:sz w:val="32"/>
          <w:szCs w:val="32"/>
        </w:rPr>
        <w:br w:type="page"/>
      </w:r>
    </w:p>
    <w:p w14:paraId="0AC9DA6B">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一、财政拨款收入：</w:t>
      </w:r>
      <w:r>
        <w:rPr>
          <w:rFonts w:ascii="仿宋" w:eastAsia="仿宋" w:hAnsi="仿宋" w:cs="仿宋" w:hint="eastAsia"/>
          <w:color w:val="000000"/>
          <w:kern w:val="0"/>
          <w:sz w:val="32"/>
          <w:szCs w:val="32"/>
        </w:rPr>
        <w:t>指单位从本级财政部门取得的财政预算资金，包括一般公共预算财政拨款、政府性基金预算财政拨款和国有资本经营预算财政拨款。</w:t>
      </w:r>
    </w:p>
    <w:p w14:paraId="6CB4ABB1">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14:paraId="58237BBA">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三、经营收入：</w:t>
      </w:r>
      <w:r>
        <w:rPr>
          <w:rFonts w:ascii="仿宋" w:eastAsia="仿宋" w:hAnsi="仿宋" w:cs="仿宋" w:hint="eastAsia"/>
          <w:color w:val="000000"/>
          <w:kern w:val="0"/>
          <w:sz w:val="32"/>
          <w:szCs w:val="32"/>
        </w:rPr>
        <w:t xml:space="preserve">指事业单位在专业业务活动及其辅助活动之外开展非独立核算经营活动取得的收入。 </w:t>
      </w:r>
    </w:p>
    <w:p w14:paraId="47A6D85F">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指除上述“财政拨款收入”“事业收入”“上级补助收入”“附属单位上缴收入”“经营收入”等以外取得的各项收入。主要是事业单位固定资产出租收入、存款利息收入等。</w:t>
      </w:r>
    </w:p>
    <w:p w14:paraId="28740583">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五、使用非财政拨款结余（含专用结余）：</w:t>
      </w:r>
      <w:r>
        <w:rPr>
          <w:rFonts w:ascii="仿宋" w:eastAsia="仿宋" w:hAnsi="仿宋" w:cs="仿宋" w:hint="eastAsia"/>
          <w:color w:val="000000"/>
          <w:kern w:val="0"/>
          <w:sz w:val="32"/>
          <w:szCs w:val="32"/>
        </w:rPr>
        <w:t xml:space="preserve">指事业单位按照预算管理要求使用非财政拨款结余弥补当年收支差额的金额，以及使用专用结余安排支出的金额。 </w:t>
      </w:r>
    </w:p>
    <w:p w14:paraId="6BED831A">
      <w:pPr>
        <w:topLinePunct/>
        <w:autoSpaceDE w:val="0"/>
        <w:spacing w:line="600" w:lineRule="exact"/>
        <w:ind w:firstLine="707" w:firstLineChars="221"/>
        <w:rPr>
          <w:rFonts w:ascii="仿宋" w:eastAsia="仿宋" w:hAnsi="仿宋" w:cs="仿宋"/>
          <w:color w:val="000000"/>
          <w:kern w:val="0"/>
          <w:sz w:val="32"/>
          <w:szCs w:val="32"/>
        </w:rPr>
      </w:pPr>
      <w:r>
        <w:rPr>
          <w:rFonts w:ascii="仿宋" w:eastAsia="仿宋" w:hAnsi="仿宋" w:cs="仿宋" w:hint="eastAsia"/>
          <w:b/>
          <w:color w:val="000000"/>
          <w:kern w:val="0"/>
          <w:sz w:val="32"/>
          <w:szCs w:val="32"/>
        </w:rPr>
        <w:t>六、年初结转和结余：</w:t>
      </w:r>
      <w:r>
        <w:rPr>
          <w:rFonts w:ascii="仿宋" w:eastAsia="仿宋" w:hAnsi="仿宋" w:cs="仿宋" w:hint="eastAsia"/>
          <w:color w:val="000000"/>
          <w:kern w:val="0"/>
          <w:sz w:val="32"/>
          <w:szCs w:val="32"/>
        </w:rPr>
        <w:t>指单位以前年度尚未完成、结转到本年仍按原规定用途继续使用的资金，或项目已完成等产生的结余资金。</w:t>
      </w:r>
    </w:p>
    <w:p w14:paraId="1D22F082">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七、结余分配：</w:t>
      </w:r>
      <w:r>
        <w:rPr>
          <w:rFonts w:ascii="仿宋" w:eastAsia="仿宋" w:hAnsi="仿宋" w:cs="仿宋" w:hint="eastAsia"/>
          <w:sz w:val="32"/>
          <w:szCs w:val="32"/>
        </w:rPr>
        <w:t xml:space="preserve">指事业单位按照会计制度规定缴纳的所得税、提取的专用结余以及转入非财政拨款结余的金额等。 </w:t>
      </w:r>
    </w:p>
    <w:p w14:paraId="3C9A35A3">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八、年末结转和结余：</w:t>
      </w:r>
      <w:r>
        <w:rPr>
          <w:rFonts w:ascii="仿宋" w:eastAsia="仿宋" w:hAnsi="仿宋" w:cs="仿宋" w:hint="eastAsia"/>
          <w:sz w:val="32"/>
          <w:szCs w:val="32"/>
        </w:rPr>
        <w:t xml:space="preserve">指单位按有关规定结转到下年或以后年度继续使用的资金，或项目已完成等产生的结余资金。 </w:t>
      </w:r>
    </w:p>
    <w:p w14:paraId="50773EC3">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九、基本支出：</w:t>
      </w:r>
      <w:r>
        <w:rPr>
          <w:rFonts w:ascii="仿宋" w:eastAsia="仿宋" w:hAnsi="仿宋" w:cs="仿宋" w:hint="eastAsia"/>
          <w:sz w:val="32"/>
          <w:szCs w:val="32"/>
        </w:rPr>
        <w:t xml:space="preserve">指为保障机构正常运转、完成日常工作任务而发生的人员支出和公用支出。 </w:t>
      </w:r>
    </w:p>
    <w:p w14:paraId="7F78C943">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十、项目支出：</w:t>
      </w:r>
      <w:r>
        <w:rPr>
          <w:rFonts w:ascii="仿宋" w:eastAsia="仿宋" w:hAnsi="仿宋" w:cs="仿宋" w:hint="eastAsia"/>
          <w:sz w:val="32"/>
          <w:szCs w:val="32"/>
        </w:rPr>
        <w:t xml:space="preserve">指在基本支出之外为完成特定行政任务和事业发展目标所发生的支出。 </w:t>
      </w:r>
    </w:p>
    <w:p w14:paraId="2D9DB60E">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十一、经营支出：</w:t>
      </w:r>
      <w:r>
        <w:rPr>
          <w:rFonts w:ascii="仿宋" w:eastAsia="仿宋" w:hAnsi="仿宋" w:cs="仿宋" w:hint="eastAsia"/>
          <w:sz w:val="32"/>
          <w:szCs w:val="32"/>
        </w:rPr>
        <w:t xml:space="preserve">指事业单位在专业业务活动及其辅助活动之外开展非独立核算经营活动发生的支出。 </w:t>
      </w:r>
    </w:p>
    <w:p w14:paraId="34DBD070">
      <w:pPr>
        <w:pStyle w:val="Default"/>
        <w:topLinePunct/>
        <w:autoSpaceDN/>
        <w:spacing w:line="600" w:lineRule="exact"/>
        <w:ind w:firstLine="640"/>
        <w:rPr>
          <w:rFonts w:ascii="仿宋" w:eastAsia="仿宋" w:hAnsi="仿宋" w:cs="仿宋"/>
          <w:sz w:val="32"/>
          <w:szCs w:val="32"/>
        </w:rPr>
      </w:pPr>
      <w:r>
        <w:rPr>
          <w:rFonts w:ascii="仿宋" w:eastAsia="仿宋" w:hAnsi="仿宋" w:cs="仿宋" w:hint="eastAsia"/>
          <w:b/>
          <w:sz w:val="32"/>
          <w:szCs w:val="32"/>
        </w:rPr>
        <w:t>十二、</w:t>
      </w:r>
      <w:r>
        <w:rPr>
          <w:rFonts w:ascii="仿宋" w:eastAsia="仿宋" w:hAnsi="仿宋" w:cs="仿宋"/>
          <w:b/>
          <w:sz w:val="32"/>
          <w:szCs w:val="32"/>
        </w:rPr>
        <w:t>“</w:t>
      </w:r>
      <w:r>
        <w:rPr>
          <w:rFonts w:ascii="仿宋" w:eastAsia="仿宋" w:hAnsi="仿宋" w:cs="仿宋" w:hint="eastAsia"/>
          <w:b/>
          <w:sz w:val="32"/>
          <w:szCs w:val="32"/>
        </w:rPr>
        <w:t>三公</w:t>
      </w:r>
      <w:r>
        <w:rPr>
          <w:rFonts w:ascii="仿宋" w:eastAsia="仿宋" w:hAnsi="仿宋" w:cs="仿宋"/>
          <w:b/>
          <w:sz w:val="32"/>
          <w:szCs w:val="32"/>
        </w:rPr>
        <w:t>”</w:t>
      </w:r>
      <w:r>
        <w:rPr>
          <w:rFonts w:ascii="仿宋" w:eastAsia="仿宋" w:hAnsi="仿宋" w:cs="仿宋" w:hint="eastAsia"/>
          <w:b/>
          <w:sz w:val="32"/>
          <w:szCs w:val="32"/>
        </w:rPr>
        <w:t>经费：</w:t>
      </w:r>
      <w:r>
        <w:rPr>
          <w:rFonts w:ascii="仿宋" w:eastAsia="仿宋" w:hAnsi="仿宋" w:cs="仿宋" w:hint="eastAsia"/>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14:paraId="224E3D7C">
      <w:pPr>
        <w:topLinePunct/>
        <w:autoSpaceDE w:val="0"/>
        <w:ind w:firstLine="640" w:firstLineChars="200"/>
        <w:jc w:val="left"/>
        <w:rPr>
          <w:rFonts w:ascii="仿宋" w:eastAsia="仿宋" w:hAnsi="仿宋"/>
          <w:sz w:val="32"/>
          <w:szCs w:val="32"/>
        </w:rPr>
      </w:pPr>
      <w:r>
        <w:rPr>
          <w:rFonts w:ascii="仿宋" w:eastAsia="仿宋" w:hAnsi="仿宋" w:cs="仿宋" w:hint="eastAsia"/>
          <w:b/>
          <w:color w:val="000000"/>
          <w:kern w:val="0"/>
          <w:sz w:val="32"/>
          <w:szCs w:val="32"/>
        </w:rPr>
        <w:t>十三、机关运行经费：</w:t>
      </w:r>
      <w:r>
        <w:rPr>
          <w:rFonts w:ascii="仿宋" w:eastAsia="仿宋" w:hAnsi="仿宋" w:cs="仿宋" w:hint="eastAsia"/>
          <w:color w:val="000000"/>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B491782">
      <w:pPr>
        <w:widowControl/>
        <w:topLinePunct/>
        <w:autoSpaceDE w:val="0"/>
        <w:spacing w:line="240" w:lineRule="auto"/>
        <w:jc w:val="left"/>
        <w:rPr>
          <w:rFonts w:ascii="黑体" w:eastAsia="黑体" w:hAnsi="黑体"/>
          <w:sz w:val="36"/>
          <w:szCs w:val="36"/>
        </w:rPr>
      </w:pPr>
      <w:r>
        <w:rPr>
          <w:rFonts w:ascii="黑体" w:eastAsia="黑体" w:hAnsi="黑体"/>
          <w:sz w:val="36"/>
          <w:szCs w:val="36"/>
        </w:rPr>
        <w:br w:type="page"/>
      </w:r>
    </w:p>
    <w:p w14:paraId="6ABD6E53">
      <w:pPr>
        <w:topLinePunct/>
        <w:autoSpaceDE w:val="0"/>
        <w:jc w:val="center"/>
        <w:rPr>
          <w:rFonts w:ascii="黑体" w:eastAsia="黑体" w:hAnsi="黑体"/>
          <w:sz w:val="56"/>
        </w:rPr>
      </w:pPr>
    </w:p>
    <w:p w14:paraId="530A734A">
      <w:pPr>
        <w:topLinePunct/>
        <w:autoSpaceDE w:val="0"/>
        <w:jc w:val="center"/>
        <w:rPr>
          <w:rFonts w:ascii="黑体" w:eastAsia="黑体" w:hAnsi="黑体"/>
          <w:sz w:val="56"/>
        </w:rPr>
      </w:pPr>
    </w:p>
    <w:p w14:paraId="28C77E82">
      <w:pPr>
        <w:topLinePunct/>
        <w:autoSpaceDE w:val="0"/>
        <w:jc w:val="center"/>
        <w:rPr>
          <w:rFonts w:ascii="黑体" w:eastAsia="黑体" w:hAnsi="黑体"/>
          <w:sz w:val="56"/>
        </w:rPr>
      </w:pPr>
    </w:p>
    <w:p w14:paraId="0D9FEC73">
      <w:pPr>
        <w:topLinePunct/>
        <w:autoSpaceDE w:val="0"/>
        <w:jc w:val="center"/>
        <w:rPr>
          <w:rFonts w:ascii="黑体" w:eastAsia="黑体" w:hAnsi="黑体"/>
          <w:sz w:val="56"/>
        </w:rPr>
      </w:pPr>
    </w:p>
    <w:p w14:paraId="15C62F25">
      <w:pPr>
        <w:topLinePunct/>
        <w:autoSpaceDE w:val="0"/>
        <w:jc w:val="center"/>
        <w:rPr>
          <w:rFonts w:ascii="黑体" w:eastAsia="黑体" w:hAnsi="黑体"/>
          <w:sz w:val="56"/>
        </w:rPr>
      </w:pPr>
    </w:p>
    <w:p w14:paraId="0984D11B">
      <w:pPr>
        <w:topLinePunct/>
        <w:autoSpaceDE w:val="0"/>
        <w:jc w:val="left"/>
        <w:outlineLvl w:val="0"/>
        <w:rPr>
          <w:rFonts w:ascii="黑体" w:eastAsia="黑体" w:hAnsi="黑体"/>
          <w:sz w:val="56"/>
        </w:rPr>
      </w:pPr>
      <w:bookmarkStart w:id="31" w:name="_Toc256000029"/>
      <w:r>
        <w:rPr>
          <w:rFonts w:ascii="黑体" w:eastAsia="黑体" w:hAnsi="黑体" w:hint="eastAsia"/>
          <w:sz w:val="56"/>
        </w:rPr>
        <w:t>第五部分</w:t>
      </w:r>
      <w:bookmarkEnd w:id="31"/>
    </w:p>
    <w:p w14:paraId="03EA4DA1">
      <w:pPr>
        <w:topLinePunct/>
        <w:autoSpaceDE w:val="0"/>
        <w:jc w:val="center"/>
        <w:outlineLvl w:val="1"/>
        <w:rPr>
          <w:rFonts w:ascii="黑体" w:eastAsia="黑体" w:hAnsi="黑体"/>
          <w:sz w:val="56"/>
        </w:rPr>
      </w:pPr>
      <w:bookmarkStart w:id="32" w:name="_Toc256000030"/>
      <w:r>
        <w:rPr>
          <w:rFonts w:ascii="黑体" w:eastAsia="黑体" w:hAnsi="黑体" w:hint="eastAsia"/>
          <w:sz w:val="56"/>
        </w:rPr>
        <w:t>附件</w:t>
      </w:r>
      <w:bookmarkEnd w:id="32"/>
    </w:p>
    <w:p w14:paraId="1CDE48D5">
      <w:pPr>
        <w:widowControl/>
        <w:topLinePunct/>
        <w:autoSpaceDE w:val="0"/>
        <w:spacing w:line="240" w:lineRule="auto"/>
        <w:jc w:val="left"/>
        <w:rPr>
          <w:rFonts w:ascii="黑体" w:eastAsia="黑体" w:hAnsi="黑体"/>
          <w:sz w:val="32"/>
          <w:szCs w:val="32"/>
        </w:rPr>
        <w:sectPr>
          <w:type w:val="continuous"/>
          <w:pgSz w:w="11906" w:h="16838"/>
          <w:pgMar w:top="1440" w:right="1800" w:bottom="1440" w:left="1800" w:header="851" w:footer="992" w:gutter="0"/>
          <w:cols w:num="1" w:space="425"/>
          <w:docGrid w:type="lines" w:linePitch="312" w:charSpace="0"/>
        </w:sectPr>
      </w:pPr>
    </w:p>
    <w:p w14:paraId="6391673A">
      <w:pPr>
        <w:widowControl/>
        <w:overflowPunct w:val="0"/>
        <w:autoSpaceDE w:val="0"/>
        <w:autoSpaceDN w:val="0"/>
        <w:spacing w:line="240" w:lineRule="auto"/>
        <w:jc w:val="left"/>
        <w:rPr>
          <w:rFonts w:ascii="黑体" w:eastAsia="黑体" w:hAnsi="黑体"/>
          <w:sz w:val="32"/>
          <w:szCs w:val="32"/>
        </w:rPr>
      </w:pPr>
      <w:r>
        <w:rPr>
          <w:rFonts w:ascii="黑体" w:eastAsia="黑体" w:hAnsi="黑体" w:hint="eastAsia"/>
          <w:sz w:val="32"/>
          <w:szCs w:val="32"/>
        </w:rPr>
        <w:t>一、项目支出绩效自评表</w:t>
      </w: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2023党建工作经费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2.00</w:t>
            </w:r>
          </w:p>
        </w:tc>
        <w:tc>
          <w:tcPr>
            <w:tcW w:w="2276" w:type="dxa"/>
            <w:gridSpan w:val="2"/>
            <w:shd w:val="clear" w:color="auto" w:fill="auto"/>
            <w:vAlign w:val="center"/>
          </w:tcPr>
          <w:p>
            <w:pPr>
              <w:jc w:val="center"/>
            </w:pPr>
            <w:r>
              <w:rPr>
                <w:b w:val="0"/>
                <w:i w:val="0"/>
                <w:color w:val="auto"/>
                <w:sz w:val="24"/>
              </w:rPr>
              <w:t>2.00</w:t>
            </w:r>
          </w:p>
        </w:tc>
        <w:tc>
          <w:tcPr>
            <w:tcW w:w="1138" w:type="dxa"/>
            <w:shd w:val="clear" w:color="auto" w:fill="auto"/>
            <w:vAlign w:val="center"/>
          </w:tcPr>
          <w:p>
            <w:pPr>
              <w:jc w:val="center"/>
            </w:pPr>
            <w:r>
              <w:rPr>
                <w:b w:val="0"/>
                <w:i w:val="0"/>
                <w:color w:val="auto"/>
                <w:sz w:val="24"/>
              </w:rPr>
              <w:t>1.17</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58.50</w:t>
            </w:r>
          </w:p>
        </w:tc>
        <w:tc>
          <w:tcPr>
            <w:tcW w:w="2276" w:type="dxa"/>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2.00</w:t>
            </w:r>
          </w:p>
        </w:tc>
        <w:tc>
          <w:tcPr>
            <w:tcW w:w="2276" w:type="dxa"/>
            <w:gridSpan w:val="2"/>
            <w:shd w:val="clear" w:color="auto" w:fill="auto"/>
            <w:vAlign w:val="center"/>
          </w:tcPr>
          <w:p>
            <w:pPr>
              <w:jc w:val="center"/>
            </w:pPr>
            <w:r>
              <w:rPr>
                <w:b w:val="0"/>
                <w:i w:val="0"/>
                <w:color w:val="auto"/>
                <w:sz w:val="24"/>
              </w:rPr>
              <w:t>2.00</w:t>
            </w:r>
          </w:p>
        </w:tc>
        <w:tc>
          <w:tcPr>
            <w:tcW w:w="1138" w:type="dxa"/>
            <w:shd w:val="clear" w:color="auto" w:fill="auto"/>
            <w:vAlign w:val="center"/>
          </w:tcPr>
          <w:p>
            <w:pPr>
              <w:jc w:val="center"/>
            </w:pPr>
            <w:r>
              <w:rPr>
                <w:b w:val="0"/>
                <w:i w:val="0"/>
                <w:color w:val="auto"/>
                <w:sz w:val="24"/>
              </w:rPr>
              <w:t>1.17</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58.50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3</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≥50%</w:t>
            </w:r>
          </w:p>
        </w:tc>
        <w:tc>
          <w:tcPr>
            <w:tcW w:w="1138" w:type="dxa"/>
            <w:shd w:val="clear" w:color="auto" w:fill="auto"/>
            <w:vAlign w:val="center"/>
          </w:tcPr>
          <w:p>
            <w:r>
              <w:rPr>
                <w:b w:val="0"/>
                <w:i w:val="0"/>
                <w:color w:val="auto"/>
                <w:sz w:val="24"/>
              </w:rPr>
              <w:t>58.5</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90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2023年美育体育专项补助</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3.00</w:t>
            </w:r>
          </w:p>
        </w:tc>
        <w:tc>
          <w:tcPr>
            <w:tcW w:w="2276" w:type="dxa"/>
            <w:gridSpan w:val="2"/>
            <w:shd w:val="clear" w:color="auto" w:fill="auto"/>
            <w:vAlign w:val="center"/>
          </w:tcPr>
          <w:p>
            <w:pPr>
              <w:jc w:val="center"/>
            </w:pPr>
            <w:r>
              <w:rPr>
                <w:b w:val="0"/>
                <w:i w:val="0"/>
                <w:color w:val="auto"/>
                <w:sz w:val="24"/>
              </w:rPr>
              <w:t>3.00</w:t>
            </w:r>
          </w:p>
        </w:tc>
        <w:tc>
          <w:tcPr>
            <w:tcW w:w="1138" w:type="dxa"/>
            <w:shd w:val="clear" w:color="auto" w:fill="auto"/>
            <w:vAlign w:val="center"/>
          </w:tcPr>
          <w:p>
            <w:pPr>
              <w:jc w:val="center"/>
            </w:pPr>
            <w:r>
              <w:rPr>
                <w:b w:val="0"/>
                <w:i w:val="0"/>
                <w:color w:val="auto"/>
                <w:sz w:val="24"/>
              </w:rPr>
              <w:t>2.65</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88.33</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3.00</w:t>
            </w:r>
          </w:p>
        </w:tc>
        <w:tc>
          <w:tcPr>
            <w:tcW w:w="2276" w:type="dxa"/>
            <w:gridSpan w:val="2"/>
            <w:shd w:val="clear" w:color="auto" w:fill="auto"/>
            <w:vAlign w:val="center"/>
          </w:tcPr>
          <w:p>
            <w:pPr>
              <w:jc w:val="center"/>
            </w:pPr>
            <w:r>
              <w:rPr>
                <w:b w:val="0"/>
                <w:i w:val="0"/>
                <w:color w:val="auto"/>
                <w:sz w:val="24"/>
              </w:rPr>
              <w:t>3.00</w:t>
            </w:r>
          </w:p>
        </w:tc>
        <w:tc>
          <w:tcPr>
            <w:tcW w:w="1138" w:type="dxa"/>
            <w:shd w:val="clear" w:color="auto" w:fill="auto"/>
            <w:vAlign w:val="center"/>
          </w:tcPr>
          <w:p>
            <w:pPr>
              <w:jc w:val="center"/>
            </w:pPr>
            <w:r>
              <w:rPr>
                <w:b w:val="0"/>
                <w:i w:val="0"/>
                <w:color w:val="auto"/>
                <w:sz w:val="24"/>
              </w:rPr>
              <w:t>2.65</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88.33</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采购数量</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6</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采购装备合格率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≥50%</w:t>
            </w:r>
          </w:p>
        </w:tc>
        <w:tc>
          <w:tcPr>
            <w:tcW w:w="1138" w:type="dxa"/>
            <w:shd w:val="clear" w:color="auto" w:fill="auto"/>
            <w:vAlign w:val="center"/>
          </w:tcPr>
          <w:p>
            <w:r>
              <w:rPr>
                <w:b w:val="0"/>
                <w:i w:val="0"/>
                <w:color w:val="auto"/>
                <w:sz w:val="24"/>
              </w:rPr>
              <w:t>88.33</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2023年修缮及设备支出（教育费附加）</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493.66</w:t>
            </w:r>
          </w:p>
        </w:tc>
        <w:tc>
          <w:tcPr>
            <w:tcW w:w="2276" w:type="dxa"/>
            <w:gridSpan w:val="2"/>
            <w:shd w:val="clear" w:color="auto" w:fill="auto"/>
            <w:vAlign w:val="center"/>
          </w:tcPr>
          <w:p>
            <w:pPr>
              <w:jc w:val="center"/>
            </w:pPr>
            <w:r>
              <w:rPr>
                <w:b w:val="0"/>
                <w:i w:val="0"/>
                <w:color w:val="auto"/>
                <w:sz w:val="24"/>
              </w:rPr>
              <w:t>493.66</w:t>
            </w:r>
          </w:p>
        </w:tc>
        <w:tc>
          <w:tcPr>
            <w:tcW w:w="1138" w:type="dxa"/>
            <w:shd w:val="clear" w:color="auto" w:fill="auto"/>
            <w:vAlign w:val="center"/>
          </w:tcPr>
          <w:p>
            <w:pPr>
              <w:jc w:val="center"/>
            </w:pPr>
            <w:r>
              <w:rPr>
                <w:b w:val="0"/>
                <w:i w:val="0"/>
                <w:color w:val="auto"/>
                <w:sz w:val="24"/>
              </w:rPr>
              <w:t>169.93</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34.42</w:t>
            </w:r>
          </w:p>
        </w:tc>
        <w:tc>
          <w:tcPr>
            <w:tcW w:w="2276" w:type="dxa"/>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493.66</w:t>
            </w:r>
          </w:p>
        </w:tc>
        <w:tc>
          <w:tcPr>
            <w:tcW w:w="2276" w:type="dxa"/>
            <w:gridSpan w:val="2"/>
            <w:shd w:val="clear" w:color="auto" w:fill="auto"/>
            <w:vAlign w:val="center"/>
          </w:tcPr>
          <w:p>
            <w:pPr>
              <w:jc w:val="center"/>
            </w:pPr>
            <w:r>
              <w:rPr>
                <w:b w:val="0"/>
                <w:i w:val="0"/>
                <w:color w:val="auto"/>
                <w:sz w:val="24"/>
              </w:rPr>
              <w:t>493.66</w:t>
            </w:r>
          </w:p>
        </w:tc>
        <w:tc>
          <w:tcPr>
            <w:tcW w:w="1138" w:type="dxa"/>
            <w:shd w:val="clear" w:color="auto" w:fill="auto"/>
            <w:vAlign w:val="center"/>
          </w:tcPr>
          <w:p>
            <w:pPr>
              <w:jc w:val="center"/>
            </w:pPr>
            <w:r>
              <w:rPr>
                <w:b w:val="0"/>
                <w:i w:val="0"/>
                <w:color w:val="auto"/>
                <w:sz w:val="24"/>
              </w:rPr>
              <w:t>169.93</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34.42</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4</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34.42</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服务对象满意率</w:t>
            </w:r>
          </w:p>
        </w:tc>
        <w:tc>
          <w:tcPr>
            <w:tcW w:w="2276" w:type="dxa"/>
            <w:gridSpan w:val="2"/>
            <w:shd w:val="clear" w:color="auto" w:fill="auto"/>
            <w:vAlign w:val="center"/>
          </w:tcPr>
          <w:p>
            <w:r>
              <w:rPr>
                <w:b w:val="0"/>
                <w:i w:val="0"/>
                <w:color w:val="auto"/>
                <w:sz w:val="24"/>
              </w:rPr>
              <w:t>≥95分</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90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2024年修缮及设备支出（教育费附加）</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223.00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223.00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暂未完成经费开支计划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tc>
        <w:tc>
          <w:tcPr>
            <w:tcW w:w="2276" w:type="dxa"/>
            <w:shd w:val="clear" w:color="auto" w:fill="auto"/>
            <w:vAlign w:val="center"/>
          </w:tcPr>
          <w:p>
            <w:r>
              <w:rPr>
                <w:b w:val="0"/>
                <w:i w:val="0"/>
                <w:color w:val="auto"/>
                <w:sz w:val="24"/>
              </w:rPr>
              <w:t>经费开支紧张，暂未支付</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城乡义务教育生均公用经费（直达资金）</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20.00</w:t>
            </w:r>
          </w:p>
        </w:tc>
        <w:tc>
          <w:tcPr>
            <w:tcW w:w="1138" w:type="dxa"/>
            <w:shd w:val="clear" w:color="auto" w:fill="auto"/>
            <w:vAlign w:val="center"/>
          </w:tcPr>
          <w:p>
            <w:pPr>
              <w:jc w:val="center"/>
            </w:pPr>
            <w:r>
              <w:rPr>
                <w:b w:val="0"/>
                <w:i w:val="0"/>
                <w:color w:val="auto"/>
                <w:sz w:val="24"/>
              </w:rPr>
              <w:t>20.00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20.00</w:t>
            </w:r>
          </w:p>
        </w:tc>
        <w:tc>
          <w:tcPr>
            <w:tcW w:w="1138" w:type="dxa"/>
            <w:shd w:val="clear" w:color="auto" w:fill="auto"/>
            <w:vAlign w:val="center"/>
          </w:tcPr>
          <w:p>
            <w:pPr>
              <w:jc w:val="center"/>
            </w:pPr>
            <w:r>
              <w:rPr>
                <w:b w:val="0"/>
                <w:i w:val="0"/>
                <w:color w:val="auto"/>
                <w:sz w:val="24"/>
              </w:rPr>
              <w:t>20.00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完成年度单位各种日常办公和其他经费使用任务。</w:t>
            </w:r>
          </w:p>
        </w:tc>
        <w:tc>
          <w:tcPr>
            <w:tcW w:w="6828" w:type="dxa"/>
            <w:gridSpan w:val="5"/>
            <w:shd w:val="clear" w:color="auto" w:fill="auto"/>
          </w:tcPr>
          <w:p>
            <w:pPr>
              <w:jc w:val="left"/>
            </w:pPr>
            <w:r>
              <w:rPr>
                <w:b w:val="0"/>
                <w:i w:val="0"/>
                <w:color w:val="auto"/>
                <w:sz w:val="24"/>
              </w:rPr>
              <w:t>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涉及项目数</w:t>
            </w:r>
          </w:p>
        </w:tc>
        <w:tc>
          <w:tcPr>
            <w:tcW w:w="2276" w:type="dxa"/>
            <w:gridSpan w:val="2"/>
            <w:shd w:val="clear" w:color="auto" w:fill="auto"/>
            <w:vAlign w:val="center"/>
          </w:tcPr>
          <w:p>
            <w:r>
              <w:rPr>
                <w:b w:val="0"/>
                <w:i w:val="0"/>
                <w:color w:val="auto"/>
                <w:sz w:val="24"/>
              </w:rPr>
              <w:t>≥2数</w:t>
            </w:r>
          </w:p>
        </w:tc>
        <w:tc>
          <w:tcPr>
            <w:tcW w:w="1138" w:type="dxa"/>
            <w:shd w:val="clear" w:color="auto" w:fill="auto"/>
            <w:vAlign w:val="center"/>
          </w:tcPr>
          <w:p>
            <w:r>
              <w:rPr>
                <w:b w:val="0"/>
                <w:i w:val="0"/>
                <w:color w:val="auto"/>
                <w:sz w:val="24"/>
              </w:rPr>
              <w:t>19</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预决算偏离率</w:t>
            </w:r>
          </w:p>
        </w:tc>
        <w:tc>
          <w:tcPr>
            <w:tcW w:w="2276" w:type="dxa"/>
            <w:gridSpan w:val="2"/>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验收满意度</w:t>
            </w:r>
          </w:p>
        </w:tc>
        <w:tc>
          <w:tcPr>
            <w:tcW w:w="2276" w:type="dxa"/>
            <w:gridSpan w:val="2"/>
            <w:shd w:val="clear" w:color="auto" w:fill="auto"/>
            <w:vAlign w:val="center"/>
          </w:tcPr>
          <w:p>
            <w:r>
              <w:rPr>
                <w:b w:val="0"/>
                <w:i w:val="0"/>
                <w:color w:val="auto"/>
                <w:sz w:val="24"/>
              </w:rPr>
              <w:t>≥90百分比</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449"/>
        <w:gridCol w:w="1044"/>
        <w:gridCol w:w="1698"/>
        <w:gridCol w:w="1679"/>
        <w:gridCol w:w="721"/>
        <w:gridCol w:w="398"/>
        <w:gridCol w:w="1"/>
        <w:gridCol w:w="1117"/>
        <w:gridCol w:w="1"/>
        <w:gridCol w:w="1116"/>
        <w:gridCol w:w="1"/>
        <w:gridCol w:w="1"/>
        <w:gridCol w:w="939"/>
        <w:gridCol w:w="939"/>
        <w:gridCol w:w="254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5"/>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5"/>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2"/>
            <w:shd w:val="clear" w:color="auto" w:fill="auto"/>
            <w:vAlign w:val="center"/>
          </w:tcPr>
          <w:p>
            <w:pPr>
              <w:jc w:val="center"/>
            </w:pPr>
            <w:r>
              <w:rPr>
                <w:b w:val="0"/>
                <w:i w:val="0"/>
                <w:color w:val="auto"/>
                <w:sz w:val="24"/>
              </w:rPr>
              <w:t>高考考点双电源改造项目</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4"/>
            <w:shd w:val="clear" w:color="auto" w:fill="auto"/>
            <w:vAlign w:val="center"/>
          </w:tcPr>
          <w:p>
            <w:pPr>
              <w:jc w:val="center"/>
            </w:pPr>
            <w:r>
              <w:rPr>
                <w:b w:val="0"/>
                <w:i w:val="0"/>
                <w:color w:val="auto"/>
                <w:sz w:val="24"/>
              </w:rPr>
              <w:t>实施单位</w:t>
            </w:r>
          </w:p>
        </w:tc>
        <w:tc>
          <w:tcPr>
            <w:tcW w:w="4552" w:type="dxa"/>
            <w:gridSpan w:val="5"/>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gridSpan w:val="2"/>
            <w:shd w:val="clear" w:color="auto" w:fill="auto"/>
            <w:vAlign w:val="center"/>
          </w:tcPr>
          <w:p>
            <w:pPr>
              <w:jc w:val="center"/>
            </w:pPr>
            <w:r>
              <w:rPr>
                <w:b w:val="0"/>
                <w:i w:val="0"/>
                <w:color w:val="auto"/>
                <w:sz w:val="24"/>
              </w:rPr>
              <w:t>全年执行数</w:t>
            </w:r>
          </w:p>
        </w:tc>
        <w:tc>
          <w:tcPr>
            <w:tcW w:w="1138" w:type="dxa"/>
            <w:gridSpan w:val="2"/>
            <w:shd w:val="clear" w:color="auto" w:fill="auto"/>
            <w:vAlign w:val="center"/>
          </w:tcPr>
          <w:p>
            <w:pPr>
              <w:jc w:val="center"/>
            </w:pPr>
            <w:r>
              <w:rPr>
                <w:b w:val="0"/>
                <w:i w:val="0"/>
                <w:color w:val="auto"/>
                <w:sz w:val="24"/>
              </w:rPr>
              <w:t>分值</w:t>
            </w:r>
          </w:p>
        </w:tc>
        <w:tc>
          <w:tcPr>
            <w:tcW w:w="2276" w:type="dxa"/>
            <w:gridSpan w:val="4"/>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219.31</w:t>
            </w:r>
          </w:p>
        </w:tc>
        <w:tc>
          <w:tcPr>
            <w:tcW w:w="2276" w:type="dxa"/>
            <w:gridSpan w:val="2"/>
            <w:shd w:val="clear" w:color="auto" w:fill="auto"/>
            <w:vAlign w:val="center"/>
          </w:tcPr>
          <w:p>
            <w:pPr>
              <w:jc w:val="center"/>
            </w:pPr>
            <w:r>
              <w:rPr>
                <w:b w:val="0"/>
                <w:i w:val="0"/>
                <w:color w:val="auto"/>
                <w:sz w:val="24"/>
              </w:rPr>
              <w:t>219.31</w:t>
            </w:r>
          </w:p>
        </w:tc>
        <w:tc>
          <w:tcPr>
            <w:tcW w:w="1138" w:type="dxa"/>
            <w:gridSpan w:val="2"/>
            <w:shd w:val="clear" w:color="auto" w:fill="auto"/>
            <w:vAlign w:val="center"/>
          </w:tcPr>
          <w:p>
            <w:pPr>
              <w:jc w:val="center"/>
            </w:pPr>
            <w:r>
              <w:rPr>
                <w:b w:val="0"/>
                <w:i w:val="0"/>
                <w:color w:val="auto"/>
                <w:sz w:val="24"/>
              </w:rPr>
              <w:t>141.31</w:t>
            </w:r>
          </w:p>
        </w:tc>
        <w:tc>
          <w:tcPr>
            <w:tcW w:w="1138" w:type="dxa"/>
            <w:gridSpan w:val="2"/>
            <w:shd w:val="clear" w:color="auto" w:fill="auto"/>
            <w:vAlign w:val="center"/>
          </w:tcPr>
          <w:p>
            <w:pPr>
              <w:jc w:val="center"/>
            </w:pPr>
            <w:r>
              <w:rPr>
                <w:b w:val="0"/>
                <w:i w:val="0"/>
                <w:color w:val="auto"/>
                <w:sz w:val="24"/>
              </w:rPr>
              <w:t>10</w:t>
            </w:r>
          </w:p>
        </w:tc>
        <w:tc>
          <w:tcPr>
            <w:tcW w:w="2276" w:type="dxa"/>
            <w:gridSpan w:val="4"/>
            <w:shd w:val="clear" w:color="auto" w:fill="auto"/>
            <w:vAlign w:val="center"/>
          </w:tcPr>
          <w:p>
            <w:pPr>
              <w:jc w:val="center"/>
            </w:pPr>
            <w:r>
              <w:rPr>
                <w:b w:val="0"/>
                <w:i w:val="0"/>
                <w:color w:val="auto"/>
                <w:sz w:val="24"/>
              </w:rPr>
              <w:t>64.43</w:t>
            </w:r>
          </w:p>
        </w:tc>
        <w:tc>
          <w:tcPr>
            <w:tcW w:w="2276" w:type="dxa"/>
            <w:shd w:val="clear" w:color="auto" w:fill="auto"/>
            <w:vAlign w:val="center"/>
          </w:tcPr>
          <w:p>
            <w:pPr>
              <w:jc w:val="center"/>
            </w:pPr>
            <w:r>
              <w:rPr>
                <w:b w:val="0"/>
                <w:i w:val="0"/>
                <w:color w:val="auto"/>
                <w:sz w:val="24"/>
              </w:rPr>
              <w:t>5</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219.31</w:t>
            </w:r>
          </w:p>
        </w:tc>
        <w:tc>
          <w:tcPr>
            <w:tcW w:w="2276" w:type="dxa"/>
            <w:gridSpan w:val="2"/>
            <w:shd w:val="clear" w:color="auto" w:fill="auto"/>
            <w:vAlign w:val="center"/>
          </w:tcPr>
          <w:p>
            <w:pPr>
              <w:jc w:val="center"/>
            </w:pPr>
            <w:r>
              <w:rPr>
                <w:b w:val="0"/>
                <w:i w:val="0"/>
                <w:color w:val="auto"/>
                <w:sz w:val="24"/>
              </w:rPr>
              <w:t>219.31</w:t>
            </w:r>
          </w:p>
        </w:tc>
        <w:tc>
          <w:tcPr>
            <w:tcW w:w="1138" w:type="dxa"/>
            <w:gridSpan w:val="2"/>
            <w:shd w:val="clear" w:color="auto" w:fill="auto"/>
            <w:vAlign w:val="center"/>
          </w:tcPr>
          <w:p>
            <w:pPr>
              <w:jc w:val="center"/>
            </w:pPr>
            <w:r>
              <w:rPr>
                <w:b w:val="0"/>
                <w:i w:val="0"/>
                <w:color w:val="auto"/>
                <w:sz w:val="24"/>
              </w:rPr>
              <w:t>141.31</w:t>
            </w:r>
          </w:p>
        </w:tc>
        <w:tc>
          <w:tcPr>
            <w:tcW w:w="1138" w:type="dxa"/>
            <w:gridSpan w:val="2"/>
            <w:shd w:val="clear" w:color="auto" w:fill="auto"/>
            <w:vAlign w:val="center"/>
          </w:tcPr>
          <w:p>
            <w:pPr>
              <w:jc w:val="center"/>
            </w:pPr>
            <w:r>
              <w:rPr>
                <w:b w:val="0"/>
                <w:i w:val="0"/>
                <w:color w:val="auto"/>
                <w:sz w:val="22"/>
              </w:rPr>
              <w:t>—</w:t>
            </w:r>
          </w:p>
        </w:tc>
        <w:tc>
          <w:tcPr>
            <w:tcW w:w="2276" w:type="dxa"/>
            <w:gridSpan w:val="4"/>
            <w:shd w:val="clear" w:color="auto" w:fill="auto"/>
            <w:vAlign w:val="center"/>
          </w:tcPr>
          <w:p>
            <w:pPr>
              <w:jc w:val="center"/>
            </w:pPr>
            <w:r>
              <w:rPr>
                <w:b w:val="0"/>
                <w:i w:val="0"/>
                <w:color w:val="auto"/>
                <w:sz w:val="24"/>
              </w:rPr>
              <w:t>64.43</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gridSpan w:val="2"/>
            <w:shd w:val="clear" w:color="auto" w:fill="auto"/>
            <w:vAlign w:val="center"/>
          </w:tcPr>
          <w:p>
            <w:pPr>
              <w:jc w:val="center"/>
            </w:pPr>
            <w:r>
              <w:rPr>
                <w:b w:val="0"/>
                <w:i w:val="0"/>
                <w:color w:val="auto"/>
                <w:sz w:val="24"/>
              </w:rPr>
              <w:t>0.00</w:t>
            </w:r>
          </w:p>
        </w:tc>
        <w:tc>
          <w:tcPr>
            <w:tcW w:w="1138" w:type="dxa"/>
            <w:gridSpan w:val="2"/>
            <w:shd w:val="clear" w:color="auto" w:fill="auto"/>
            <w:vAlign w:val="center"/>
          </w:tcPr>
          <w:p>
            <w:pPr>
              <w:jc w:val="center"/>
            </w:pPr>
            <w:r>
              <w:rPr>
                <w:b w:val="0"/>
                <w:i w:val="0"/>
                <w:color w:val="auto"/>
                <w:sz w:val="24"/>
              </w:rPr>
              <w:t>—</w:t>
            </w:r>
          </w:p>
        </w:tc>
        <w:tc>
          <w:tcPr>
            <w:tcW w:w="2276" w:type="dxa"/>
            <w:gridSpan w:val="4"/>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9"/>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完成年度单位各种日常办公和其他经费使用任务。</w:t>
            </w:r>
          </w:p>
        </w:tc>
        <w:tc>
          <w:tcPr>
            <w:tcW w:w="6828" w:type="dxa"/>
            <w:gridSpan w:val="9"/>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3"/>
            <w:shd w:val="clear" w:color="auto" w:fill="auto"/>
            <w:vAlign w:val="center"/>
          </w:tcPr>
          <w:p>
            <w:pPr>
              <w:jc w:val="center"/>
            </w:pPr>
            <w:r>
              <w:rPr>
                <w:b w:val="0"/>
                <w:i w:val="0"/>
                <w:color w:val="auto"/>
                <w:sz w:val="24"/>
              </w:rPr>
              <w:t>年度指标值</w:t>
            </w:r>
          </w:p>
        </w:tc>
        <w:tc>
          <w:tcPr>
            <w:tcW w:w="1138" w:type="dxa"/>
            <w:gridSpan w:val="2"/>
            <w:shd w:val="clear" w:color="auto" w:fill="auto"/>
            <w:vAlign w:val="center"/>
          </w:tcPr>
          <w:p>
            <w:r>
              <w:rPr>
                <w:b w:val="0"/>
                <w:i w:val="0"/>
                <w:color w:val="auto"/>
                <w:sz w:val="24"/>
              </w:rPr>
              <w:t>实际完成值</w:t>
            </w:r>
          </w:p>
        </w:tc>
        <w:tc>
          <w:tcPr>
            <w:tcW w:w="1138" w:type="dxa"/>
            <w:gridSpan w:val="3"/>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建设工程质量合格率</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项目建设合格率</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支付（结算）及时性</w:t>
            </w:r>
          </w:p>
        </w:tc>
        <w:tc>
          <w:tcPr>
            <w:tcW w:w="2276" w:type="dxa"/>
            <w:gridSpan w:val="3"/>
            <w:shd w:val="clear" w:color="auto" w:fill="auto"/>
            <w:vAlign w:val="center"/>
          </w:tcPr>
          <w:p>
            <w:r>
              <w:rPr>
                <w:b w:val="0"/>
                <w:i w:val="0"/>
                <w:color w:val="auto"/>
                <w:sz w:val="24"/>
              </w:rPr>
              <w:t>≥80%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预决算偏离率</w:t>
            </w:r>
          </w:p>
        </w:tc>
        <w:tc>
          <w:tcPr>
            <w:tcW w:w="2276" w:type="dxa"/>
            <w:gridSpan w:val="3"/>
            <w:shd w:val="clear" w:color="auto" w:fill="auto"/>
            <w:vAlign w:val="center"/>
          </w:tcPr>
          <w:p>
            <w:r>
              <w:rPr>
                <w:b w:val="0"/>
                <w:i w:val="0"/>
                <w:color w:val="auto"/>
                <w:sz w:val="24"/>
              </w:rPr>
              <w:t>≤20%</w:t>
            </w:r>
          </w:p>
        </w:tc>
        <w:tc>
          <w:tcPr>
            <w:tcW w:w="1138" w:type="dxa"/>
            <w:gridSpan w:val="2"/>
            <w:shd w:val="clear" w:color="auto" w:fill="auto"/>
            <w:vAlign w:val="center"/>
          </w:tcPr>
          <w:p>
            <w:r>
              <w:rPr>
                <w:b w:val="0"/>
                <w:i w:val="0"/>
                <w:color w:val="auto"/>
                <w:sz w:val="24"/>
              </w:rPr>
              <w:t>35.57</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0</w:t>
            </w:r>
          </w:p>
        </w:tc>
        <w:tc>
          <w:tcPr>
            <w:tcW w:w="2276" w:type="dxa"/>
            <w:shd w:val="clear" w:color="auto" w:fill="auto"/>
            <w:vAlign w:val="center"/>
          </w:tcPr>
          <w:p>
            <w:r>
              <w:rPr>
                <w:b w:val="0"/>
                <w:i w:val="0"/>
                <w:color w:val="auto"/>
                <w:sz w:val="24"/>
              </w:rPr>
              <w:t>经费开支紧张，暂未完全支出</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3"/>
            <w:shd w:val="clear" w:color="auto" w:fill="auto"/>
            <w:vAlign w:val="center"/>
          </w:tcPr>
          <w:p>
            <w:r>
              <w:rPr>
                <w:b w:val="0"/>
                <w:i w:val="0"/>
                <w:color w:val="auto"/>
                <w:sz w:val="24"/>
              </w:rPr>
              <w:t>≥95%</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3"/>
            <w:shd w:val="clear" w:color="auto" w:fill="auto"/>
            <w:vAlign w:val="center"/>
          </w:tcPr>
          <w:p>
            <w:r>
              <w:rPr>
                <w:b w:val="0"/>
                <w:i w:val="0"/>
                <w:color w:val="auto"/>
                <w:sz w:val="24"/>
              </w:rPr>
              <w:t>≤1项</w:t>
            </w:r>
          </w:p>
        </w:tc>
        <w:tc>
          <w:tcPr>
            <w:tcW w:w="1138" w:type="dxa"/>
            <w:gridSpan w:val="2"/>
            <w:shd w:val="clear" w:color="auto" w:fill="auto"/>
            <w:vAlign w:val="center"/>
          </w:tcPr>
          <w:p>
            <w:r>
              <w:rPr>
                <w:b w:val="0"/>
                <w:i w:val="0"/>
                <w:color w:val="auto"/>
                <w:sz w:val="24"/>
              </w:rPr>
              <w:t>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受益对象满意率</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10"/>
            <w:shd w:val="clear" w:color="auto" w:fill="auto"/>
            <w:vAlign w:val="center"/>
          </w:tcPr>
          <w:p>
            <w:pPr>
              <w:jc w:val="center"/>
            </w:pPr>
            <w:r>
              <w:rPr>
                <w:b w:val="0"/>
                <w:i w:val="0"/>
                <w:color w:val="auto"/>
                <w:sz w:val="24"/>
              </w:rPr>
              <w:t>总分</w:t>
            </w:r>
          </w:p>
        </w:tc>
        <w:tc>
          <w:tcPr>
            <w:tcW w:w="4552" w:type="dxa"/>
            <w:gridSpan w:val="5"/>
            <w:shd w:val="clear" w:color="auto" w:fill="auto"/>
            <w:vAlign w:val="center"/>
          </w:tcPr>
          <w:p>
            <w:pPr>
              <w:jc w:val="center"/>
            </w:pPr>
            <w:r>
              <w:rPr>
                <w:b w:val="0"/>
                <w:i w:val="0"/>
                <w:color w:val="auto"/>
                <w:sz w:val="24"/>
              </w:rPr>
              <w:t>85</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各校保安专项经费（含校方责任险）</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38.28</w:t>
            </w:r>
          </w:p>
        </w:tc>
        <w:tc>
          <w:tcPr>
            <w:tcW w:w="1138" w:type="dxa"/>
            <w:shd w:val="clear" w:color="auto" w:fill="auto"/>
            <w:vAlign w:val="center"/>
          </w:tcPr>
          <w:p>
            <w:pPr>
              <w:jc w:val="center"/>
            </w:pPr>
            <w:r>
              <w:rPr>
                <w:b w:val="0"/>
                <w:i w:val="0"/>
                <w:color w:val="auto"/>
                <w:sz w:val="24"/>
              </w:rPr>
              <w:t>38.20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99.79</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38.28</w:t>
            </w:r>
          </w:p>
        </w:tc>
        <w:tc>
          <w:tcPr>
            <w:tcW w:w="1138" w:type="dxa"/>
            <w:shd w:val="clear" w:color="auto" w:fill="auto"/>
            <w:vAlign w:val="center"/>
          </w:tcPr>
          <w:p>
            <w:pPr>
              <w:jc w:val="center"/>
            </w:pPr>
            <w:r>
              <w:rPr>
                <w:b w:val="0"/>
                <w:i w:val="0"/>
                <w:color w:val="auto"/>
                <w:sz w:val="24"/>
              </w:rPr>
              <w:t>38.20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99.79</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≥5次</w:t>
            </w:r>
          </w:p>
        </w:tc>
        <w:tc>
          <w:tcPr>
            <w:tcW w:w="1138" w:type="dxa"/>
            <w:shd w:val="clear" w:color="auto" w:fill="auto"/>
            <w:vAlign w:val="center"/>
          </w:tcPr>
          <w:p>
            <w:r>
              <w:rPr>
                <w:b w:val="0"/>
                <w:i w:val="0"/>
                <w:color w:val="auto"/>
                <w:sz w:val="24"/>
              </w:rPr>
              <w:t>11</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≥70%</w:t>
            </w:r>
          </w:p>
        </w:tc>
        <w:tc>
          <w:tcPr>
            <w:tcW w:w="1138" w:type="dxa"/>
            <w:shd w:val="clear" w:color="auto" w:fill="auto"/>
            <w:vAlign w:val="center"/>
          </w:tcPr>
          <w:p>
            <w:r>
              <w:rPr>
                <w:b w:val="0"/>
                <w:i w:val="0"/>
                <w:color w:val="auto"/>
                <w:sz w:val="24"/>
              </w:rPr>
              <w:t>99.79</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435"/>
        <w:gridCol w:w="1034"/>
        <w:gridCol w:w="1682"/>
        <w:gridCol w:w="2144"/>
        <w:gridCol w:w="715"/>
        <w:gridCol w:w="394"/>
        <w:gridCol w:w="1108"/>
        <w:gridCol w:w="1107"/>
        <w:gridCol w:w="1"/>
        <w:gridCol w:w="931"/>
        <w:gridCol w:w="930"/>
        <w:gridCol w:w="1"/>
        <w:gridCol w:w="2168"/>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3"/>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3"/>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0"/>
            <w:shd w:val="clear" w:color="auto" w:fill="auto"/>
            <w:vAlign w:val="center"/>
          </w:tcPr>
          <w:p>
            <w:pPr>
              <w:jc w:val="center"/>
            </w:pPr>
            <w:r>
              <w:rPr>
                <w:b w:val="0"/>
                <w:i w:val="0"/>
                <w:color w:val="auto"/>
                <w:sz w:val="24"/>
              </w:rPr>
              <w:t>教育活动专项经费（体音美、船少）</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5"/>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3"/>
            <w:shd w:val="clear" w:color="auto" w:fill="auto"/>
            <w:vAlign w:val="center"/>
          </w:tcPr>
          <w:p>
            <w:pPr>
              <w:jc w:val="center"/>
            </w:pPr>
            <w:r>
              <w:rPr>
                <w:b w:val="0"/>
                <w:i w:val="0"/>
                <w:color w:val="auto"/>
                <w:sz w:val="24"/>
              </w:rPr>
              <w:t>执行率</w:t>
            </w:r>
          </w:p>
        </w:tc>
        <w:tc>
          <w:tcPr>
            <w:tcW w:w="2276" w:type="dxa"/>
            <w:gridSpan w:val="2"/>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10</w:t>
            </w:r>
          </w:p>
        </w:tc>
        <w:tc>
          <w:tcPr>
            <w:tcW w:w="2276" w:type="dxa"/>
            <w:gridSpan w:val="3"/>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13.30</w:t>
            </w:r>
          </w:p>
        </w:tc>
        <w:tc>
          <w:tcPr>
            <w:tcW w:w="1138" w:type="dxa"/>
            <w:shd w:val="clear" w:color="auto" w:fill="auto"/>
            <w:vAlign w:val="center"/>
          </w:tcPr>
          <w:p>
            <w:pPr>
              <w:jc w:val="center"/>
            </w:pPr>
            <w:r>
              <w:rPr>
                <w:b w:val="0"/>
                <w:i w:val="0"/>
                <w:color w:val="auto"/>
                <w:sz w:val="24"/>
              </w:rPr>
              <w:t>13.30</w:t>
            </w:r>
          </w:p>
        </w:tc>
        <w:tc>
          <w:tcPr>
            <w:tcW w:w="1138" w:type="dxa"/>
            <w:shd w:val="clear" w:color="auto" w:fill="auto"/>
            <w:vAlign w:val="center"/>
          </w:tcPr>
          <w:p>
            <w:pPr>
              <w:jc w:val="center"/>
            </w:pPr>
            <w:r>
              <w:rPr>
                <w:b w:val="0"/>
                <w:i w:val="0"/>
                <w:color w:val="auto"/>
                <w:sz w:val="22"/>
              </w:rPr>
              <w:t>—</w:t>
            </w:r>
          </w:p>
        </w:tc>
        <w:tc>
          <w:tcPr>
            <w:tcW w:w="2276" w:type="dxa"/>
            <w:gridSpan w:val="3"/>
            <w:shd w:val="clear" w:color="auto" w:fill="auto"/>
            <w:vAlign w:val="center"/>
          </w:tcPr>
          <w:p>
            <w:pPr>
              <w:jc w:val="center"/>
            </w:pPr>
            <w:r>
              <w:rPr>
                <w:b w:val="0"/>
                <w:i w:val="0"/>
                <w:color w:val="auto"/>
                <w:sz w:val="24"/>
              </w:rPr>
              <w:t>100.00</w:t>
            </w:r>
          </w:p>
        </w:tc>
        <w:tc>
          <w:tcPr>
            <w:tcW w:w="2276" w:type="dxa"/>
            <w:gridSpan w:val="2"/>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3"/>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7"/>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7"/>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gridSpan w:val="2"/>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gridSpan w:val="2"/>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涉及教练数</w:t>
            </w:r>
          </w:p>
        </w:tc>
        <w:tc>
          <w:tcPr>
            <w:tcW w:w="2276" w:type="dxa"/>
            <w:gridSpan w:val="2"/>
            <w:shd w:val="clear" w:color="auto" w:fill="auto"/>
            <w:vAlign w:val="center"/>
          </w:tcPr>
          <w:p>
            <w:r>
              <w:rPr>
                <w:b w:val="0"/>
                <w:i w:val="0"/>
                <w:color w:val="auto"/>
                <w:sz w:val="24"/>
              </w:rPr>
              <w:t>≥3人</w:t>
            </w:r>
          </w:p>
        </w:tc>
        <w:tc>
          <w:tcPr>
            <w:tcW w:w="1138" w:type="dxa"/>
            <w:shd w:val="clear" w:color="auto" w:fill="auto"/>
            <w:vAlign w:val="center"/>
          </w:tcPr>
          <w:p>
            <w:r>
              <w:rPr>
                <w:b w:val="0"/>
                <w:i w:val="0"/>
                <w:color w:val="auto"/>
                <w:sz w:val="24"/>
              </w:rPr>
              <w:t>3</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器材、装备验收合格率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资金发放及时率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外聘专业教练津贴发放标准</w:t>
            </w:r>
          </w:p>
        </w:tc>
        <w:tc>
          <w:tcPr>
            <w:tcW w:w="2276" w:type="dxa"/>
            <w:gridSpan w:val="2"/>
            <w:shd w:val="clear" w:color="auto" w:fill="auto"/>
            <w:vAlign w:val="center"/>
          </w:tcPr>
          <w:p>
            <w:r>
              <w:rPr>
                <w:b w:val="0"/>
                <w:i w:val="0"/>
                <w:color w:val="auto"/>
                <w:sz w:val="24"/>
              </w:rPr>
              <w:t>≥3000元</w:t>
            </w:r>
          </w:p>
        </w:tc>
        <w:tc>
          <w:tcPr>
            <w:tcW w:w="1138" w:type="dxa"/>
            <w:shd w:val="clear" w:color="auto" w:fill="auto"/>
            <w:vAlign w:val="center"/>
          </w:tcPr>
          <w:p>
            <w:r>
              <w:rPr>
                <w:b w:val="0"/>
                <w:i w:val="0"/>
                <w:color w:val="auto"/>
                <w:sz w:val="24"/>
              </w:rPr>
              <w:t>3000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社会效益指标</w:t>
            </w:r>
          </w:p>
        </w:tc>
        <w:tc>
          <w:tcPr>
            <w:tcW w:w="2276" w:type="dxa"/>
            <w:gridSpan w:val="2"/>
            <w:shd w:val="clear" w:color="auto" w:fill="auto"/>
            <w:vAlign w:val="center"/>
          </w:tcPr>
          <w:p>
            <w:r>
              <w:rPr>
                <w:b w:val="0"/>
                <w:i w:val="0"/>
                <w:color w:val="auto"/>
                <w:sz w:val="22"/>
              </w:rPr>
              <w:t>参加赛事、活动数</w:t>
            </w:r>
          </w:p>
        </w:tc>
        <w:tc>
          <w:tcPr>
            <w:tcW w:w="2276" w:type="dxa"/>
            <w:gridSpan w:val="2"/>
            <w:shd w:val="clear" w:color="auto" w:fill="auto"/>
            <w:vAlign w:val="center"/>
          </w:tcPr>
          <w:p>
            <w:r>
              <w:rPr>
                <w:b w:val="0"/>
                <w:i w:val="0"/>
                <w:color w:val="auto"/>
                <w:sz w:val="24"/>
              </w:rPr>
              <w:t>≥2次</w:t>
            </w:r>
          </w:p>
        </w:tc>
        <w:tc>
          <w:tcPr>
            <w:tcW w:w="1138" w:type="dxa"/>
            <w:shd w:val="clear" w:color="auto" w:fill="auto"/>
            <w:vAlign w:val="center"/>
          </w:tcPr>
          <w:p>
            <w:r>
              <w:rPr>
                <w:b w:val="0"/>
                <w:i w:val="0"/>
                <w:color w:val="auto"/>
                <w:sz w:val="24"/>
              </w:rPr>
              <w:t>2</w:t>
            </w:r>
          </w:p>
        </w:tc>
        <w:tc>
          <w:tcPr>
            <w:tcW w:w="1138" w:type="dxa"/>
            <w:gridSpan w:val="2"/>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参与师生满意率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5"/>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教育人才专项经费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15.00</w:t>
            </w:r>
          </w:p>
        </w:tc>
        <w:tc>
          <w:tcPr>
            <w:tcW w:w="1138" w:type="dxa"/>
            <w:shd w:val="clear" w:color="auto" w:fill="auto"/>
            <w:vAlign w:val="center"/>
          </w:tcPr>
          <w:p>
            <w:pPr>
              <w:jc w:val="center"/>
            </w:pPr>
            <w:r>
              <w:rPr>
                <w:b w:val="0"/>
                <w:i w:val="0"/>
                <w:color w:val="auto"/>
                <w:sz w:val="24"/>
              </w:rPr>
              <w:t>15.00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15.00</w:t>
            </w:r>
          </w:p>
        </w:tc>
        <w:tc>
          <w:tcPr>
            <w:tcW w:w="1138" w:type="dxa"/>
            <w:shd w:val="clear" w:color="auto" w:fill="auto"/>
            <w:vAlign w:val="center"/>
          </w:tcPr>
          <w:p>
            <w:pPr>
              <w:jc w:val="center"/>
            </w:pPr>
            <w:r>
              <w:rPr>
                <w:b w:val="0"/>
                <w:i w:val="0"/>
                <w:color w:val="auto"/>
                <w:sz w:val="24"/>
              </w:rPr>
              <w:t>15.00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1</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经费发放及时率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06"/>
        <w:gridCol w:w="1085"/>
        <w:gridCol w:w="1765"/>
        <w:gridCol w:w="1578"/>
        <w:gridCol w:w="749"/>
        <w:gridCol w:w="414"/>
        <w:gridCol w:w="1162"/>
        <w:gridCol w:w="1"/>
        <w:gridCol w:w="1161"/>
        <w:gridCol w:w="1"/>
        <w:gridCol w:w="977"/>
        <w:gridCol w:w="975"/>
        <w:gridCol w:w="2"/>
        <w:gridCol w:w="2274"/>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4"/>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4"/>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1"/>
            <w:shd w:val="clear" w:color="auto" w:fill="auto"/>
            <w:vAlign w:val="center"/>
          </w:tcPr>
          <w:p>
            <w:pPr>
              <w:jc w:val="center"/>
            </w:pPr>
            <w:r>
              <w:rPr>
                <w:b w:val="0"/>
                <w:i w:val="0"/>
                <w:color w:val="auto"/>
                <w:sz w:val="24"/>
              </w:rPr>
              <w:t>课后服务项目（含高三毕业班）</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3"/>
            <w:shd w:val="clear" w:color="auto" w:fill="auto"/>
            <w:vAlign w:val="center"/>
          </w:tcPr>
          <w:p>
            <w:pPr>
              <w:jc w:val="center"/>
            </w:pPr>
            <w:r>
              <w:rPr>
                <w:b w:val="0"/>
                <w:i w:val="0"/>
                <w:color w:val="auto"/>
                <w:sz w:val="24"/>
              </w:rPr>
              <w:t>实施单位</w:t>
            </w:r>
          </w:p>
        </w:tc>
        <w:tc>
          <w:tcPr>
            <w:tcW w:w="4552" w:type="dxa"/>
            <w:gridSpan w:val="5"/>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gridSpan w:val="2"/>
            <w:shd w:val="clear" w:color="auto" w:fill="auto"/>
            <w:vAlign w:val="center"/>
          </w:tcPr>
          <w:p>
            <w:pPr>
              <w:jc w:val="center"/>
            </w:pPr>
            <w:r>
              <w:rPr>
                <w:b w:val="0"/>
                <w:i w:val="0"/>
                <w:color w:val="auto"/>
                <w:sz w:val="24"/>
              </w:rPr>
              <w:t>分值</w:t>
            </w:r>
          </w:p>
        </w:tc>
        <w:tc>
          <w:tcPr>
            <w:tcW w:w="2276" w:type="dxa"/>
            <w:gridSpan w:val="3"/>
            <w:shd w:val="clear" w:color="auto" w:fill="auto"/>
            <w:vAlign w:val="center"/>
          </w:tcPr>
          <w:p>
            <w:pPr>
              <w:jc w:val="center"/>
            </w:pPr>
            <w:r>
              <w:rPr>
                <w:b w:val="0"/>
                <w:i w:val="0"/>
                <w:color w:val="auto"/>
                <w:sz w:val="24"/>
              </w:rPr>
              <w:t>执行率</w:t>
            </w:r>
          </w:p>
        </w:tc>
        <w:tc>
          <w:tcPr>
            <w:tcW w:w="2276" w:type="dxa"/>
            <w:gridSpan w:val="2"/>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201.77</w:t>
            </w:r>
          </w:p>
        </w:tc>
        <w:tc>
          <w:tcPr>
            <w:tcW w:w="1138" w:type="dxa"/>
            <w:shd w:val="clear" w:color="auto" w:fill="auto"/>
            <w:vAlign w:val="center"/>
          </w:tcPr>
          <w:p>
            <w:pPr>
              <w:jc w:val="center"/>
            </w:pPr>
            <w:r>
              <w:rPr>
                <w:b w:val="0"/>
                <w:i w:val="0"/>
                <w:color w:val="auto"/>
                <w:sz w:val="24"/>
              </w:rPr>
              <w:t>98.77</w:t>
            </w:r>
          </w:p>
        </w:tc>
        <w:tc>
          <w:tcPr>
            <w:tcW w:w="1138" w:type="dxa"/>
            <w:gridSpan w:val="2"/>
            <w:shd w:val="clear" w:color="auto" w:fill="auto"/>
            <w:vAlign w:val="center"/>
          </w:tcPr>
          <w:p>
            <w:pPr>
              <w:jc w:val="center"/>
            </w:pPr>
            <w:r>
              <w:rPr>
                <w:b w:val="0"/>
                <w:i w:val="0"/>
                <w:color w:val="auto"/>
                <w:sz w:val="24"/>
              </w:rPr>
              <w:t>10</w:t>
            </w:r>
          </w:p>
        </w:tc>
        <w:tc>
          <w:tcPr>
            <w:tcW w:w="2276" w:type="dxa"/>
            <w:gridSpan w:val="3"/>
            <w:shd w:val="clear" w:color="auto" w:fill="auto"/>
            <w:vAlign w:val="center"/>
          </w:tcPr>
          <w:p>
            <w:pPr>
              <w:jc w:val="center"/>
            </w:pPr>
            <w:r>
              <w:rPr>
                <w:b w:val="0"/>
                <w:i w:val="0"/>
                <w:color w:val="auto"/>
                <w:sz w:val="24"/>
              </w:rPr>
              <w:t>48.95</w:t>
            </w:r>
          </w:p>
        </w:tc>
        <w:tc>
          <w:tcPr>
            <w:tcW w:w="2276" w:type="dxa"/>
            <w:gridSpan w:val="2"/>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201.77</w:t>
            </w:r>
          </w:p>
        </w:tc>
        <w:tc>
          <w:tcPr>
            <w:tcW w:w="1138" w:type="dxa"/>
            <w:shd w:val="clear" w:color="auto" w:fill="auto"/>
            <w:vAlign w:val="center"/>
          </w:tcPr>
          <w:p>
            <w:pPr>
              <w:jc w:val="center"/>
            </w:pPr>
            <w:r>
              <w:rPr>
                <w:b w:val="0"/>
                <w:i w:val="0"/>
                <w:color w:val="auto"/>
                <w:sz w:val="24"/>
              </w:rPr>
              <w:t>98.77</w:t>
            </w:r>
          </w:p>
        </w:tc>
        <w:tc>
          <w:tcPr>
            <w:tcW w:w="1138" w:type="dxa"/>
            <w:gridSpan w:val="2"/>
            <w:shd w:val="clear" w:color="auto" w:fill="auto"/>
            <w:vAlign w:val="center"/>
          </w:tcPr>
          <w:p>
            <w:pPr>
              <w:jc w:val="center"/>
            </w:pPr>
            <w:r>
              <w:rPr>
                <w:b w:val="0"/>
                <w:i w:val="0"/>
                <w:color w:val="auto"/>
                <w:sz w:val="22"/>
              </w:rPr>
              <w:t>—</w:t>
            </w:r>
          </w:p>
        </w:tc>
        <w:tc>
          <w:tcPr>
            <w:tcW w:w="2276" w:type="dxa"/>
            <w:gridSpan w:val="3"/>
            <w:shd w:val="clear" w:color="auto" w:fill="auto"/>
            <w:vAlign w:val="center"/>
          </w:tcPr>
          <w:p>
            <w:pPr>
              <w:jc w:val="center"/>
            </w:pPr>
            <w:r>
              <w:rPr>
                <w:b w:val="0"/>
                <w:i w:val="0"/>
                <w:color w:val="auto"/>
                <w:sz w:val="24"/>
              </w:rPr>
              <w:t>48.95</w:t>
            </w:r>
          </w:p>
        </w:tc>
        <w:tc>
          <w:tcPr>
            <w:tcW w:w="2276" w:type="dxa"/>
            <w:gridSpan w:val="2"/>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gridSpan w:val="2"/>
            <w:shd w:val="clear" w:color="auto" w:fill="auto"/>
            <w:vAlign w:val="center"/>
          </w:tcPr>
          <w:p>
            <w:pPr>
              <w:jc w:val="center"/>
            </w:pPr>
            <w:r>
              <w:rPr>
                <w:b w:val="0"/>
                <w:i w:val="0"/>
                <w:color w:val="auto"/>
                <w:sz w:val="24"/>
              </w:rPr>
              <w:t>—</w:t>
            </w:r>
          </w:p>
        </w:tc>
        <w:tc>
          <w:tcPr>
            <w:tcW w:w="2276" w:type="dxa"/>
            <w:gridSpan w:val="3"/>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8"/>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8"/>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gridSpan w:val="2"/>
            <w:shd w:val="clear" w:color="auto" w:fill="auto"/>
            <w:vAlign w:val="center"/>
          </w:tcPr>
          <w:p>
            <w:r>
              <w:rPr>
                <w:b w:val="0"/>
                <w:i w:val="0"/>
                <w:color w:val="auto"/>
                <w:sz w:val="24"/>
              </w:rPr>
              <w:t>实际完成值</w:t>
            </w:r>
          </w:p>
        </w:tc>
        <w:tc>
          <w:tcPr>
            <w:tcW w:w="1138" w:type="dxa"/>
            <w:gridSpan w:val="2"/>
            <w:shd w:val="clear" w:color="auto" w:fill="auto"/>
            <w:vAlign w:val="center"/>
          </w:tcPr>
          <w:p>
            <w:r>
              <w:rPr>
                <w:b w:val="0"/>
                <w:i w:val="0"/>
                <w:color w:val="auto"/>
                <w:sz w:val="24"/>
              </w:rPr>
              <w:t>指标分值</w:t>
            </w:r>
          </w:p>
        </w:tc>
        <w:tc>
          <w:tcPr>
            <w:tcW w:w="1138" w:type="dxa"/>
            <w:gridSpan w:val="2"/>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gridSpan w:val="2"/>
            <w:shd w:val="clear" w:color="auto" w:fill="auto"/>
            <w:vAlign w:val="center"/>
          </w:tcPr>
          <w:p>
            <w:r>
              <w:rPr>
                <w:b w:val="0"/>
                <w:i w:val="0"/>
                <w:color w:val="auto"/>
                <w:sz w:val="24"/>
              </w:rPr>
              <w:t>6</w:t>
            </w:r>
          </w:p>
        </w:tc>
        <w:tc>
          <w:tcPr>
            <w:tcW w:w="1138" w:type="dxa"/>
            <w:gridSpan w:val="2"/>
            <w:shd w:val="clear" w:color="auto" w:fill="auto"/>
            <w:vAlign w:val="center"/>
          </w:tcPr>
          <w:p>
            <w:r>
              <w:rPr>
                <w:b w:val="0"/>
                <w:i w:val="0"/>
                <w:color w:val="auto"/>
                <w:sz w:val="24"/>
              </w:rPr>
              <w:t>15</w:t>
            </w:r>
          </w:p>
        </w:tc>
        <w:tc>
          <w:tcPr>
            <w:tcW w:w="1138" w:type="dxa"/>
            <w:gridSpan w:val="2"/>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课后服务被投诉率</w:t>
            </w:r>
          </w:p>
        </w:tc>
        <w:tc>
          <w:tcPr>
            <w:tcW w:w="2276" w:type="dxa"/>
            <w:gridSpan w:val="2"/>
            <w:shd w:val="clear" w:color="auto" w:fill="auto"/>
            <w:vAlign w:val="center"/>
          </w:tcPr>
          <w:p>
            <w:r>
              <w:rPr>
                <w:b w:val="0"/>
                <w:i w:val="0"/>
                <w:color w:val="auto"/>
                <w:sz w:val="24"/>
              </w:rPr>
              <w:t>≤10%</w:t>
            </w:r>
          </w:p>
        </w:tc>
        <w:tc>
          <w:tcPr>
            <w:tcW w:w="1138" w:type="dxa"/>
            <w:gridSpan w:val="2"/>
            <w:shd w:val="clear" w:color="auto" w:fill="auto"/>
            <w:vAlign w:val="center"/>
          </w:tcPr>
          <w:p>
            <w:r>
              <w:rPr>
                <w:b w:val="0"/>
                <w:i w:val="0"/>
                <w:color w:val="auto"/>
                <w:sz w:val="24"/>
              </w:rPr>
              <w:t>0</w:t>
            </w:r>
          </w:p>
        </w:tc>
        <w:tc>
          <w:tcPr>
            <w:tcW w:w="1138" w:type="dxa"/>
            <w:gridSpan w:val="2"/>
            <w:shd w:val="clear" w:color="auto" w:fill="auto"/>
            <w:vAlign w:val="center"/>
          </w:tcPr>
          <w:p>
            <w:r>
              <w:rPr>
                <w:b w:val="0"/>
                <w:i w:val="0"/>
                <w:color w:val="auto"/>
                <w:sz w:val="24"/>
              </w:rPr>
              <w:t>10</w:t>
            </w:r>
          </w:p>
        </w:tc>
        <w:tc>
          <w:tcPr>
            <w:tcW w:w="1138" w:type="dxa"/>
            <w:gridSpan w:val="2"/>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15</w:t>
            </w:r>
          </w:p>
        </w:tc>
        <w:tc>
          <w:tcPr>
            <w:tcW w:w="1138" w:type="dxa"/>
            <w:gridSpan w:val="2"/>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48.95</w:t>
            </w:r>
          </w:p>
        </w:tc>
        <w:tc>
          <w:tcPr>
            <w:tcW w:w="1138" w:type="dxa"/>
            <w:gridSpan w:val="2"/>
            <w:shd w:val="clear" w:color="auto" w:fill="auto"/>
            <w:vAlign w:val="center"/>
          </w:tcPr>
          <w:p>
            <w:r>
              <w:rPr>
                <w:b w:val="0"/>
                <w:i w:val="0"/>
                <w:color w:val="auto"/>
                <w:sz w:val="24"/>
              </w:rPr>
              <w:t>10</w:t>
            </w:r>
          </w:p>
        </w:tc>
        <w:tc>
          <w:tcPr>
            <w:tcW w:w="1138" w:type="dxa"/>
            <w:gridSpan w:val="2"/>
            <w:shd w:val="clear" w:color="auto" w:fill="auto"/>
            <w:vAlign w:val="center"/>
          </w:tcPr>
          <w:p>
            <w:r>
              <w:rPr>
                <w:b w:val="0"/>
                <w:i w:val="0"/>
                <w:color w:val="auto"/>
                <w:sz w:val="24"/>
              </w:rPr>
              <w:t>5.44</w:t>
            </w:r>
          </w:p>
        </w:tc>
        <w:tc>
          <w:tcPr>
            <w:tcW w:w="2276" w:type="dxa"/>
            <w:shd w:val="clear" w:color="auto" w:fill="auto"/>
            <w:vAlign w:val="center"/>
          </w:tcPr>
          <w:p>
            <w:r>
              <w:rPr>
                <w:b w:val="0"/>
                <w:i w:val="0"/>
                <w:color w:val="auto"/>
                <w:sz w:val="24"/>
              </w:rPr>
              <w:t>经费开支紧张，暂未完成</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20</w:t>
            </w:r>
          </w:p>
        </w:tc>
        <w:tc>
          <w:tcPr>
            <w:tcW w:w="1138" w:type="dxa"/>
            <w:gridSpan w:val="2"/>
            <w:shd w:val="clear" w:color="auto" w:fill="auto"/>
            <w:vAlign w:val="center"/>
          </w:tcPr>
          <w:p>
            <w:r>
              <w:rPr>
                <w:b w:val="0"/>
                <w:i w:val="0"/>
                <w:color w:val="auto"/>
                <w:sz w:val="24"/>
              </w:rPr>
              <w:t>20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≤1次</w:t>
            </w:r>
          </w:p>
        </w:tc>
        <w:tc>
          <w:tcPr>
            <w:tcW w:w="1138" w:type="dxa"/>
            <w:gridSpan w:val="2"/>
            <w:shd w:val="clear" w:color="auto" w:fill="auto"/>
            <w:vAlign w:val="center"/>
          </w:tcPr>
          <w:p>
            <w:r>
              <w:rPr>
                <w:b w:val="0"/>
                <w:i w:val="0"/>
                <w:color w:val="auto"/>
                <w:sz w:val="24"/>
              </w:rPr>
              <w:t>0</w:t>
            </w:r>
          </w:p>
        </w:tc>
        <w:tc>
          <w:tcPr>
            <w:tcW w:w="1138" w:type="dxa"/>
            <w:gridSpan w:val="2"/>
            <w:shd w:val="clear" w:color="auto" w:fill="auto"/>
            <w:vAlign w:val="center"/>
          </w:tcPr>
          <w:p>
            <w:r>
              <w:rPr>
                <w:b w:val="0"/>
                <w:i w:val="0"/>
                <w:color w:val="auto"/>
                <w:sz w:val="24"/>
              </w:rPr>
              <w:t>10</w:t>
            </w:r>
          </w:p>
        </w:tc>
        <w:tc>
          <w:tcPr>
            <w:tcW w:w="1138" w:type="dxa"/>
            <w:gridSpan w:val="2"/>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gridSpan w:val="2"/>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9"/>
            <w:shd w:val="clear" w:color="auto" w:fill="auto"/>
            <w:vAlign w:val="center"/>
          </w:tcPr>
          <w:p>
            <w:pPr>
              <w:jc w:val="center"/>
            </w:pPr>
            <w:r>
              <w:rPr>
                <w:b w:val="0"/>
                <w:i w:val="0"/>
                <w:color w:val="auto"/>
                <w:sz w:val="24"/>
              </w:rPr>
              <w:t>总分</w:t>
            </w:r>
          </w:p>
        </w:tc>
        <w:tc>
          <w:tcPr>
            <w:tcW w:w="4552" w:type="dxa"/>
            <w:gridSpan w:val="5"/>
            <w:shd w:val="clear" w:color="auto" w:fill="auto"/>
            <w:vAlign w:val="center"/>
          </w:tcPr>
          <w:p>
            <w:pPr>
              <w:jc w:val="center"/>
            </w:pPr>
            <w:r>
              <w:rPr>
                <w:b w:val="0"/>
                <w:i w:val="0"/>
                <w:color w:val="auto"/>
                <w:sz w:val="24"/>
              </w:rPr>
              <w:t>85.44</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445"/>
        <w:gridCol w:w="1041"/>
        <w:gridCol w:w="1694"/>
        <w:gridCol w:w="1353"/>
        <w:gridCol w:w="719"/>
        <w:gridCol w:w="397"/>
        <w:gridCol w:w="1"/>
        <w:gridCol w:w="1115"/>
        <w:gridCol w:w="1"/>
        <w:gridCol w:w="1114"/>
        <w:gridCol w:w="1"/>
        <w:gridCol w:w="1"/>
        <w:gridCol w:w="936"/>
        <w:gridCol w:w="936"/>
        <w:gridCol w:w="2"/>
        <w:gridCol w:w="2894"/>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6"/>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6"/>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3"/>
            <w:shd w:val="clear" w:color="auto" w:fill="auto"/>
            <w:vAlign w:val="center"/>
          </w:tcPr>
          <w:p>
            <w:pPr>
              <w:jc w:val="center"/>
            </w:pPr>
            <w:r>
              <w:rPr>
                <w:b w:val="0"/>
                <w:i w:val="0"/>
                <w:color w:val="auto"/>
                <w:sz w:val="24"/>
              </w:rPr>
              <w:t>名师工作室运行经费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4"/>
            <w:shd w:val="clear" w:color="auto" w:fill="auto"/>
            <w:vAlign w:val="center"/>
          </w:tcPr>
          <w:p>
            <w:pPr>
              <w:jc w:val="center"/>
            </w:pPr>
            <w:r>
              <w:rPr>
                <w:b w:val="0"/>
                <w:i w:val="0"/>
                <w:color w:val="auto"/>
                <w:sz w:val="24"/>
              </w:rPr>
              <w:t>实施单位</w:t>
            </w:r>
          </w:p>
        </w:tc>
        <w:tc>
          <w:tcPr>
            <w:tcW w:w="4552" w:type="dxa"/>
            <w:gridSpan w:val="6"/>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gridSpan w:val="2"/>
            <w:shd w:val="clear" w:color="auto" w:fill="auto"/>
            <w:vAlign w:val="center"/>
          </w:tcPr>
          <w:p>
            <w:pPr>
              <w:jc w:val="center"/>
            </w:pPr>
            <w:r>
              <w:rPr>
                <w:b w:val="0"/>
                <w:i w:val="0"/>
                <w:color w:val="auto"/>
                <w:sz w:val="24"/>
              </w:rPr>
              <w:t>全年执行数</w:t>
            </w:r>
          </w:p>
        </w:tc>
        <w:tc>
          <w:tcPr>
            <w:tcW w:w="1138" w:type="dxa"/>
            <w:gridSpan w:val="2"/>
            <w:shd w:val="clear" w:color="auto" w:fill="auto"/>
            <w:vAlign w:val="center"/>
          </w:tcPr>
          <w:p>
            <w:pPr>
              <w:jc w:val="center"/>
            </w:pPr>
            <w:r>
              <w:rPr>
                <w:b w:val="0"/>
                <w:i w:val="0"/>
                <w:color w:val="auto"/>
                <w:sz w:val="24"/>
              </w:rPr>
              <w:t>分值</w:t>
            </w:r>
          </w:p>
        </w:tc>
        <w:tc>
          <w:tcPr>
            <w:tcW w:w="2276" w:type="dxa"/>
            <w:gridSpan w:val="4"/>
            <w:shd w:val="clear" w:color="auto" w:fill="auto"/>
            <w:vAlign w:val="center"/>
          </w:tcPr>
          <w:p>
            <w:pPr>
              <w:jc w:val="center"/>
            </w:pPr>
            <w:r>
              <w:rPr>
                <w:b w:val="0"/>
                <w:i w:val="0"/>
                <w:color w:val="auto"/>
                <w:sz w:val="24"/>
              </w:rPr>
              <w:t>执行率</w:t>
            </w:r>
          </w:p>
        </w:tc>
        <w:tc>
          <w:tcPr>
            <w:tcW w:w="2276" w:type="dxa"/>
            <w:gridSpan w:val="2"/>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10.00</w:t>
            </w:r>
          </w:p>
        </w:tc>
        <w:tc>
          <w:tcPr>
            <w:tcW w:w="1138" w:type="dxa"/>
            <w:gridSpan w:val="2"/>
            <w:shd w:val="clear" w:color="auto" w:fill="auto"/>
            <w:vAlign w:val="center"/>
          </w:tcPr>
          <w:p>
            <w:pPr>
              <w:jc w:val="center"/>
            </w:pPr>
            <w:r>
              <w:rPr>
                <w:b w:val="0"/>
                <w:i w:val="0"/>
                <w:color w:val="auto"/>
                <w:sz w:val="24"/>
              </w:rPr>
              <w:t>0.55</w:t>
            </w:r>
          </w:p>
        </w:tc>
        <w:tc>
          <w:tcPr>
            <w:tcW w:w="1138" w:type="dxa"/>
            <w:gridSpan w:val="2"/>
            <w:shd w:val="clear" w:color="auto" w:fill="auto"/>
            <w:vAlign w:val="center"/>
          </w:tcPr>
          <w:p>
            <w:pPr>
              <w:jc w:val="center"/>
            </w:pPr>
            <w:r>
              <w:rPr>
                <w:b w:val="0"/>
                <w:i w:val="0"/>
                <w:color w:val="auto"/>
                <w:sz w:val="24"/>
              </w:rPr>
              <w:t>10</w:t>
            </w:r>
          </w:p>
        </w:tc>
        <w:tc>
          <w:tcPr>
            <w:tcW w:w="2276" w:type="dxa"/>
            <w:gridSpan w:val="4"/>
            <w:shd w:val="clear" w:color="auto" w:fill="auto"/>
            <w:vAlign w:val="center"/>
          </w:tcPr>
          <w:p>
            <w:pPr>
              <w:jc w:val="center"/>
            </w:pPr>
            <w:r>
              <w:rPr>
                <w:b w:val="0"/>
                <w:i w:val="0"/>
                <w:color w:val="auto"/>
                <w:sz w:val="24"/>
              </w:rPr>
              <w:t>5.50</w:t>
            </w:r>
          </w:p>
        </w:tc>
        <w:tc>
          <w:tcPr>
            <w:tcW w:w="2276" w:type="dxa"/>
            <w:gridSpan w:val="2"/>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10.00</w:t>
            </w:r>
          </w:p>
        </w:tc>
        <w:tc>
          <w:tcPr>
            <w:tcW w:w="1138" w:type="dxa"/>
            <w:gridSpan w:val="2"/>
            <w:shd w:val="clear" w:color="auto" w:fill="auto"/>
            <w:vAlign w:val="center"/>
          </w:tcPr>
          <w:p>
            <w:pPr>
              <w:jc w:val="center"/>
            </w:pPr>
            <w:r>
              <w:rPr>
                <w:b w:val="0"/>
                <w:i w:val="0"/>
                <w:color w:val="auto"/>
                <w:sz w:val="24"/>
              </w:rPr>
              <w:t>0.55</w:t>
            </w:r>
          </w:p>
        </w:tc>
        <w:tc>
          <w:tcPr>
            <w:tcW w:w="1138" w:type="dxa"/>
            <w:gridSpan w:val="2"/>
            <w:shd w:val="clear" w:color="auto" w:fill="auto"/>
            <w:vAlign w:val="center"/>
          </w:tcPr>
          <w:p>
            <w:pPr>
              <w:jc w:val="center"/>
            </w:pPr>
            <w:r>
              <w:rPr>
                <w:b w:val="0"/>
                <w:i w:val="0"/>
                <w:color w:val="auto"/>
                <w:sz w:val="22"/>
              </w:rPr>
              <w:t>—</w:t>
            </w:r>
          </w:p>
        </w:tc>
        <w:tc>
          <w:tcPr>
            <w:tcW w:w="2276" w:type="dxa"/>
            <w:gridSpan w:val="4"/>
            <w:shd w:val="clear" w:color="auto" w:fill="auto"/>
            <w:vAlign w:val="center"/>
          </w:tcPr>
          <w:p>
            <w:pPr>
              <w:jc w:val="center"/>
            </w:pPr>
            <w:r>
              <w:rPr>
                <w:b w:val="0"/>
                <w:i w:val="0"/>
                <w:color w:val="auto"/>
                <w:sz w:val="24"/>
              </w:rPr>
              <w:t>5.50</w:t>
            </w:r>
          </w:p>
        </w:tc>
        <w:tc>
          <w:tcPr>
            <w:tcW w:w="2276" w:type="dxa"/>
            <w:gridSpan w:val="2"/>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gridSpan w:val="2"/>
            <w:shd w:val="clear" w:color="auto" w:fill="auto"/>
            <w:vAlign w:val="center"/>
          </w:tcPr>
          <w:p>
            <w:pPr>
              <w:jc w:val="center"/>
            </w:pPr>
            <w:r>
              <w:rPr>
                <w:b w:val="0"/>
                <w:i w:val="0"/>
                <w:color w:val="auto"/>
                <w:sz w:val="24"/>
              </w:rPr>
              <w:t>0.00</w:t>
            </w:r>
          </w:p>
        </w:tc>
        <w:tc>
          <w:tcPr>
            <w:tcW w:w="1138" w:type="dxa"/>
            <w:gridSpan w:val="2"/>
            <w:shd w:val="clear" w:color="auto" w:fill="auto"/>
            <w:vAlign w:val="center"/>
          </w:tcPr>
          <w:p>
            <w:pPr>
              <w:jc w:val="center"/>
            </w:pPr>
            <w:r>
              <w:rPr>
                <w:b w:val="0"/>
                <w:i w:val="0"/>
                <w:color w:val="auto"/>
                <w:sz w:val="24"/>
              </w:rPr>
              <w:t>—</w:t>
            </w:r>
          </w:p>
        </w:tc>
        <w:tc>
          <w:tcPr>
            <w:tcW w:w="2276" w:type="dxa"/>
            <w:gridSpan w:val="4"/>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10"/>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按文件规定。</w:t>
            </w:r>
          </w:p>
        </w:tc>
        <w:tc>
          <w:tcPr>
            <w:tcW w:w="6828" w:type="dxa"/>
            <w:gridSpan w:val="10"/>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3"/>
            <w:shd w:val="clear" w:color="auto" w:fill="auto"/>
            <w:vAlign w:val="center"/>
          </w:tcPr>
          <w:p>
            <w:pPr>
              <w:jc w:val="center"/>
            </w:pPr>
            <w:r>
              <w:rPr>
                <w:b w:val="0"/>
                <w:i w:val="0"/>
                <w:color w:val="auto"/>
                <w:sz w:val="24"/>
              </w:rPr>
              <w:t>年度指标值</w:t>
            </w:r>
          </w:p>
        </w:tc>
        <w:tc>
          <w:tcPr>
            <w:tcW w:w="1138" w:type="dxa"/>
            <w:gridSpan w:val="2"/>
            <w:shd w:val="clear" w:color="auto" w:fill="auto"/>
            <w:vAlign w:val="center"/>
          </w:tcPr>
          <w:p>
            <w:r>
              <w:rPr>
                <w:b w:val="0"/>
                <w:i w:val="0"/>
                <w:color w:val="auto"/>
                <w:sz w:val="24"/>
              </w:rPr>
              <w:t>实际完成值</w:t>
            </w:r>
          </w:p>
        </w:tc>
        <w:tc>
          <w:tcPr>
            <w:tcW w:w="1138" w:type="dxa"/>
            <w:gridSpan w:val="3"/>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gridSpan w:val="2"/>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3"/>
            <w:shd w:val="clear" w:color="auto" w:fill="auto"/>
            <w:vAlign w:val="center"/>
          </w:tcPr>
          <w:p>
            <w:r>
              <w:rPr>
                <w:b w:val="0"/>
                <w:i w:val="0"/>
                <w:color w:val="auto"/>
                <w:sz w:val="24"/>
              </w:rPr>
              <w:t>≥1次</w:t>
            </w:r>
          </w:p>
        </w:tc>
        <w:tc>
          <w:tcPr>
            <w:tcW w:w="1138" w:type="dxa"/>
            <w:gridSpan w:val="2"/>
            <w:shd w:val="clear" w:color="auto" w:fill="auto"/>
            <w:vAlign w:val="center"/>
          </w:tcPr>
          <w:p>
            <w:r>
              <w:rPr>
                <w:b w:val="0"/>
                <w:i w:val="0"/>
                <w:color w:val="auto"/>
                <w:sz w:val="24"/>
              </w:rPr>
              <w:t>3</w:t>
            </w:r>
          </w:p>
        </w:tc>
        <w:tc>
          <w:tcPr>
            <w:tcW w:w="1138" w:type="dxa"/>
            <w:gridSpan w:val="3"/>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3"/>
            <w:shd w:val="clear" w:color="auto" w:fill="auto"/>
            <w:vAlign w:val="center"/>
          </w:tcPr>
          <w:p>
            <w:r>
              <w:rPr>
                <w:b w:val="0"/>
                <w:i w:val="0"/>
                <w:color w:val="auto"/>
                <w:sz w:val="24"/>
              </w:rPr>
              <w:t>≥20%</w:t>
            </w:r>
          </w:p>
        </w:tc>
        <w:tc>
          <w:tcPr>
            <w:tcW w:w="1138" w:type="dxa"/>
            <w:gridSpan w:val="2"/>
            <w:shd w:val="clear" w:color="auto" w:fill="auto"/>
            <w:vAlign w:val="center"/>
          </w:tcPr>
          <w:p>
            <w:r>
              <w:rPr>
                <w:b w:val="0"/>
                <w:i w:val="0"/>
                <w:color w:val="auto"/>
                <w:sz w:val="24"/>
              </w:rPr>
              <w:t>5.5</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2.75</w:t>
            </w:r>
          </w:p>
        </w:tc>
        <w:tc>
          <w:tcPr>
            <w:tcW w:w="2276" w:type="dxa"/>
            <w:gridSpan w:val="2"/>
            <w:shd w:val="clear" w:color="auto" w:fill="auto"/>
            <w:vAlign w:val="center"/>
          </w:tcPr>
          <w:p>
            <w:r>
              <w:rPr>
                <w:b w:val="0"/>
                <w:i w:val="0"/>
                <w:color w:val="auto"/>
                <w:sz w:val="24"/>
              </w:rPr>
              <w:t>项目立项时间较晚，经费下达较迟</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gridSpan w:val="2"/>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3"/>
            <w:shd w:val="clear" w:color="auto" w:fill="auto"/>
            <w:vAlign w:val="center"/>
          </w:tcPr>
          <w:p>
            <w:r>
              <w:rPr>
                <w:b w:val="0"/>
                <w:i w:val="0"/>
                <w:color w:val="auto"/>
                <w:sz w:val="24"/>
              </w:rPr>
              <w:t>≤1项</w:t>
            </w:r>
          </w:p>
        </w:tc>
        <w:tc>
          <w:tcPr>
            <w:tcW w:w="1138" w:type="dxa"/>
            <w:gridSpan w:val="2"/>
            <w:shd w:val="clear" w:color="auto" w:fill="auto"/>
            <w:vAlign w:val="center"/>
          </w:tcPr>
          <w:p>
            <w:r>
              <w:rPr>
                <w:b w:val="0"/>
                <w:i w:val="0"/>
                <w:color w:val="auto"/>
                <w:sz w:val="24"/>
              </w:rPr>
              <w:t>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3"/>
            <w:shd w:val="clear" w:color="auto" w:fill="auto"/>
            <w:vAlign w:val="center"/>
          </w:tcPr>
          <w:p>
            <w:r>
              <w:rPr>
                <w:b w:val="0"/>
                <w:i w:val="0"/>
                <w:color w:val="auto"/>
                <w:sz w:val="24"/>
              </w:rPr>
              <w:t>≥90%</w:t>
            </w:r>
          </w:p>
        </w:tc>
        <w:tc>
          <w:tcPr>
            <w:tcW w:w="1138" w:type="dxa"/>
            <w:gridSpan w:val="2"/>
            <w:shd w:val="clear" w:color="auto" w:fill="auto"/>
            <w:vAlign w:val="center"/>
          </w:tcPr>
          <w:p>
            <w:r>
              <w:rPr>
                <w:b w:val="0"/>
                <w:i w:val="0"/>
                <w:color w:val="auto"/>
                <w:sz w:val="24"/>
              </w:rPr>
              <w:t>100</w:t>
            </w:r>
          </w:p>
        </w:tc>
        <w:tc>
          <w:tcPr>
            <w:tcW w:w="1138" w:type="dxa"/>
            <w:gridSpan w:val="3"/>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tc>
      </w:tr>
      <w:tr>
        <w:tblPrEx>
          <w:tblLook w:val="0600"/>
        </w:tblPrEx>
        <w:trPr>
          <w:trHeight w:val="480"/>
        </w:trPr>
        <w:tc>
          <w:tcPr>
            <w:tcW w:w="9104" w:type="dxa"/>
            <w:gridSpan w:val="10"/>
            <w:shd w:val="clear" w:color="auto" w:fill="auto"/>
            <w:vAlign w:val="center"/>
          </w:tcPr>
          <w:p>
            <w:pPr>
              <w:jc w:val="center"/>
            </w:pPr>
            <w:r>
              <w:rPr>
                <w:b w:val="0"/>
                <w:i w:val="0"/>
                <w:color w:val="auto"/>
                <w:sz w:val="24"/>
              </w:rPr>
              <w:t>总分</w:t>
            </w:r>
          </w:p>
        </w:tc>
        <w:tc>
          <w:tcPr>
            <w:tcW w:w="4552" w:type="dxa"/>
            <w:gridSpan w:val="6"/>
            <w:shd w:val="clear" w:color="auto" w:fill="auto"/>
            <w:vAlign w:val="center"/>
          </w:tcPr>
          <w:p>
            <w:pPr>
              <w:jc w:val="center"/>
            </w:pPr>
            <w:r>
              <w:rPr>
                <w:b w:val="0"/>
                <w:i w:val="0"/>
                <w:color w:val="auto"/>
                <w:sz w:val="24"/>
              </w:rPr>
              <w:t>82.75</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普通高中扩容经费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50.00</w:t>
            </w:r>
          </w:p>
        </w:tc>
        <w:tc>
          <w:tcPr>
            <w:tcW w:w="1138" w:type="dxa"/>
            <w:shd w:val="clear" w:color="auto" w:fill="auto"/>
            <w:vAlign w:val="center"/>
          </w:tcPr>
          <w:p>
            <w:pPr>
              <w:jc w:val="center"/>
            </w:pPr>
            <w:r>
              <w:rPr>
                <w:b w:val="0"/>
                <w:i w:val="0"/>
                <w:color w:val="auto"/>
                <w:sz w:val="24"/>
              </w:rPr>
              <w:t>14.50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29.00</w:t>
            </w:r>
          </w:p>
        </w:tc>
        <w:tc>
          <w:tcPr>
            <w:tcW w:w="2276" w:type="dxa"/>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50.00</w:t>
            </w:r>
          </w:p>
        </w:tc>
        <w:tc>
          <w:tcPr>
            <w:tcW w:w="1138" w:type="dxa"/>
            <w:shd w:val="clear" w:color="auto" w:fill="auto"/>
            <w:vAlign w:val="center"/>
          </w:tcPr>
          <w:p>
            <w:pPr>
              <w:jc w:val="center"/>
            </w:pPr>
            <w:r>
              <w:rPr>
                <w:b w:val="0"/>
                <w:i w:val="0"/>
                <w:color w:val="auto"/>
                <w:sz w:val="24"/>
              </w:rPr>
              <w:t>14.50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29.00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1</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29</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90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165"/>
        <w:gridCol w:w="839"/>
        <w:gridCol w:w="1367"/>
        <w:gridCol w:w="1611"/>
        <w:gridCol w:w="581"/>
        <w:gridCol w:w="319"/>
        <w:gridCol w:w="899"/>
        <w:gridCol w:w="899"/>
        <w:gridCol w:w="1"/>
        <w:gridCol w:w="757"/>
        <w:gridCol w:w="754"/>
        <w:gridCol w:w="1"/>
        <w:gridCol w:w="1762"/>
        <w:gridCol w:w="898"/>
        <w:gridCol w:w="1797"/>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5"/>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5"/>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2"/>
            <w:shd w:val="clear" w:color="auto" w:fill="auto"/>
            <w:vAlign w:val="center"/>
          </w:tcPr>
          <w:p>
            <w:pPr>
              <w:jc w:val="center"/>
            </w:pPr>
            <w:r>
              <w:rPr>
                <w:b w:val="0"/>
                <w:i w:val="0"/>
                <w:color w:val="auto"/>
                <w:sz w:val="24"/>
              </w:rPr>
              <w:t>普通高中免学费（直达资金）</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7"/>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3"/>
            <w:shd w:val="clear" w:color="auto" w:fill="auto"/>
            <w:vAlign w:val="center"/>
          </w:tcPr>
          <w:p>
            <w:pPr>
              <w:jc w:val="center"/>
            </w:pPr>
            <w:r>
              <w:rPr>
                <w:b w:val="0"/>
                <w:i w:val="0"/>
                <w:color w:val="auto"/>
                <w:sz w:val="24"/>
              </w:rPr>
              <w:t>执行率</w:t>
            </w:r>
          </w:p>
        </w:tc>
        <w:tc>
          <w:tcPr>
            <w:tcW w:w="2276" w:type="dxa"/>
            <w:gridSpan w:val="4"/>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1.00</w:t>
            </w:r>
          </w:p>
        </w:tc>
        <w:tc>
          <w:tcPr>
            <w:tcW w:w="1138" w:type="dxa"/>
            <w:shd w:val="clear" w:color="auto" w:fill="auto"/>
            <w:vAlign w:val="center"/>
          </w:tcPr>
          <w:p>
            <w:pPr>
              <w:jc w:val="center"/>
            </w:pPr>
            <w:r>
              <w:rPr>
                <w:b w:val="0"/>
                <w:i w:val="0"/>
                <w:color w:val="auto"/>
                <w:sz w:val="24"/>
              </w:rPr>
              <w:t>1.00</w:t>
            </w:r>
          </w:p>
        </w:tc>
        <w:tc>
          <w:tcPr>
            <w:tcW w:w="1138" w:type="dxa"/>
            <w:shd w:val="clear" w:color="auto" w:fill="auto"/>
            <w:vAlign w:val="center"/>
          </w:tcPr>
          <w:p>
            <w:pPr>
              <w:jc w:val="center"/>
            </w:pPr>
            <w:r>
              <w:rPr>
                <w:b w:val="0"/>
                <w:i w:val="0"/>
                <w:color w:val="auto"/>
                <w:sz w:val="24"/>
              </w:rPr>
              <w:t>10</w:t>
            </w:r>
          </w:p>
        </w:tc>
        <w:tc>
          <w:tcPr>
            <w:tcW w:w="2276" w:type="dxa"/>
            <w:gridSpan w:val="3"/>
            <w:shd w:val="clear" w:color="auto" w:fill="auto"/>
            <w:vAlign w:val="center"/>
          </w:tcPr>
          <w:p>
            <w:pPr>
              <w:jc w:val="center"/>
            </w:pPr>
            <w:r>
              <w:rPr>
                <w:b w:val="0"/>
                <w:i w:val="0"/>
                <w:color w:val="auto"/>
                <w:sz w:val="24"/>
              </w:rPr>
              <w:t>100.00</w:t>
            </w:r>
          </w:p>
        </w:tc>
        <w:tc>
          <w:tcPr>
            <w:tcW w:w="2276" w:type="dxa"/>
            <w:gridSpan w:val="4"/>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1.00</w:t>
            </w:r>
          </w:p>
        </w:tc>
        <w:tc>
          <w:tcPr>
            <w:tcW w:w="1138" w:type="dxa"/>
            <w:shd w:val="clear" w:color="auto" w:fill="auto"/>
            <w:vAlign w:val="center"/>
          </w:tcPr>
          <w:p>
            <w:pPr>
              <w:jc w:val="center"/>
            </w:pPr>
            <w:r>
              <w:rPr>
                <w:b w:val="0"/>
                <w:i w:val="0"/>
                <w:color w:val="auto"/>
                <w:sz w:val="24"/>
              </w:rPr>
              <w:t>1.00</w:t>
            </w:r>
          </w:p>
        </w:tc>
        <w:tc>
          <w:tcPr>
            <w:tcW w:w="1138" w:type="dxa"/>
            <w:shd w:val="clear" w:color="auto" w:fill="auto"/>
            <w:vAlign w:val="center"/>
          </w:tcPr>
          <w:p>
            <w:pPr>
              <w:jc w:val="center"/>
            </w:pPr>
            <w:r>
              <w:rPr>
                <w:b w:val="0"/>
                <w:i w:val="0"/>
                <w:color w:val="auto"/>
                <w:sz w:val="22"/>
              </w:rPr>
              <w:t>—</w:t>
            </w:r>
          </w:p>
        </w:tc>
        <w:tc>
          <w:tcPr>
            <w:tcW w:w="2276" w:type="dxa"/>
            <w:gridSpan w:val="3"/>
            <w:shd w:val="clear" w:color="auto" w:fill="auto"/>
            <w:vAlign w:val="center"/>
          </w:tcPr>
          <w:p>
            <w:pPr>
              <w:jc w:val="center"/>
            </w:pPr>
            <w:r>
              <w:rPr>
                <w:b w:val="0"/>
                <w:i w:val="0"/>
                <w:color w:val="auto"/>
                <w:sz w:val="24"/>
              </w:rPr>
              <w:t>100.00</w:t>
            </w:r>
          </w:p>
        </w:tc>
        <w:tc>
          <w:tcPr>
            <w:tcW w:w="2276" w:type="dxa"/>
            <w:gridSpan w:val="4"/>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3"/>
            <w:shd w:val="clear" w:color="auto" w:fill="auto"/>
            <w:vAlign w:val="center"/>
          </w:tcPr>
          <w:p>
            <w:pPr>
              <w:jc w:val="center"/>
            </w:pPr>
            <w:r>
              <w:rPr>
                <w:b w:val="0"/>
                <w:i w:val="0"/>
                <w:color w:val="auto"/>
                <w:sz w:val="24"/>
              </w:rPr>
              <w:t>0.00</w:t>
            </w:r>
          </w:p>
        </w:tc>
        <w:tc>
          <w:tcPr>
            <w:tcW w:w="2276" w:type="dxa"/>
            <w:gridSpan w:val="4"/>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9"/>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完成本年度收支计划。</w:t>
            </w:r>
          </w:p>
        </w:tc>
        <w:tc>
          <w:tcPr>
            <w:tcW w:w="6828" w:type="dxa"/>
            <w:gridSpan w:val="9"/>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3"/>
            <w:shd w:val="clear" w:color="auto" w:fill="auto"/>
            <w:vAlign w:val="center"/>
          </w:tcPr>
          <w:p>
            <w:pPr>
              <w:jc w:val="center"/>
            </w:pPr>
            <w:r>
              <w:rPr>
                <w:b w:val="0"/>
                <w:i w:val="0"/>
                <w:color w:val="auto"/>
                <w:sz w:val="24"/>
              </w:rPr>
              <w:t>年度指标值</w:t>
            </w:r>
          </w:p>
        </w:tc>
        <w:tc>
          <w:tcPr>
            <w:tcW w:w="1138" w:type="dxa"/>
            <w:gridSpan w:val="3"/>
            <w:shd w:val="clear" w:color="auto" w:fill="auto"/>
            <w:vAlign w:val="center"/>
          </w:tcPr>
          <w:p>
            <w:r>
              <w:rPr>
                <w:b w:val="0"/>
                <w:i w:val="0"/>
                <w:color w:val="auto"/>
                <w:sz w:val="24"/>
              </w:rPr>
              <w:t>实际完成值</w:t>
            </w:r>
          </w:p>
        </w:tc>
        <w:tc>
          <w:tcPr>
            <w:tcW w:w="1138" w:type="dxa"/>
            <w:gridSpan w:val="2"/>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修缮（采购）次数</w:t>
            </w:r>
          </w:p>
        </w:tc>
        <w:tc>
          <w:tcPr>
            <w:tcW w:w="2276" w:type="dxa"/>
            <w:gridSpan w:val="3"/>
            <w:shd w:val="clear" w:color="auto" w:fill="auto"/>
            <w:vAlign w:val="center"/>
          </w:tcPr>
          <w:p>
            <w:r>
              <w:rPr>
                <w:b w:val="0"/>
                <w:i w:val="0"/>
                <w:color w:val="auto"/>
                <w:sz w:val="24"/>
              </w:rPr>
              <w:t>≥1次</w:t>
            </w:r>
          </w:p>
        </w:tc>
        <w:tc>
          <w:tcPr>
            <w:tcW w:w="1138" w:type="dxa"/>
            <w:gridSpan w:val="3"/>
            <w:shd w:val="clear" w:color="auto" w:fill="auto"/>
            <w:vAlign w:val="center"/>
          </w:tcPr>
          <w:p>
            <w:r>
              <w:rPr>
                <w:b w:val="0"/>
                <w:i w:val="0"/>
                <w:color w:val="auto"/>
                <w:sz w:val="24"/>
              </w:rPr>
              <w:t>1</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修缮（采购）验收合格率</w:t>
            </w:r>
          </w:p>
        </w:tc>
        <w:tc>
          <w:tcPr>
            <w:tcW w:w="2276" w:type="dxa"/>
            <w:gridSpan w:val="3"/>
            <w:shd w:val="clear" w:color="auto" w:fill="auto"/>
            <w:vAlign w:val="center"/>
          </w:tcPr>
          <w:p>
            <w:r>
              <w:rPr>
                <w:b w:val="0"/>
                <w:i w:val="0"/>
                <w:color w:val="auto"/>
                <w:sz w:val="24"/>
              </w:rPr>
              <w:t>≥90%</w:t>
            </w:r>
          </w:p>
        </w:tc>
        <w:tc>
          <w:tcPr>
            <w:tcW w:w="1138" w:type="dxa"/>
            <w:gridSpan w:val="3"/>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3"/>
            <w:shd w:val="clear" w:color="auto" w:fill="auto"/>
            <w:vAlign w:val="center"/>
          </w:tcPr>
          <w:p>
            <w:r>
              <w:rPr>
                <w:b w:val="0"/>
                <w:i w:val="0"/>
                <w:color w:val="auto"/>
                <w:sz w:val="24"/>
              </w:rPr>
              <w:t>≥90%</w:t>
            </w:r>
          </w:p>
        </w:tc>
        <w:tc>
          <w:tcPr>
            <w:tcW w:w="1138" w:type="dxa"/>
            <w:gridSpan w:val="3"/>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预决算偏离率</w:t>
            </w:r>
          </w:p>
        </w:tc>
        <w:tc>
          <w:tcPr>
            <w:tcW w:w="2276" w:type="dxa"/>
            <w:gridSpan w:val="3"/>
            <w:shd w:val="clear" w:color="auto" w:fill="auto"/>
            <w:vAlign w:val="center"/>
          </w:tcPr>
          <w:p>
            <w:r>
              <w:rPr>
                <w:b w:val="0"/>
                <w:i w:val="0"/>
                <w:color w:val="auto"/>
                <w:sz w:val="24"/>
              </w:rPr>
              <w:t>≤20%</w:t>
            </w:r>
          </w:p>
        </w:tc>
        <w:tc>
          <w:tcPr>
            <w:tcW w:w="1138" w:type="dxa"/>
            <w:gridSpan w:val="3"/>
            <w:shd w:val="clear" w:color="auto" w:fill="auto"/>
            <w:vAlign w:val="center"/>
          </w:tcPr>
          <w:p>
            <w:r>
              <w:rPr>
                <w:b w:val="0"/>
                <w:i w:val="0"/>
                <w:color w:val="auto"/>
                <w:sz w:val="24"/>
              </w:rPr>
              <w:t>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3"/>
            <w:shd w:val="clear" w:color="auto" w:fill="auto"/>
            <w:vAlign w:val="center"/>
          </w:tcPr>
          <w:p>
            <w:r>
              <w:rPr>
                <w:b w:val="0"/>
                <w:i w:val="0"/>
                <w:color w:val="auto"/>
                <w:sz w:val="24"/>
              </w:rPr>
              <w:t>≥90%</w:t>
            </w:r>
          </w:p>
        </w:tc>
        <w:tc>
          <w:tcPr>
            <w:tcW w:w="1138" w:type="dxa"/>
            <w:gridSpan w:val="3"/>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受益对象满意度</w:t>
            </w:r>
          </w:p>
        </w:tc>
        <w:tc>
          <w:tcPr>
            <w:tcW w:w="2276" w:type="dxa"/>
            <w:gridSpan w:val="3"/>
            <w:shd w:val="clear" w:color="auto" w:fill="auto"/>
            <w:vAlign w:val="center"/>
          </w:tcPr>
          <w:p>
            <w:r>
              <w:rPr>
                <w:b w:val="0"/>
                <w:i w:val="0"/>
                <w:color w:val="auto"/>
                <w:sz w:val="24"/>
              </w:rPr>
              <w:t>≥90%</w:t>
            </w:r>
          </w:p>
        </w:tc>
        <w:tc>
          <w:tcPr>
            <w:tcW w:w="1138" w:type="dxa"/>
            <w:gridSpan w:val="3"/>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10"/>
            <w:shd w:val="clear" w:color="auto" w:fill="auto"/>
            <w:vAlign w:val="center"/>
          </w:tcPr>
          <w:p>
            <w:pPr>
              <w:jc w:val="center"/>
            </w:pPr>
            <w:r>
              <w:rPr>
                <w:b w:val="0"/>
                <w:i w:val="0"/>
                <w:color w:val="auto"/>
                <w:sz w:val="24"/>
              </w:rPr>
              <w:t>总分</w:t>
            </w:r>
          </w:p>
        </w:tc>
        <w:tc>
          <w:tcPr>
            <w:tcW w:w="4552" w:type="dxa"/>
            <w:gridSpan w:val="5"/>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商标冠名费、案件受理费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47.86</w:t>
            </w:r>
          </w:p>
        </w:tc>
        <w:tc>
          <w:tcPr>
            <w:tcW w:w="1138" w:type="dxa"/>
            <w:shd w:val="clear" w:color="auto" w:fill="auto"/>
            <w:vAlign w:val="center"/>
          </w:tcPr>
          <w:p>
            <w:pPr>
              <w:jc w:val="center"/>
            </w:pPr>
            <w:r>
              <w:rPr>
                <w:b w:val="0"/>
                <w:i w:val="0"/>
                <w:color w:val="auto"/>
                <w:sz w:val="24"/>
              </w:rPr>
              <w:t>47.86</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47.86</w:t>
            </w:r>
          </w:p>
        </w:tc>
        <w:tc>
          <w:tcPr>
            <w:tcW w:w="1138" w:type="dxa"/>
            <w:shd w:val="clear" w:color="auto" w:fill="auto"/>
            <w:vAlign w:val="center"/>
          </w:tcPr>
          <w:p>
            <w:pPr>
              <w:jc w:val="center"/>
            </w:pPr>
            <w:r>
              <w:rPr>
                <w:b w:val="0"/>
                <w:i w:val="0"/>
                <w:color w:val="auto"/>
                <w:sz w:val="24"/>
              </w:rPr>
              <w:t>47.86</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1</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生均公用经费省级奖补2</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7.70</w:t>
            </w:r>
          </w:p>
        </w:tc>
        <w:tc>
          <w:tcPr>
            <w:tcW w:w="1138" w:type="dxa"/>
            <w:shd w:val="clear" w:color="auto" w:fill="auto"/>
            <w:vAlign w:val="center"/>
          </w:tcPr>
          <w:p>
            <w:pPr>
              <w:jc w:val="center"/>
            </w:pPr>
            <w:r>
              <w:rPr>
                <w:b w:val="0"/>
                <w:i w:val="0"/>
                <w:color w:val="auto"/>
                <w:sz w:val="24"/>
              </w:rPr>
              <w:t>7.70</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7.70</w:t>
            </w:r>
          </w:p>
        </w:tc>
        <w:tc>
          <w:tcPr>
            <w:tcW w:w="1138" w:type="dxa"/>
            <w:shd w:val="clear" w:color="auto" w:fill="auto"/>
            <w:vAlign w:val="center"/>
          </w:tcPr>
          <w:p>
            <w:pPr>
              <w:jc w:val="center"/>
            </w:pPr>
            <w:r>
              <w:rPr>
                <w:b w:val="0"/>
                <w:i w:val="0"/>
                <w:color w:val="auto"/>
                <w:sz w:val="24"/>
              </w:rPr>
              <w:t>7.70</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4</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≥70%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生均公用经费省级奖补</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39.54</w:t>
            </w:r>
          </w:p>
        </w:tc>
        <w:tc>
          <w:tcPr>
            <w:tcW w:w="1138" w:type="dxa"/>
            <w:shd w:val="clear" w:color="auto" w:fill="auto"/>
            <w:vAlign w:val="center"/>
          </w:tcPr>
          <w:p>
            <w:pPr>
              <w:jc w:val="center"/>
            </w:pPr>
            <w:r>
              <w:rPr>
                <w:b w:val="0"/>
                <w:i w:val="0"/>
                <w:color w:val="auto"/>
                <w:sz w:val="24"/>
              </w:rPr>
              <w:t>39.53</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99.97</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39.54</w:t>
            </w:r>
          </w:p>
        </w:tc>
        <w:tc>
          <w:tcPr>
            <w:tcW w:w="1138" w:type="dxa"/>
            <w:shd w:val="clear" w:color="auto" w:fill="auto"/>
            <w:vAlign w:val="center"/>
          </w:tcPr>
          <w:p>
            <w:pPr>
              <w:jc w:val="center"/>
            </w:pPr>
            <w:r>
              <w:rPr>
                <w:b w:val="0"/>
                <w:i w:val="0"/>
                <w:color w:val="auto"/>
                <w:sz w:val="24"/>
              </w:rPr>
              <w:t>39.53</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99.97</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≥3次</w:t>
            </w:r>
          </w:p>
        </w:tc>
        <w:tc>
          <w:tcPr>
            <w:tcW w:w="1138" w:type="dxa"/>
            <w:shd w:val="clear" w:color="auto" w:fill="auto"/>
            <w:vAlign w:val="center"/>
          </w:tcPr>
          <w:p>
            <w:r>
              <w:rPr>
                <w:b w:val="0"/>
                <w:i w:val="0"/>
                <w:color w:val="auto"/>
                <w:sz w:val="24"/>
              </w:rPr>
              <w:t>85</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99.97</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修缮及设备支出（教育费附加）</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85.56</w:t>
            </w:r>
          </w:p>
        </w:tc>
        <w:tc>
          <w:tcPr>
            <w:tcW w:w="2276" w:type="dxa"/>
            <w:gridSpan w:val="2"/>
            <w:shd w:val="clear" w:color="auto" w:fill="auto"/>
            <w:vAlign w:val="center"/>
          </w:tcPr>
          <w:p>
            <w:pPr>
              <w:jc w:val="center"/>
            </w:pPr>
            <w:r>
              <w:rPr>
                <w:b w:val="0"/>
                <w:i w:val="0"/>
                <w:color w:val="auto"/>
                <w:sz w:val="24"/>
              </w:rPr>
              <w:t>19.85</w:t>
            </w:r>
          </w:p>
        </w:tc>
        <w:tc>
          <w:tcPr>
            <w:tcW w:w="1138" w:type="dxa"/>
            <w:shd w:val="clear" w:color="auto" w:fill="auto"/>
            <w:vAlign w:val="center"/>
          </w:tcPr>
          <w:p>
            <w:pPr>
              <w:jc w:val="center"/>
            </w:pPr>
            <w:r>
              <w:rPr>
                <w:b w:val="0"/>
                <w:i w:val="0"/>
                <w:color w:val="auto"/>
                <w:sz w:val="24"/>
              </w:rPr>
              <w:t>19.85</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85.56</w:t>
            </w:r>
          </w:p>
        </w:tc>
        <w:tc>
          <w:tcPr>
            <w:tcW w:w="2276" w:type="dxa"/>
            <w:gridSpan w:val="2"/>
            <w:shd w:val="clear" w:color="auto" w:fill="auto"/>
            <w:vAlign w:val="center"/>
          </w:tcPr>
          <w:p>
            <w:pPr>
              <w:jc w:val="center"/>
            </w:pPr>
            <w:r>
              <w:rPr>
                <w:b w:val="0"/>
                <w:i w:val="0"/>
                <w:color w:val="auto"/>
                <w:sz w:val="24"/>
              </w:rPr>
              <w:t>19.85</w:t>
            </w:r>
          </w:p>
        </w:tc>
        <w:tc>
          <w:tcPr>
            <w:tcW w:w="1138" w:type="dxa"/>
            <w:shd w:val="clear" w:color="auto" w:fill="auto"/>
            <w:vAlign w:val="center"/>
          </w:tcPr>
          <w:p>
            <w:pPr>
              <w:jc w:val="center"/>
            </w:pPr>
            <w:r>
              <w:rPr>
                <w:b w:val="0"/>
                <w:i w:val="0"/>
                <w:color w:val="auto"/>
                <w:sz w:val="24"/>
              </w:rPr>
              <w:t>19.85</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按文件依据。</w:t>
            </w:r>
          </w:p>
        </w:tc>
        <w:tc>
          <w:tcPr>
            <w:tcW w:w="6828" w:type="dxa"/>
            <w:gridSpan w:val="5"/>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1</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≥95%</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364"/>
        <w:gridCol w:w="983"/>
        <w:gridCol w:w="1598"/>
        <w:gridCol w:w="1"/>
        <w:gridCol w:w="1276"/>
        <w:gridCol w:w="680"/>
        <w:gridCol w:w="374"/>
        <w:gridCol w:w="1053"/>
        <w:gridCol w:w="1052"/>
        <w:gridCol w:w="1"/>
        <w:gridCol w:w="885"/>
        <w:gridCol w:w="883"/>
        <w:gridCol w:w="1"/>
        <w:gridCol w:w="349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4"/>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4"/>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11"/>
            <w:shd w:val="clear" w:color="auto" w:fill="auto"/>
            <w:vAlign w:val="center"/>
          </w:tcPr>
          <w:p>
            <w:pPr>
              <w:jc w:val="center"/>
            </w:pPr>
            <w:r>
              <w:rPr>
                <w:b w:val="0"/>
                <w:i w:val="0"/>
                <w:color w:val="auto"/>
                <w:sz w:val="24"/>
              </w:rPr>
              <w:t>义务教育阶段学校午托服务</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4"/>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5"/>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gridSpan w:val="2"/>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3"/>
            <w:shd w:val="clear" w:color="auto" w:fill="auto"/>
            <w:vAlign w:val="center"/>
          </w:tcPr>
          <w:p>
            <w:pPr>
              <w:jc w:val="center"/>
            </w:pPr>
            <w:r>
              <w:rPr>
                <w:b w:val="0"/>
                <w:i w:val="0"/>
                <w:color w:val="auto"/>
                <w:sz w:val="24"/>
              </w:rPr>
              <w:t>执行率</w:t>
            </w:r>
          </w:p>
        </w:tc>
        <w:tc>
          <w:tcPr>
            <w:tcW w:w="2276" w:type="dxa"/>
            <w:gridSpan w:val="2"/>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gridSpan w:val="2"/>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14.78</w:t>
            </w:r>
          </w:p>
        </w:tc>
        <w:tc>
          <w:tcPr>
            <w:tcW w:w="1138" w:type="dxa"/>
            <w:shd w:val="clear" w:color="auto" w:fill="auto"/>
            <w:vAlign w:val="center"/>
          </w:tcPr>
          <w:p>
            <w:pPr>
              <w:jc w:val="center"/>
            </w:pPr>
            <w:r>
              <w:rPr>
                <w:b w:val="0"/>
                <w:i w:val="0"/>
                <w:color w:val="auto"/>
                <w:sz w:val="24"/>
              </w:rPr>
              <w:t>7.67</w:t>
            </w:r>
          </w:p>
        </w:tc>
        <w:tc>
          <w:tcPr>
            <w:tcW w:w="1138" w:type="dxa"/>
            <w:shd w:val="clear" w:color="auto" w:fill="auto"/>
            <w:vAlign w:val="center"/>
          </w:tcPr>
          <w:p>
            <w:pPr>
              <w:jc w:val="center"/>
            </w:pPr>
            <w:r>
              <w:rPr>
                <w:b w:val="0"/>
                <w:i w:val="0"/>
                <w:color w:val="auto"/>
                <w:sz w:val="24"/>
              </w:rPr>
              <w:t>10</w:t>
            </w:r>
          </w:p>
        </w:tc>
        <w:tc>
          <w:tcPr>
            <w:tcW w:w="2276" w:type="dxa"/>
            <w:gridSpan w:val="3"/>
            <w:shd w:val="clear" w:color="auto" w:fill="auto"/>
            <w:vAlign w:val="center"/>
          </w:tcPr>
          <w:p>
            <w:pPr>
              <w:jc w:val="center"/>
            </w:pPr>
            <w:r>
              <w:rPr>
                <w:b w:val="0"/>
                <w:i w:val="0"/>
                <w:color w:val="auto"/>
                <w:sz w:val="24"/>
              </w:rPr>
              <w:t>51.89</w:t>
            </w:r>
          </w:p>
        </w:tc>
        <w:tc>
          <w:tcPr>
            <w:tcW w:w="2276" w:type="dxa"/>
            <w:gridSpan w:val="2"/>
            <w:shd w:val="clear" w:color="auto" w:fill="auto"/>
            <w:vAlign w:val="center"/>
          </w:tcPr>
          <w:p>
            <w:pPr>
              <w:jc w:val="center"/>
            </w:pPr>
            <w:r>
              <w:rPr>
                <w:b w:val="0"/>
                <w:i w:val="0"/>
                <w:color w:val="auto"/>
                <w:sz w:val="24"/>
              </w:rPr>
              <w:t>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gridSpan w:val="2"/>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14.78</w:t>
            </w:r>
          </w:p>
        </w:tc>
        <w:tc>
          <w:tcPr>
            <w:tcW w:w="1138" w:type="dxa"/>
            <w:shd w:val="clear" w:color="auto" w:fill="auto"/>
            <w:vAlign w:val="center"/>
          </w:tcPr>
          <w:p>
            <w:pPr>
              <w:jc w:val="center"/>
            </w:pPr>
            <w:r>
              <w:rPr>
                <w:b w:val="0"/>
                <w:i w:val="0"/>
                <w:color w:val="auto"/>
                <w:sz w:val="24"/>
              </w:rPr>
              <w:t>7.67</w:t>
            </w:r>
          </w:p>
        </w:tc>
        <w:tc>
          <w:tcPr>
            <w:tcW w:w="1138" w:type="dxa"/>
            <w:shd w:val="clear" w:color="auto" w:fill="auto"/>
            <w:vAlign w:val="center"/>
          </w:tcPr>
          <w:p>
            <w:pPr>
              <w:jc w:val="center"/>
            </w:pPr>
            <w:r>
              <w:rPr>
                <w:b w:val="0"/>
                <w:i w:val="0"/>
                <w:color w:val="auto"/>
                <w:sz w:val="22"/>
              </w:rPr>
              <w:t>—</w:t>
            </w:r>
          </w:p>
        </w:tc>
        <w:tc>
          <w:tcPr>
            <w:tcW w:w="2276" w:type="dxa"/>
            <w:gridSpan w:val="3"/>
            <w:shd w:val="clear" w:color="auto" w:fill="auto"/>
            <w:vAlign w:val="center"/>
          </w:tcPr>
          <w:p>
            <w:pPr>
              <w:jc w:val="center"/>
            </w:pPr>
            <w:r>
              <w:rPr>
                <w:b w:val="0"/>
                <w:i w:val="0"/>
                <w:color w:val="auto"/>
                <w:sz w:val="24"/>
              </w:rPr>
              <w:t>51.89</w:t>
            </w:r>
          </w:p>
        </w:tc>
        <w:tc>
          <w:tcPr>
            <w:tcW w:w="2276" w:type="dxa"/>
            <w:gridSpan w:val="2"/>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gridSpan w:val="2"/>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3"/>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6"/>
            <w:shd w:val="clear" w:color="auto" w:fill="auto"/>
            <w:vAlign w:val="center"/>
          </w:tcPr>
          <w:p>
            <w:pPr>
              <w:jc w:val="center"/>
            </w:pPr>
            <w:r>
              <w:rPr>
                <w:b w:val="0"/>
                <w:i w:val="0"/>
                <w:color w:val="auto"/>
                <w:sz w:val="24"/>
              </w:rPr>
              <w:t>预期目标</w:t>
            </w:r>
          </w:p>
        </w:tc>
        <w:tc>
          <w:tcPr>
            <w:tcW w:w="6828" w:type="dxa"/>
            <w:gridSpan w:val="7"/>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6"/>
            <w:shd w:val="clear" w:color="auto" w:fill="auto"/>
          </w:tcPr>
          <w:p>
            <w:pPr>
              <w:jc w:val="left"/>
            </w:pPr>
            <w:r>
              <w:rPr>
                <w:b w:val="0"/>
                <w:i w:val="0"/>
                <w:color w:val="auto"/>
                <w:sz w:val="24"/>
              </w:rPr>
              <w:t>依文件规定。</w:t>
            </w:r>
          </w:p>
        </w:tc>
        <w:tc>
          <w:tcPr>
            <w:tcW w:w="6828" w:type="dxa"/>
            <w:gridSpan w:val="7"/>
            <w:shd w:val="clear" w:color="auto" w:fill="auto"/>
          </w:tcPr>
          <w:p>
            <w:pPr>
              <w:jc w:val="left"/>
            </w:pPr>
            <w:r>
              <w:rPr>
                <w:b w:val="0"/>
                <w:i w:val="0"/>
                <w:color w:val="auto"/>
                <w:sz w:val="24"/>
              </w:rPr>
              <w:t>完成部分经费开支计划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3"/>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gridSpan w:val="2"/>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gridSpan w:val="2"/>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3"/>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1</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3"/>
            <w:shd w:val="clear" w:color="auto" w:fill="auto"/>
            <w:vAlign w:val="center"/>
          </w:tcPr>
          <w:p>
            <w:r>
              <w:rPr>
                <w:b w:val="0"/>
                <w:i w:val="0"/>
                <w:color w:val="auto"/>
                <w:sz w:val="22"/>
              </w:rPr>
              <w:t>服务被投诉率</w:t>
            </w:r>
          </w:p>
        </w:tc>
        <w:tc>
          <w:tcPr>
            <w:tcW w:w="2276" w:type="dxa"/>
            <w:gridSpan w:val="2"/>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3"/>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≥80%</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3"/>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≥70%</w:t>
            </w:r>
          </w:p>
        </w:tc>
        <w:tc>
          <w:tcPr>
            <w:tcW w:w="1138" w:type="dxa"/>
            <w:shd w:val="clear" w:color="auto" w:fill="auto"/>
            <w:vAlign w:val="center"/>
          </w:tcPr>
          <w:p>
            <w:r>
              <w:rPr>
                <w:b w:val="0"/>
                <w:i w:val="0"/>
                <w:color w:val="auto"/>
                <w:sz w:val="24"/>
              </w:rPr>
              <w:t>51.89</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7.41</w:t>
            </w:r>
          </w:p>
        </w:tc>
        <w:tc>
          <w:tcPr>
            <w:tcW w:w="2276" w:type="dxa"/>
            <w:gridSpan w:val="2"/>
            <w:shd w:val="clear" w:color="auto" w:fill="auto"/>
            <w:vAlign w:val="center"/>
          </w:tcPr>
          <w:p>
            <w:r>
              <w:rPr>
                <w:b w:val="0"/>
                <w:i w:val="0"/>
                <w:color w:val="auto"/>
                <w:sz w:val="24"/>
              </w:rPr>
              <w:t>已支付至11月，12月项目未完成，无法付款</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3"/>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3"/>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3"/>
            <w:shd w:val="clear" w:color="auto" w:fill="auto"/>
            <w:vAlign w:val="center"/>
          </w:tcPr>
          <w:p>
            <w:r>
              <w:rPr>
                <w:b w:val="0"/>
                <w:i w:val="0"/>
                <w:color w:val="auto"/>
                <w:sz w:val="22"/>
              </w:rPr>
              <w:t>服务对象满意率</w:t>
            </w:r>
          </w:p>
        </w:tc>
        <w:tc>
          <w:tcPr>
            <w:tcW w:w="2276" w:type="dxa"/>
            <w:gridSpan w:val="2"/>
            <w:shd w:val="clear" w:color="auto" w:fill="auto"/>
            <w:vAlign w:val="center"/>
          </w:tcPr>
          <w:p>
            <w:r>
              <w:rPr>
                <w:b w:val="0"/>
                <w:i w:val="0"/>
                <w:color w:val="auto"/>
                <w:sz w:val="24"/>
              </w:rPr>
              <w:t>≥90分</w:t>
            </w:r>
          </w:p>
        </w:tc>
        <w:tc>
          <w:tcPr>
            <w:tcW w:w="1138" w:type="dxa"/>
            <w:shd w:val="clear" w:color="auto" w:fill="auto"/>
            <w:vAlign w:val="center"/>
          </w:tcPr>
          <w:p>
            <w:r>
              <w:rPr>
                <w:b w:val="0"/>
                <w:i w:val="0"/>
                <w:color w:val="auto"/>
                <w:sz w:val="24"/>
              </w:rPr>
              <w:t>100</w:t>
            </w:r>
          </w:p>
        </w:tc>
        <w:tc>
          <w:tcPr>
            <w:tcW w:w="1138" w:type="dxa"/>
            <w:gridSpan w:val="2"/>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gridSpan w:val="2"/>
            <w:shd w:val="clear" w:color="auto" w:fill="auto"/>
            <w:vAlign w:val="center"/>
          </w:tcPr>
          <w:p>
            <w:r>
              <w:rPr>
                <w:b w:val="0"/>
                <w:i w:val="0"/>
                <w:color w:val="auto"/>
                <w:sz w:val="24"/>
              </w:rPr>
              <w:t>无偏差</w:t>
            </w:r>
          </w:p>
        </w:tc>
      </w:tr>
      <w:tr>
        <w:tblPrEx>
          <w:tblLook w:val="0600"/>
        </w:tblPrEx>
        <w:trPr>
          <w:trHeight w:val="480"/>
        </w:trPr>
        <w:tc>
          <w:tcPr>
            <w:tcW w:w="9104" w:type="dxa"/>
            <w:gridSpan w:val="9"/>
            <w:shd w:val="clear" w:color="auto" w:fill="auto"/>
            <w:vAlign w:val="center"/>
          </w:tcPr>
          <w:p>
            <w:pPr>
              <w:jc w:val="center"/>
            </w:pPr>
            <w:r>
              <w:rPr>
                <w:b w:val="0"/>
                <w:i w:val="0"/>
                <w:color w:val="auto"/>
                <w:sz w:val="24"/>
              </w:rPr>
              <w:t>总分</w:t>
            </w:r>
          </w:p>
        </w:tc>
        <w:tc>
          <w:tcPr>
            <w:tcW w:w="4552" w:type="dxa"/>
            <w:gridSpan w:val="5"/>
            <w:shd w:val="clear" w:color="auto" w:fill="auto"/>
            <w:vAlign w:val="center"/>
          </w:tcPr>
          <w:p>
            <w:pPr>
              <w:jc w:val="center"/>
            </w:pPr>
            <w:r>
              <w:rPr>
                <w:b w:val="0"/>
                <w:i w:val="0"/>
                <w:color w:val="auto"/>
                <w:sz w:val="24"/>
              </w:rPr>
              <w:t>87.41</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义务教育学校公用经费（直达资金）</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44.87</w:t>
            </w:r>
          </w:p>
        </w:tc>
        <w:tc>
          <w:tcPr>
            <w:tcW w:w="1138" w:type="dxa"/>
            <w:shd w:val="clear" w:color="auto" w:fill="auto"/>
            <w:vAlign w:val="center"/>
          </w:tcPr>
          <w:p>
            <w:pPr>
              <w:jc w:val="center"/>
            </w:pPr>
            <w:r>
              <w:rPr>
                <w:b w:val="0"/>
                <w:i w:val="0"/>
                <w:color w:val="auto"/>
                <w:sz w:val="24"/>
              </w:rPr>
              <w:t>44.87</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r>
              <w:rPr>
                <w:b w:val="0"/>
                <w:i w:val="0"/>
                <w:color w:val="auto"/>
                <w:sz w:val="24"/>
              </w:rPr>
              <w:t>10</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44.87</w:t>
            </w:r>
          </w:p>
        </w:tc>
        <w:tc>
          <w:tcPr>
            <w:tcW w:w="1138" w:type="dxa"/>
            <w:shd w:val="clear" w:color="auto" w:fill="auto"/>
            <w:vAlign w:val="center"/>
          </w:tcPr>
          <w:p>
            <w:pPr>
              <w:jc w:val="center"/>
            </w:pPr>
            <w:r>
              <w:rPr>
                <w:b w:val="0"/>
                <w:i w:val="0"/>
                <w:color w:val="auto"/>
                <w:sz w:val="24"/>
              </w:rPr>
              <w:t>44.87</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100.00</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已完成经费开支计划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支付次数</w:t>
            </w:r>
          </w:p>
        </w:tc>
        <w:tc>
          <w:tcPr>
            <w:tcW w:w="2276" w:type="dxa"/>
            <w:gridSpan w:val="2"/>
            <w:shd w:val="clear" w:color="auto" w:fill="auto"/>
            <w:vAlign w:val="center"/>
          </w:tcPr>
          <w:p>
            <w:r>
              <w:rPr>
                <w:b w:val="0"/>
                <w:i w:val="0"/>
                <w:color w:val="auto"/>
                <w:sz w:val="24"/>
              </w:rPr>
              <w:t>≥1次</w:t>
            </w:r>
          </w:p>
        </w:tc>
        <w:tc>
          <w:tcPr>
            <w:tcW w:w="1138" w:type="dxa"/>
            <w:shd w:val="clear" w:color="auto" w:fill="auto"/>
            <w:vAlign w:val="center"/>
          </w:tcPr>
          <w:p>
            <w:r>
              <w:rPr>
                <w:b w:val="0"/>
                <w:i w:val="0"/>
                <w:color w:val="auto"/>
                <w:sz w:val="24"/>
              </w:rPr>
              <w:t>53</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验收合格率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≥70%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经济效益指标</w:t>
            </w:r>
          </w:p>
        </w:tc>
        <w:tc>
          <w:tcPr>
            <w:tcW w:w="2276" w:type="dxa"/>
            <w:gridSpan w:val="2"/>
            <w:shd w:val="clear" w:color="auto" w:fill="auto"/>
            <w:vAlign w:val="center"/>
          </w:tcPr>
          <w:p>
            <w:r>
              <w:rPr>
                <w:b w:val="0"/>
                <w:i w:val="0"/>
                <w:color w:val="auto"/>
                <w:sz w:val="22"/>
              </w:rPr>
              <w:t>资金使用合规性</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满意程度</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r>
              <w:rPr>
                <w:b w:val="0"/>
                <w:i w:val="0"/>
                <w:color w:val="auto"/>
                <w:sz w:val="24"/>
              </w:rPr>
              <w:t>无偏差</w:t>
            </w: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100</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516"/>
        <w:gridCol w:w="1092"/>
        <w:gridCol w:w="1777"/>
        <w:gridCol w:w="1443"/>
        <w:gridCol w:w="783"/>
        <w:gridCol w:w="438"/>
        <w:gridCol w:w="1170"/>
        <w:gridCol w:w="1170"/>
        <w:gridCol w:w="983"/>
        <w:gridCol w:w="983"/>
        <w:gridCol w:w="229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项目支出绩效自评表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项目名称</w:t>
            </w:r>
          </w:p>
        </w:tc>
        <w:tc>
          <w:tcPr>
            <w:tcW w:w="10242" w:type="dxa"/>
            <w:gridSpan w:val="8"/>
            <w:shd w:val="clear" w:color="auto" w:fill="auto"/>
            <w:vAlign w:val="center"/>
          </w:tcPr>
          <w:p>
            <w:pPr>
              <w:jc w:val="center"/>
            </w:pPr>
            <w:r>
              <w:rPr>
                <w:b w:val="0"/>
                <w:i w:val="0"/>
                <w:color w:val="auto"/>
                <w:sz w:val="24"/>
              </w:rPr>
              <w:t>预留2024年学校聘用临聘教师经费</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主管部门</w:t>
            </w:r>
          </w:p>
        </w:tc>
        <w:tc>
          <w:tcPr>
            <w:tcW w:w="3414" w:type="dxa"/>
            <w:gridSpan w:val="3"/>
            <w:shd w:val="clear" w:color="auto" w:fill="auto"/>
            <w:vAlign w:val="center"/>
          </w:tcPr>
          <w:p>
            <w:pPr>
              <w:jc w:val="center"/>
            </w:pPr>
            <w:r>
              <w:rPr>
                <w:b w:val="0"/>
                <w:i w:val="0"/>
                <w:color w:val="auto"/>
                <w:sz w:val="24"/>
              </w:rPr>
              <w:t>福州市马尾区教育局</w:t>
            </w:r>
          </w:p>
        </w:tc>
        <w:tc>
          <w:tcPr>
            <w:tcW w:w="2276" w:type="dxa"/>
            <w:gridSpan w:val="2"/>
            <w:shd w:val="clear" w:color="auto" w:fill="auto"/>
            <w:vAlign w:val="center"/>
          </w:tcPr>
          <w:p>
            <w:pPr>
              <w:jc w:val="center"/>
            </w:pPr>
            <w:r>
              <w:rPr>
                <w:b w:val="0"/>
                <w:i w:val="0"/>
                <w:color w:val="auto"/>
                <w:sz w:val="24"/>
              </w:rPr>
              <w:t>实施单位</w:t>
            </w:r>
          </w:p>
        </w:tc>
        <w:tc>
          <w:tcPr>
            <w:tcW w:w="4552" w:type="dxa"/>
            <w:gridSpan w:val="3"/>
            <w:shd w:val="clear" w:color="auto" w:fill="auto"/>
            <w:vAlign w:val="center"/>
          </w:tcPr>
          <w:p>
            <w:pPr>
              <w:jc w:val="center"/>
            </w:pPr>
            <w:r>
              <w:rPr>
                <w:b w:val="0"/>
                <w:i w:val="0"/>
                <w:color w:val="auto"/>
                <w:sz w:val="24"/>
              </w:rPr>
              <w:t>福州市马尾第一中学</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54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年度资金总额</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3.14</w:t>
            </w:r>
          </w:p>
        </w:tc>
        <w:tc>
          <w:tcPr>
            <w:tcW w:w="1138" w:type="dxa"/>
            <w:shd w:val="clear" w:color="auto" w:fill="auto"/>
            <w:vAlign w:val="center"/>
          </w:tcPr>
          <w:p>
            <w:pPr>
              <w:jc w:val="center"/>
            </w:pPr>
            <w:r>
              <w:rPr>
                <w:b w:val="0"/>
                <w:i w:val="0"/>
                <w:color w:val="auto"/>
                <w:sz w:val="24"/>
              </w:rPr>
              <w:t>2.42</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77.07</w:t>
            </w:r>
          </w:p>
        </w:tc>
        <w:tc>
          <w:tcPr>
            <w:tcW w:w="2276" w:type="dxa"/>
            <w:shd w:val="clear" w:color="auto" w:fill="auto"/>
            <w:vAlign w:val="center"/>
          </w:tcPr>
          <w:p>
            <w:pPr>
              <w:jc w:val="center"/>
            </w:pPr>
            <w:r>
              <w:rPr>
                <w:b w:val="0"/>
                <w:i w:val="0"/>
                <w:color w:val="auto"/>
                <w:sz w:val="24"/>
              </w:rPr>
              <w:t>5</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其中：当年财政拨款</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3.14</w:t>
            </w:r>
          </w:p>
        </w:tc>
        <w:tc>
          <w:tcPr>
            <w:tcW w:w="1138" w:type="dxa"/>
            <w:shd w:val="clear" w:color="auto" w:fill="auto"/>
            <w:vAlign w:val="center"/>
          </w:tcPr>
          <w:p>
            <w:pPr>
              <w:jc w:val="center"/>
            </w:pPr>
            <w:r>
              <w:rPr>
                <w:b w:val="0"/>
                <w:i w:val="0"/>
                <w:color w:val="auto"/>
                <w:sz w:val="24"/>
              </w:rPr>
              <w:t>2.42</w:t>
            </w:r>
          </w:p>
        </w:tc>
        <w:tc>
          <w:tcPr>
            <w:tcW w:w="1138" w:type="dxa"/>
            <w:shd w:val="clear" w:color="auto" w:fill="auto"/>
            <w:vAlign w:val="center"/>
          </w:tcPr>
          <w:p>
            <w:pPr>
              <w:jc w:val="center"/>
            </w:pPr>
            <w:r>
              <w:rPr>
                <w:b w:val="0"/>
                <w:i w:val="0"/>
                <w:color w:val="auto"/>
                <w:sz w:val="22"/>
              </w:rPr>
              <w:t>—</w:t>
            </w:r>
          </w:p>
        </w:tc>
        <w:tc>
          <w:tcPr>
            <w:tcW w:w="2276" w:type="dxa"/>
            <w:gridSpan w:val="2"/>
            <w:shd w:val="clear" w:color="auto" w:fill="auto"/>
            <w:vAlign w:val="center"/>
          </w:tcPr>
          <w:p>
            <w:pPr>
              <w:jc w:val="center"/>
            </w:pPr>
            <w:r>
              <w:rPr>
                <w:b w:val="0"/>
                <w:i w:val="0"/>
                <w:color w:val="auto"/>
                <w:sz w:val="24"/>
              </w:rPr>
              <w:t>77.07</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w:t>
            </w: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5690" w:type="dxa"/>
            <w:gridSpan w:val="5"/>
            <w:shd w:val="clear" w:color="auto" w:fill="auto"/>
            <w:vAlign w:val="center"/>
          </w:tcPr>
          <w:p>
            <w:pPr>
              <w:jc w:val="center"/>
            </w:pPr>
            <w:r>
              <w:rPr>
                <w:b w:val="0"/>
                <w:i w:val="0"/>
                <w:color w:val="auto"/>
                <w:sz w:val="24"/>
              </w:rPr>
              <w:t>预期目标</w:t>
            </w:r>
          </w:p>
        </w:tc>
        <w:tc>
          <w:tcPr>
            <w:tcW w:w="6828" w:type="dxa"/>
            <w:gridSpan w:val="5"/>
            <w:shd w:val="clear" w:color="auto" w:fill="auto"/>
            <w:vAlign w:val="center"/>
          </w:tcPr>
          <w:p>
            <w:pPr>
              <w:jc w:val="center"/>
            </w:pPr>
            <w:r>
              <w:rPr>
                <w:b w:val="0"/>
                <w:i w:val="0"/>
                <w:color w:val="auto"/>
                <w:sz w:val="24"/>
              </w:rPr>
              <w:t>实际完成情况</w:t>
            </w:r>
          </w:p>
        </w:tc>
      </w:tr>
      <w:tr>
        <w:tblPrEx>
          <w:tblLook w:val="0600"/>
        </w:tblPrEx>
        <w:trPr>
          <w:trHeight w:val="1380"/>
        </w:trPr>
        <w:tc>
          <w:tcPr>
            <w:tcW w:w="1138" w:type="dxa"/>
            <w:vMerge/>
            <w:shd w:val="clear" w:color="auto" w:fill="auto"/>
            <w:vAlign w:val="center"/>
          </w:tcPr>
          <w:p>
            <w:pPr>
              <w:jc w:val="center"/>
            </w:pPr>
          </w:p>
        </w:tc>
        <w:tc>
          <w:tcPr>
            <w:tcW w:w="5690" w:type="dxa"/>
            <w:gridSpan w:val="5"/>
            <w:shd w:val="clear" w:color="auto" w:fill="auto"/>
          </w:tcPr>
          <w:p>
            <w:pPr>
              <w:jc w:val="left"/>
            </w:pPr>
            <w:r>
              <w:rPr>
                <w:b w:val="0"/>
                <w:i w:val="0"/>
                <w:color w:val="auto"/>
                <w:sz w:val="24"/>
              </w:rPr>
              <w:t>依文件规定。</w:t>
            </w:r>
          </w:p>
        </w:tc>
        <w:tc>
          <w:tcPr>
            <w:tcW w:w="6828" w:type="dxa"/>
            <w:gridSpan w:val="5"/>
            <w:shd w:val="clear" w:color="auto" w:fill="auto"/>
          </w:tcPr>
          <w:p>
            <w:pPr>
              <w:jc w:val="left"/>
            </w:pPr>
            <w:r>
              <w:rPr>
                <w:b w:val="0"/>
                <w:i w:val="0"/>
                <w:color w:val="auto"/>
                <w:sz w:val="24"/>
              </w:rPr>
              <w:t>完成经费开支计划</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涉及教师数</w:t>
            </w:r>
          </w:p>
        </w:tc>
        <w:tc>
          <w:tcPr>
            <w:tcW w:w="2276" w:type="dxa"/>
            <w:gridSpan w:val="2"/>
            <w:shd w:val="clear" w:color="auto" w:fill="auto"/>
            <w:vAlign w:val="center"/>
          </w:tcPr>
          <w:p>
            <w:r>
              <w:rPr>
                <w:b w:val="0"/>
                <w:i w:val="0"/>
                <w:color w:val="auto"/>
                <w:sz w:val="24"/>
              </w:rPr>
              <w:t>≥6人</w:t>
            </w:r>
          </w:p>
        </w:tc>
        <w:tc>
          <w:tcPr>
            <w:tcW w:w="1138" w:type="dxa"/>
            <w:shd w:val="clear" w:color="auto" w:fill="auto"/>
            <w:vAlign w:val="center"/>
          </w:tcPr>
          <w:p>
            <w:r>
              <w:rPr>
                <w:b w:val="0"/>
                <w:i w:val="0"/>
                <w:color w:val="auto"/>
                <w:sz w:val="24"/>
              </w:rPr>
              <w:t>12</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资金发放及时率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15</w:t>
            </w:r>
          </w:p>
        </w:tc>
        <w:tc>
          <w:tcPr>
            <w:tcW w:w="1138" w:type="dxa"/>
            <w:shd w:val="clear" w:color="auto" w:fill="auto"/>
            <w:vAlign w:val="center"/>
          </w:tcPr>
          <w:p>
            <w:r>
              <w:rPr>
                <w:b w:val="0"/>
                <w:i w:val="0"/>
                <w:color w:val="auto"/>
                <w:sz w:val="24"/>
              </w:rPr>
              <w:t>15</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资金使用率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77.07</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8.56</w:t>
            </w:r>
          </w:p>
        </w:tc>
        <w:tc>
          <w:tcPr>
            <w:tcW w:w="2276" w:type="dxa"/>
            <w:shd w:val="clear" w:color="auto" w:fill="auto"/>
            <w:vAlign w:val="center"/>
          </w:tcPr>
          <w:p>
            <w:r>
              <w:rPr>
                <w:b w:val="0"/>
                <w:i w:val="0"/>
                <w:color w:val="auto"/>
                <w:sz w:val="24"/>
              </w:rPr>
              <w:t>项目预算高于实际开支</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社会效益指标</w:t>
            </w:r>
          </w:p>
        </w:tc>
        <w:tc>
          <w:tcPr>
            <w:tcW w:w="2276" w:type="dxa"/>
            <w:gridSpan w:val="2"/>
            <w:shd w:val="clear" w:color="auto" w:fill="auto"/>
            <w:vAlign w:val="center"/>
          </w:tcPr>
          <w:p>
            <w:r>
              <w:rPr>
                <w:b w:val="0"/>
                <w:i w:val="0"/>
                <w:color w:val="auto"/>
                <w:sz w:val="22"/>
              </w:rPr>
              <w:t>教师待遇落实率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30</w:t>
            </w:r>
          </w:p>
        </w:tc>
        <w:tc>
          <w:tcPr>
            <w:tcW w:w="1138" w:type="dxa"/>
            <w:shd w:val="clear" w:color="auto" w:fill="auto"/>
            <w:vAlign w:val="center"/>
          </w:tcPr>
          <w:p>
            <w:r>
              <w:rPr>
                <w:b w:val="0"/>
                <w:i w:val="0"/>
                <w:color w:val="auto"/>
                <w:sz w:val="24"/>
              </w:rPr>
              <w:t>30</w:t>
            </w:r>
          </w:p>
        </w:tc>
        <w:tc>
          <w:tcPr>
            <w:tcW w:w="2276" w:type="dxa"/>
            <w:shd w:val="clear" w:color="auto" w:fill="auto"/>
            <w:vAlign w:val="center"/>
          </w:tc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受益教师满意率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tc>
      </w:tr>
      <w:tr>
        <w:tblPrEx>
          <w:tblLook w:val="0600"/>
        </w:tblPrEx>
        <w:trPr>
          <w:trHeight w:val="480"/>
        </w:trPr>
        <w:tc>
          <w:tcPr>
            <w:tcW w:w="9104" w:type="dxa"/>
            <w:gridSpan w:val="8"/>
            <w:shd w:val="clear" w:color="auto" w:fill="auto"/>
            <w:vAlign w:val="center"/>
          </w:tcPr>
          <w:p>
            <w:pPr>
              <w:jc w:val="center"/>
            </w:pPr>
            <w:r>
              <w:rPr>
                <w:b w:val="0"/>
                <w:i w:val="0"/>
                <w:color w:val="auto"/>
                <w:sz w:val="24"/>
              </w:rPr>
              <w:t>总分</w:t>
            </w:r>
          </w:p>
        </w:tc>
        <w:tc>
          <w:tcPr>
            <w:tcW w:w="4552" w:type="dxa"/>
            <w:gridSpan w:val="3"/>
            <w:shd w:val="clear" w:color="auto" w:fill="auto"/>
            <w:vAlign w:val="center"/>
          </w:tcPr>
          <w:p>
            <w:pPr>
              <w:jc w:val="center"/>
            </w:pPr>
            <w:r>
              <w:rPr>
                <w:b w:val="0"/>
                <w:i w:val="0"/>
                <w:color w:val="auto"/>
                <w:sz w:val="24"/>
              </w:rPr>
              <w:t>93.56</w:t>
            </w:r>
          </w:p>
        </w:tc>
      </w:tr>
    </w:tbl>
    <w:p>
      <w:pPr>
        <w:sectPr>
          <w:pgSz w:w="16840" w:h="11900" w:orient="landscape"/>
          <w:pgMar w:top="1270" w:right="1590" w:bottom="1270" w:left="1590" w:header="720" w:footer="720" w:gutter="0"/>
          <w:cols w:space="708"/>
        </w:sect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393"/>
        <w:gridCol w:w="1318"/>
        <w:gridCol w:w="1633"/>
        <w:gridCol w:w="2393"/>
        <w:gridCol w:w="704"/>
        <w:gridCol w:w="371"/>
        <w:gridCol w:w="1075"/>
        <w:gridCol w:w="1075"/>
        <w:gridCol w:w="904"/>
        <w:gridCol w:w="903"/>
        <w:gridCol w:w="2107"/>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450"/>
        </w:trPr>
        <w:tc>
          <w:tcPr>
            <w:tcW w:w="13656" w:type="dxa"/>
            <w:gridSpan w:val="11"/>
            <w:shd w:val="clear" w:color="auto" w:fill="auto"/>
            <w:vAlign w:val="center"/>
          </w:tcPr>
          <w:p>
            <w:pPr>
              <w:jc w:val="center"/>
            </w:pPr>
            <w:r>
              <w:rPr>
                <w:b/>
                <w:i w:val="0"/>
                <w:color w:val="auto"/>
                <w:sz w:val="36"/>
              </w:rPr>
              <w:t>部门整体绩效自评表</w:t>
            </w:r>
          </w:p>
        </w:tc>
      </w:tr>
      <w:tr>
        <w:tblPrEx>
          <w:tblLook w:val="0600"/>
        </w:tblPrEx>
        <w:trPr>
          <w:trHeight w:val="480"/>
        </w:trPr>
        <w:tc>
          <w:tcPr>
            <w:tcW w:w="13656" w:type="dxa"/>
            <w:gridSpan w:val="11"/>
            <w:shd w:val="clear" w:color="auto" w:fill="auto"/>
            <w:vAlign w:val="center"/>
          </w:tcPr>
          <w:p>
            <w:pPr>
              <w:jc w:val="center"/>
            </w:pPr>
            <w:r>
              <w:rPr>
                <w:b w:val="0"/>
                <w:i w:val="0"/>
                <w:color w:val="auto"/>
                <w:sz w:val="24"/>
              </w:rPr>
              <w:t>（2024年度）</w:t>
            </w:r>
          </w:p>
        </w:tc>
      </w:tr>
      <w:tr>
        <w:tblPrEx>
          <w:tblLook w:val="0600"/>
        </w:tblPrEx>
        <w:trPr>
          <w:trHeight w:val="480"/>
        </w:trPr>
        <w:tc>
          <w:tcPr>
            <w:tcW w:w="3414" w:type="dxa"/>
            <w:gridSpan w:val="3"/>
            <w:shd w:val="clear" w:color="auto" w:fill="auto"/>
            <w:vAlign w:val="center"/>
          </w:tcPr>
          <w:p>
            <w:pPr>
              <w:jc w:val="center"/>
            </w:pPr>
            <w:r>
              <w:rPr>
                <w:b w:val="0"/>
                <w:i w:val="0"/>
                <w:color w:val="auto"/>
                <w:sz w:val="24"/>
              </w:rPr>
              <w:t>部门（单位）名称</w:t>
            </w:r>
          </w:p>
        </w:tc>
        <w:tc>
          <w:tcPr>
            <w:tcW w:w="3414" w:type="dxa"/>
            <w:gridSpan w:val="3"/>
            <w:shd w:val="clear" w:color="auto" w:fill="auto"/>
            <w:vAlign w:val="center"/>
          </w:tcPr>
          <w:p>
            <w:pPr>
              <w:jc w:val="center"/>
            </w:pPr>
            <w:r>
              <w:rPr>
                <w:b w:val="0"/>
                <w:i w:val="0"/>
                <w:color w:val="auto"/>
                <w:sz w:val="24"/>
              </w:rPr>
              <w:t>福州市马尾第一中学</w:t>
            </w:r>
          </w:p>
        </w:tc>
        <w:tc>
          <w:tcPr>
            <w:tcW w:w="2276" w:type="dxa"/>
            <w:gridSpan w:val="2"/>
            <w:shd w:val="clear" w:color="auto" w:fill="auto"/>
            <w:vAlign w:val="center"/>
          </w:tcPr>
          <w:p>
            <w:pPr>
              <w:jc w:val="center"/>
            </w:pPr>
            <w:r>
              <w:rPr>
                <w:b w:val="0"/>
                <w:i w:val="0"/>
                <w:color w:val="auto"/>
                <w:sz w:val="24"/>
              </w:rPr>
              <w:t>部门预算编码</w:t>
            </w:r>
          </w:p>
        </w:tc>
        <w:tc>
          <w:tcPr>
            <w:tcW w:w="4552" w:type="dxa"/>
            <w:gridSpan w:val="3"/>
            <w:shd w:val="clear" w:color="auto" w:fill="auto"/>
            <w:vAlign w:val="center"/>
          </w:tcPr>
          <w:p>
            <w:pPr>
              <w:jc w:val="center"/>
            </w:pPr>
            <w:r>
              <w:rPr>
                <w:b w:val="0"/>
                <w:i w:val="0"/>
                <w:color w:val="auto"/>
                <w:sz w:val="24"/>
              </w:rPr>
              <w:t>049012</w:t>
            </w: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项目资金(万元)</w:t>
            </w:r>
          </w:p>
        </w:tc>
        <w:tc>
          <w:tcPr>
            <w:tcW w:w="2276" w:type="dxa"/>
            <w:gridSpan w:val="2"/>
            <w:shd w:val="clear" w:color="auto" w:fill="auto"/>
            <w:vAlign w:val="center"/>
          </w:tcPr>
          <w:p>
            <w:pPr>
              <w:jc w:val="center"/>
            </w:pPr>
          </w:p>
        </w:tc>
        <w:tc>
          <w:tcPr>
            <w:tcW w:w="1138" w:type="dxa"/>
            <w:shd w:val="clear" w:color="auto" w:fill="auto"/>
            <w:vAlign w:val="center"/>
          </w:tcPr>
          <w:p>
            <w:pPr>
              <w:jc w:val="center"/>
            </w:pPr>
            <w:r>
              <w:rPr>
                <w:b w:val="0"/>
                <w:i w:val="0"/>
                <w:color w:val="auto"/>
                <w:sz w:val="24"/>
              </w:rPr>
              <w:t>年初预算数</w:t>
            </w:r>
          </w:p>
        </w:tc>
        <w:tc>
          <w:tcPr>
            <w:tcW w:w="2276" w:type="dxa"/>
            <w:gridSpan w:val="2"/>
            <w:shd w:val="clear" w:color="auto" w:fill="auto"/>
            <w:vAlign w:val="center"/>
          </w:tcPr>
          <w:p>
            <w:pPr>
              <w:jc w:val="center"/>
            </w:pPr>
            <w:r>
              <w:rPr>
                <w:b w:val="0"/>
                <w:i w:val="0"/>
                <w:color w:val="auto"/>
                <w:sz w:val="24"/>
              </w:rPr>
              <w:t>全年预算数</w:t>
            </w:r>
          </w:p>
        </w:tc>
        <w:tc>
          <w:tcPr>
            <w:tcW w:w="1138" w:type="dxa"/>
            <w:shd w:val="clear" w:color="auto" w:fill="auto"/>
            <w:vAlign w:val="center"/>
          </w:tcPr>
          <w:p>
            <w:pPr>
              <w:jc w:val="center"/>
            </w:pPr>
            <w:r>
              <w:rPr>
                <w:b w:val="0"/>
                <w:i w:val="0"/>
                <w:color w:val="auto"/>
                <w:sz w:val="24"/>
              </w:rPr>
              <w:t>全年执行数</w:t>
            </w:r>
          </w:p>
        </w:tc>
        <w:tc>
          <w:tcPr>
            <w:tcW w:w="1138" w:type="dxa"/>
            <w:shd w:val="clear" w:color="auto" w:fill="auto"/>
            <w:vAlign w:val="center"/>
          </w:tcPr>
          <w:p>
            <w:pPr>
              <w:jc w:val="center"/>
            </w:pPr>
            <w:r>
              <w:rPr>
                <w:b w:val="0"/>
                <w:i w:val="0"/>
                <w:color w:val="auto"/>
                <w:sz w:val="24"/>
              </w:rPr>
              <w:t>分值</w:t>
            </w:r>
          </w:p>
        </w:tc>
        <w:tc>
          <w:tcPr>
            <w:tcW w:w="2276" w:type="dxa"/>
            <w:gridSpan w:val="2"/>
            <w:shd w:val="clear" w:color="auto" w:fill="auto"/>
            <w:vAlign w:val="center"/>
          </w:tcPr>
          <w:p>
            <w:pPr>
              <w:jc w:val="center"/>
            </w:pPr>
            <w:r>
              <w:rPr>
                <w:b w:val="0"/>
                <w:i w:val="0"/>
                <w:color w:val="auto"/>
                <w:sz w:val="24"/>
              </w:rPr>
              <w:t>执行率</w:t>
            </w:r>
          </w:p>
        </w:tc>
        <w:tc>
          <w:tcPr>
            <w:tcW w:w="2276" w:type="dxa"/>
            <w:shd w:val="clear" w:color="auto" w:fill="auto"/>
            <w:vAlign w:val="center"/>
          </w:tcPr>
          <w:p>
            <w:pPr>
              <w:jc w:val="center"/>
            </w:pPr>
            <w:r>
              <w:rPr>
                <w:b w:val="0"/>
                <w:i w:val="0"/>
                <w:color w:val="auto"/>
                <w:sz w:val="24"/>
              </w:rPr>
              <w:t>得分</w:t>
            </w:r>
          </w:p>
        </w:tc>
      </w:tr>
      <w:tr>
        <w:tblPrEx>
          <w:tblLook w:val="0600"/>
        </w:tblPrEx>
        <w:trPr>
          <w:trHeight w:val="60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资金总额</w:t>
            </w:r>
          </w:p>
        </w:tc>
        <w:tc>
          <w:tcPr>
            <w:tcW w:w="1138" w:type="dxa"/>
            <w:shd w:val="clear" w:color="auto" w:fill="auto"/>
            <w:vAlign w:val="center"/>
          </w:tcPr>
          <w:p>
            <w:pPr>
              <w:jc w:val="center"/>
            </w:pPr>
            <w:r>
              <w:rPr>
                <w:b w:val="0"/>
                <w:i w:val="0"/>
                <w:color w:val="auto"/>
                <w:sz w:val="24"/>
              </w:rPr>
              <w:t>5434.64</w:t>
            </w:r>
          </w:p>
        </w:tc>
        <w:tc>
          <w:tcPr>
            <w:tcW w:w="2276" w:type="dxa"/>
            <w:gridSpan w:val="2"/>
            <w:shd w:val="clear" w:color="auto" w:fill="auto"/>
            <w:vAlign w:val="center"/>
          </w:tcPr>
          <w:p>
            <w:pPr>
              <w:jc w:val="center"/>
            </w:pPr>
            <w:r>
              <w:rPr>
                <w:b w:val="0"/>
                <w:i w:val="0"/>
                <w:color w:val="auto"/>
                <w:sz w:val="24"/>
              </w:rPr>
              <w:t>9040.08</w:t>
            </w:r>
          </w:p>
        </w:tc>
        <w:tc>
          <w:tcPr>
            <w:tcW w:w="1138" w:type="dxa"/>
            <w:shd w:val="clear" w:color="auto" w:fill="auto"/>
            <w:vAlign w:val="center"/>
          </w:tcPr>
          <w:p>
            <w:pPr>
              <w:jc w:val="center"/>
            </w:pPr>
            <w:r>
              <w:rPr>
                <w:b w:val="0"/>
                <w:i w:val="0"/>
                <w:color w:val="auto"/>
                <w:sz w:val="24"/>
              </w:rPr>
              <w:t>7166.47</w:t>
            </w:r>
          </w:p>
        </w:tc>
        <w:tc>
          <w:tcPr>
            <w:tcW w:w="1138" w:type="dxa"/>
            <w:shd w:val="clear" w:color="auto" w:fill="auto"/>
            <w:vAlign w:val="center"/>
          </w:tcPr>
          <w:p>
            <w:pPr>
              <w:jc w:val="center"/>
            </w:pPr>
            <w:r>
              <w:rPr>
                <w:b w:val="0"/>
                <w:i w:val="0"/>
                <w:color w:val="auto"/>
                <w:sz w:val="24"/>
              </w:rPr>
              <w:t>10</w:t>
            </w:r>
          </w:p>
        </w:tc>
        <w:tc>
          <w:tcPr>
            <w:tcW w:w="2276" w:type="dxa"/>
            <w:gridSpan w:val="2"/>
            <w:shd w:val="clear" w:color="auto" w:fill="auto"/>
            <w:vAlign w:val="center"/>
          </w:tcPr>
          <w:p>
            <w:pPr>
              <w:jc w:val="center"/>
            </w:pPr>
            <w:r>
              <w:rPr>
                <w:b w:val="0"/>
                <w:i w:val="0"/>
                <w:color w:val="auto"/>
                <w:sz w:val="24"/>
              </w:rPr>
              <w:t>79.27</w:t>
            </w:r>
          </w:p>
        </w:tc>
        <w:tc>
          <w:tcPr>
            <w:tcW w:w="2276" w:type="dxa"/>
            <w:shd w:val="clear" w:color="auto" w:fill="auto"/>
            <w:vAlign w:val="center"/>
          </w:tcPr>
          <w:p>
            <w:pPr>
              <w:jc w:val="center"/>
            </w:pPr>
            <w:r>
              <w:rPr>
                <w:b w:val="0"/>
                <w:i w:val="0"/>
                <w:color w:val="auto"/>
                <w:sz w:val="24"/>
              </w:rPr>
              <w:t>5</w:t>
            </w: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财政资金</w:t>
            </w:r>
          </w:p>
        </w:tc>
        <w:tc>
          <w:tcPr>
            <w:tcW w:w="1138" w:type="dxa"/>
            <w:shd w:val="clear" w:color="auto" w:fill="auto"/>
            <w:vAlign w:val="center"/>
          </w:tcPr>
          <w:p>
            <w:pPr>
              <w:jc w:val="center"/>
            </w:pPr>
            <w:r>
              <w:rPr>
                <w:b w:val="0"/>
                <w:i w:val="0"/>
                <w:color w:val="auto"/>
                <w:sz w:val="24"/>
              </w:rPr>
              <w:t>5434.64</w:t>
            </w:r>
          </w:p>
        </w:tc>
        <w:tc>
          <w:tcPr>
            <w:tcW w:w="2276" w:type="dxa"/>
            <w:gridSpan w:val="2"/>
            <w:shd w:val="clear" w:color="auto" w:fill="auto"/>
            <w:vAlign w:val="center"/>
          </w:tcPr>
          <w:p>
            <w:pPr>
              <w:jc w:val="center"/>
            </w:pPr>
            <w:r>
              <w:rPr>
                <w:b w:val="0"/>
                <w:i w:val="0"/>
                <w:color w:val="auto"/>
                <w:sz w:val="24"/>
              </w:rPr>
              <w:t>9040.08</w:t>
            </w:r>
          </w:p>
        </w:tc>
        <w:tc>
          <w:tcPr>
            <w:tcW w:w="1138" w:type="dxa"/>
            <w:shd w:val="clear" w:color="auto" w:fill="auto"/>
            <w:vAlign w:val="center"/>
          </w:tcPr>
          <w:p>
            <w:pPr>
              <w:jc w:val="center"/>
            </w:pPr>
            <w:r>
              <w:rPr>
                <w:b w:val="0"/>
                <w:i w:val="0"/>
                <w:color w:val="auto"/>
                <w:sz w:val="24"/>
              </w:rPr>
              <w:t>7166.47</w:t>
            </w:r>
          </w:p>
        </w:tc>
        <w:tc>
          <w:tcPr>
            <w:tcW w:w="1138" w:type="dxa"/>
            <w:shd w:val="clear" w:color="auto" w:fill="auto"/>
            <w:vAlign w:val="center"/>
          </w:tcPr>
          <w:p>
            <w:pPr>
              <w:jc w:val="center"/>
            </w:pPr>
          </w:p>
        </w:tc>
        <w:tc>
          <w:tcPr>
            <w:tcW w:w="2276" w:type="dxa"/>
            <w:gridSpan w:val="2"/>
            <w:shd w:val="clear" w:color="auto" w:fill="auto"/>
            <w:vAlign w:val="center"/>
          </w:tcPr>
          <w:p>
            <w:pPr>
              <w:jc w:val="center"/>
            </w:pPr>
            <w:r>
              <w:rPr>
                <w:b w:val="0"/>
                <w:i w:val="0"/>
                <w:color w:val="auto"/>
                <w:sz w:val="24"/>
              </w:rPr>
              <w:t>79.27</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p>
        </w:tc>
        <w:tc>
          <w:tcPr>
            <w:tcW w:w="2276" w:type="dxa"/>
            <w:gridSpan w:val="2"/>
            <w:shd w:val="clear" w:color="auto" w:fill="auto"/>
            <w:vAlign w:val="center"/>
          </w:tcPr>
          <w:p>
            <w:pPr>
              <w:jc w:val="left"/>
            </w:pPr>
            <w:r>
              <w:rPr>
                <w:b w:val="0"/>
                <w:i w:val="0"/>
                <w:color w:val="auto"/>
                <w:sz w:val="24"/>
              </w:rPr>
              <w:t>其他资金</w:t>
            </w:r>
          </w:p>
        </w:tc>
        <w:tc>
          <w:tcPr>
            <w:tcW w:w="1138" w:type="dxa"/>
            <w:shd w:val="clear" w:color="auto" w:fill="auto"/>
            <w:vAlign w:val="center"/>
          </w:tcPr>
          <w:p>
            <w:pPr>
              <w:jc w:val="center"/>
            </w:pPr>
            <w:r>
              <w:rPr>
                <w:b w:val="0"/>
                <w:i w:val="0"/>
                <w:color w:val="auto"/>
                <w:sz w:val="24"/>
              </w:rPr>
              <w:t>0.00</w:t>
            </w:r>
          </w:p>
        </w:tc>
        <w:tc>
          <w:tcPr>
            <w:tcW w:w="2276" w:type="dxa"/>
            <w:gridSpan w:val="2"/>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r>
              <w:rPr>
                <w:b w:val="0"/>
                <w:i w:val="0"/>
                <w:color w:val="auto"/>
                <w:sz w:val="24"/>
              </w:rPr>
              <w:t>0.00</w:t>
            </w:r>
          </w:p>
        </w:tc>
        <w:tc>
          <w:tcPr>
            <w:tcW w:w="1138" w:type="dxa"/>
            <w:shd w:val="clear" w:color="auto" w:fill="auto"/>
            <w:vAlign w:val="center"/>
          </w:tcPr>
          <w:p>
            <w:pPr>
              <w:jc w:val="center"/>
            </w:pPr>
          </w:p>
        </w:tc>
        <w:tc>
          <w:tcPr>
            <w:tcW w:w="2276" w:type="dxa"/>
            <w:gridSpan w:val="2"/>
            <w:shd w:val="clear" w:color="auto" w:fill="auto"/>
            <w:vAlign w:val="center"/>
          </w:tcPr>
          <w:p>
            <w:pPr>
              <w:jc w:val="center"/>
            </w:pPr>
            <w:r>
              <w:rPr>
                <w:b w:val="0"/>
                <w:i w:val="0"/>
                <w:color w:val="auto"/>
                <w:sz w:val="24"/>
              </w:rPr>
              <w:t>0.00</w:t>
            </w:r>
          </w:p>
        </w:tc>
        <w:tc>
          <w:tcPr>
            <w:tcW w:w="2276" w:type="dxa"/>
            <w:shd w:val="clear" w:color="auto" w:fill="auto"/>
            <w:vAlign w:val="center"/>
          </w:tcPr>
          <w:p>
            <w:pPr>
              <w:jc w:val="center"/>
            </w:pPr>
          </w:p>
        </w:tc>
      </w:tr>
      <w:tr>
        <w:tblPrEx>
          <w:tblLook w:val="0600"/>
        </w:tblPrEx>
        <w:trPr>
          <w:trHeight w:val="480"/>
        </w:trPr>
        <w:tc>
          <w:tcPr>
            <w:tcW w:w="1138" w:type="dxa"/>
            <w:vMerge w:val="restart"/>
            <w:shd w:val="clear" w:color="auto" w:fill="auto"/>
            <w:vAlign w:val="center"/>
          </w:tcPr>
          <w:p>
            <w:pPr>
              <w:jc w:val="center"/>
            </w:pPr>
            <w:r>
              <w:rPr>
                <w:b w:val="0"/>
                <w:i w:val="0"/>
                <w:color w:val="auto"/>
                <w:sz w:val="24"/>
              </w:rPr>
              <w:t>年度总体目标</w:t>
            </w:r>
          </w:p>
        </w:tc>
        <w:tc>
          <w:tcPr>
            <w:tcW w:w="6828" w:type="dxa"/>
            <w:gridSpan w:val="6"/>
            <w:shd w:val="clear" w:color="auto" w:fill="auto"/>
            <w:vAlign w:val="center"/>
          </w:tcPr>
          <w:p>
            <w:pPr>
              <w:jc w:val="center"/>
            </w:pPr>
            <w:r>
              <w:rPr>
                <w:b w:val="0"/>
                <w:i w:val="0"/>
                <w:color w:val="auto"/>
                <w:sz w:val="24"/>
              </w:rPr>
              <w:t>预期目标</w:t>
            </w:r>
          </w:p>
        </w:tc>
        <w:tc>
          <w:tcPr>
            <w:tcW w:w="5690" w:type="dxa"/>
            <w:gridSpan w:val="4"/>
            <w:shd w:val="clear" w:color="auto" w:fill="auto"/>
            <w:vAlign w:val="center"/>
          </w:tcPr>
          <w:p>
            <w:pPr>
              <w:jc w:val="center"/>
            </w:pPr>
            <w:r>
              <w:rPr>
                <w:b w:val="0"/>
                <w:i w:val="0"/>
                <w:color w:val="auto"/>
                <w:sz w:val="24"/>
              </w:rPr>
              <w:t>目标实际完成情况</w:t>
            </w:r>
          </w:p>
        </w:tc>
      </w:tr>
      <w:tr>
        <w:tblPrEx>
          <w:tblLook w:val="0600"/>
        </w:tblPrEx>
        <w:trPr>
          <w:trHeight w:val="480"/>
        </w:trPr>
        <w:tc>
          <w:tcPr>
            <w:tcW w:w="1138" w:type="dxa"/>
            <w:vMerge/>
            <w:shd w:val="clear" w:color="auto" w:fill="auto"/>
            <w:vAlign w:val="center"/>
          </w:tcPr>
          <w:p>
            <w:pPr>
              <w:jc w:val="center"/>
            </w:pPr>
          </w:p>
        </w:tc>
        <w:tc>
          <w:tcPr>
            <w:tcW w:w="6828" w:type="dxa"/>
            <w:gridSpan w:val="6"/>
            <w:shd w:val="clear" w:color="auto" w:fill="auto"/>
            <w:vAlign w:val="center"/>
          </w:tcPr>
          <w:p>
            <w:pPr>
              <w:jc w:val="center"/>
            </w:pPr>
            <w:r>
              <w:rPr>
                <w:b w:val="0"/>
                <w:i w:val="0"/>
                <w:color w:val="auto"/>
                <w:sz w:val="24"/>
              </w:rPr>
              <w:t>完成年度单位各种日常办公和其他经费使用任务</w:t>
            </w:r>
          </w:p>
        </w:tc>
        <w:tc>
          <w:tcPr>
            <w:tcW w:w="5690" w:type="dxa"/>
            <w:gridSpan w:val="4"/>
            <w:shd w:val="clear" w:color="auto" w:fill="auto"/>
            <w:vAlign w:val="center"/>
          </w:tcPr>
          <w:p>
            <w:pPr>
              <w:jc w:val="center"/>
            </w:pPr>
            <w:r>
              <w:rPr>
                <w:b w:val="0"/>
                <w:i w:val="0"/>
                <w:color w:val="auto"/>
                <w:sz w:val="24"/>
              </w:rPr>
              <w:t>基本完成年度单位各种日常办公和其他经费使用任务</w:t>
            </w:r>
          </w:p>
        </w:tc>
      </w:tr>
      <w:tr>
        <w:tblPrEx>
          <w:tblLook w:val="0600"/>
        </w:tblPrEx>
        <w:trPr>
          <w:trHeight w:val="480"/>
        </w:trPr>
        <w:tc>
          <w:tcPr>
            <w:tcW w:w="1138" w:type="dxa"/>
            <w:vMerge w:val="restart"/>
            <w:shd w:val="clear" w:color="auto" w:fill="auto"/>
            <w:vAlign w:val="center"/>
          </w:tcPr>
          <w:p>
            <w:r>
              <w:rPr>
                <w:b w:val="0"/>
                <w:i w:val="0"/>
                <w:color w:val="auto"/>
                <w:sz w:val="24"/>
              </w:rPr>
              <w:t>绩效</w:t>
            </w:r>
          </w:p>
          <w:p>
            <w:pPr>
              <w:shd w:val="clear" w:color="auto" w:fill="auto"/>
            </w:pPr>
            <w:r>
              <w:rPr>
                <w:b w:val="0"/>
                <w:i w:val="0"/>
                <w:color w:val="auto"/>
                <w:sz w:val="24"/>
              </w:rPr>
              <w:t>指标</w:t>
            </w:r>
          </w:p>
        </w:tc>
        <w:tc>
          <w:tcPr>
            <w:tcW w:w="1138" w:type="dxa"/>
            <w:shd w:val="clear" w:color="auto" w:fill="auto"/>
            <w:vAlign w:val="center"/>
          </w:tcPr>
          <w:p>
            <w:r>
              <w:rPr>
                <w:b w:val="0"/>
                <w:i w:val="0"/>
                <w:color w:val="auto"/>
                <w:sz w:val="24"/>
              </w:rPr>
              <w:t>一级指标</w:t>
            </w:r>
          </w:p>
        </w:tc>
        <w:tc>
          <w:tcPr>
            <w:tcW w:w="1138" w:type="dxa"/>
            <w:shd w:val="clear" w:color="auto" w:fill="auto"/>
            <w:vAlign w:val="center"/>
          </w:tcPr>
          <w:p>
            <w:r>
              <w:rPr>
                <w:b w:val="0"/>
                <w:i w:val="0"/>
                <w:color w:val="auto"/>
                <w:sz w:val="24"/>
              </w:rPr>
              <w:t>二级指标</w:t>
            </w:r>
          </w:p>
        </w:tc>
        <w:tc>
          <w:tcPr>
            <w:tcW w:w="2276" w:type="dxa"/>
            <w:gridSpan w:val="2"/>
            <w:shd w:val="clear" w:color="auto" w:fill="auto"/>
            <w:vAlign w:val="center"/>
          </w:tcPr>
          <w:p>
            <w:pPr>
              <w:jc w:val="center"/>
            </w:pPr>
            <w:r>
              <w:rPr>
                <w:b w:val="0"/>
                <w:i w:val="0"/>
                <w:color w:val="auto"/>
                <w:sz w:val="24"/>
              </w:rPr>
              <w:t>三级指标</w:t>
            </w:r>
          </w:p>
        </w:tc>
        <w:tc>
          <w:tcPr>
            <w:tcW w:w="2276" w:type="dxa"/>
            <w:gridSpan w:val="2"/>
            <w:shd w:val="clear" w:color="auto" w:fill="auto"/>
            <w:vAlign w:val="center"/>
          </w:tcPr>
          <w:p>
            <w:pPr>
              <w:jc w:val="center"/>
            </w:pPr>
            <w:r>
              <w:rPr>
                <w:b w:val="0"/>
                <w:i w:val="0"/>
                <w:color w:val="auto"/>
                <w:sz w:val="24"/>
              </w:rPr>
              <w:t>年度指标值</w:t>
            </w:r>
          </w:p>
        </w:tc>
        <w:tc>
          <w:tcPr>
            <w:tcW w:w="1138" w:type="dxa"/>
            <w:shd w:val="clear" w:color="auto" w:fill="auto"/>
            <w:vAlign w:val="center"/>
          </w:tcPr>
          <w:p>
            <w:r>
              <w:rPr>
                <w:b w:val="0"/>
                <w:i w:val="0"/>
                <w:color w:val="auto"/>
                <w:sz w:val="24"/>
              </w:rPr>
              <w:t>实际完成值</w:t>
            </w:r>
          </w:p>
        </w:tc>
        <w:tc>
          <w:tcPr>
            <w:tcW w:w="1138" w:type="dxa"/>
            <w:shd w:val="clear" w:color="auto" w:fill="auto"/>
            <w:vAlign w:val="center"/>
          </w:tcPr>
          <w:p>
            <w:r>
              <w:rPr>
                <w:b w:val="0"/>
                <w:i w:val="0"/>
                <w:color w:val="auto"/>
                <w:sz w:val="24"/>
              </w:rPr>
              <w:t>指标分值</w:t>
            </w:r>
          </w:p>
        </w:tc>
        <w:tc>
          <w:tcPr>
            <w:tcW w:w="1138" w:type="dxa"/>
            <w:shd w:val="clear" w:color="auto" w:fill="auto"/>
            <w:vAlign w:val="center"/>
          </w:tcPr>
          <w:p>
            <w:r>
              <w:rPr>
                <w:b w:val="0"/>
                <w:i w:val="0"/>
                <w:color w:val="auto"/>
                <w:sz w:val="24"/>
              </w:rPr>
              <w:t>自评得分</w:t>
            </w:r>
          </w:p>
        </w:tc>
        <w:tc>
          <w:tcPr>
            <w:tcW w:w="2276" w:type="dxa"/>
            <w:shd w:val="clear" w:color="auto" w:fill="auto"/>
            <w:vAlign w:val="center"/>
          </w:tcPr>
          <w:p>
            <w:pPr>
              <w:jc w:val="center"/>
            </w:pPr>
            <w:r>
              <w:rPr>
                <w:b w:val="0"/>
                <w:i w:val="0"/>
                <w:color w:val="auto"/>
                <w:sz w:val="24"/>
              </w:rPr>
              <w:t>偏差原因分析及改进措施</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一般性支出情况</w:t>
            </w:r>
          </w:p>
        </w:tc>
        <w:tc>
          <w:tcPr>
            <w:tcW w:w="1138" w:type="dxa"/>
            <w:vMerge w:val="restart"/>
            <w:shd w:val="clear" w:color="auto" w:fill="auto"/>
            <w:vAlign w:val="center"/>
          </w:tcPr>
          <w:p>
            <w:r>
              <w:rPr>
                <w:b w:val="0"/>
                <w:i w:val="0"/>
                <w:color w:val="auto"/>
                <w:sz w:val="22"/>
              </w:rPr>
              <w:t>一般性支出情况</w:t>
            </w:r>
          </w:p>
        </w:tc>
        <w:tc>
          <w:tcPr>
            <w:tcW w:w="2276" w:type="dxa"/>
            <w:gridSpan w:val="2"/>
            <w:shd w:val="clear" w:color="auto" w:fill="auto"/>
            <w:vAlign w:val="center"/>
          </w:tcPr>
          <w:p>
            <w:r>
              <w:rPr>
                <w:b w:val="0"/>
                <w:i w:val="0"/>
                <w:color w:val="auto"/>
                <w:sz w:val="22"/>
              </w:rPr>
              <w:t>“三公”经费控制率</w:t>
            </w:r>
          </w:p>
        </w:tc>
        <w:tc>
          <w:tcPr>
            <w:tcW w:w="2276" w:type="dxa"/>
            <w:gridSpan w:val="2"/>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2</w:t>
            </w:r>
          </w:p>
        </w:tc>
        <w:tc>
          <w:tcPr>
            <w:tcW w:w="1138" w:type="dxa"/>
            <w:shd w:val="clear" w:color="auto" w:fill="auto"/>
            <w:vAlign w:val="center"/>
          </w:tcPr>
          <w:p>
            <w:r>
              <w:rPr>
                <w:b w:val="0"/>
                <w:i w:val="0"/>
                <w:color w:val="auto"/>
                <w:sz w:val="24"/>
              </w:rPr>
              <w:t>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一般性支出情况</w:t>
            </w:r>
          </w:p>
        </w:tc>
        <w:tc>
          <w:tcPr>
            <w:tcW w:w="1138" w:type="dxa"/>
            <w:vMerge/>
            <w:shd w:val="clear" w:color="auto" w:fill="auto"/>
            <w:vAlign w:val="center"/>
          </w:tcPr>
          <w:p>
            <w:r>
              <w:rPr>
                <w:b w:val="0"/>
                <w:i w:val="0"/>
                <w:color w:val="auto"/>
                <w:sz w:val="22"/>
              </w:rPr>
              <w:t>一般性支出情况</w:t>
            </w:r>
          </w:p>
        </w:tc>
        <w:tc>
          <w:tcPr>
            <w:tcW w:w="2276" w:type="dxa"/>
            <w:gridSpan w:val="2"/>
            <w:shd w:val="clear" w:color="auto" w:fill="auto"/>
            <w:vAlign w:val="center"/>
          </w:tcPr>
          <w:p>
            <w:r>
              <w:rPr>
                <w:b w:val="0"/>
                <w:i w:val="0"/>
                <w:color w:val="auto"/>
                <w:sz w:val="22"/>
              </w:rPr>
              <w:t>“三公”经费违规使用次数</w:t>
            </w:r>
          </w:p>
        </w:tc>
        <w:tc>
          <w:tcPr>
            <w:tcW w:w="2276" w:type="dxa"/>
            <w:gridSpan w:val="2"/>
            <w:shd w:val="clear" w:color="auto" w:fill="auto"/>
            <w:vAlign w:val="center"/>
          </w:tcPr>
          <w:p>
            <w:r>
              <w:rPr>
                <w:b w:val="0"/>
                <w:i w:val="0"/>
                <w:color w:val="auto"/>
                <w:sz w:val="24"/>
              </w:rPr>
              <w:t>≤0次</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2</w:t>
            </w:r>
          </w:p>
        </w:tc>
        <w:tc>
          <w:tcPr>
            <w:tcW w:w="1138" w:type="dxa"/>
            <w:shd w:val="clear" w:color="auto" w:fill="auto"/>
            <w:vAlign w:val="center"/>
          </w:tcPr>
          <w:p>
            <w:r>
              <w:rPr>
                <w:b w:val="0"/>
                <w:i w:val="0"/>
                <w:color w:val="auto"/>
                <w:sz w:val="24"/>
              </w:rPr>
              <w:t>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一般性支出情况</w:t>
            </w:r>
          </w:p>
        </w:tc>
        <w:tc>
          <w:tcPr>
            <w:tcW w:w="1138" w:type="dxa"/>
            <w:vMerge/>
            <w:shd w:val="clear" w:color="auto" w:fill="auto"/>
            <w:vAlign w:val="center"/>
          </w:tcPr>
          <w:p>
            <w:r>
              <w:rPr>
                <w:b w:val="0"/>
                <w:i w:val="0"/>
                <w:color w:val="auto"/>
                <w:sz w:val="22"/>
              </w:rPr>
              <w:t>一般性支出情况</w:t>
            </w:r>
          </w:p>
        </w:tc>
        <w:tc>
          <w:tcPr>
            <w:tcW w:w="2276" w:type="dxa"/>
            <w:gridSpan w:val="2"/>
            <w:shd w:val="clear" w:color="auto" w:fill="auto"/>
            <w:vAlign w:val="center"/>
          </w:tcPr>
          <w:p>
            <w:r>
              <w:rPr>
                <w:b w:val="0"/>
                <w:i w:val="0"/>
                <w:color w:val="auto"/>
                <w:sz w:val="22"/>
              </w:rPr>
              <w:t>会议费、差旅费超标准使用次数</w:t>
            </w:r>
          </w:p>
        </w:tc>
        <w:tc>
          <w:tcPr>
            <w:tcW w:w="2276" w:type="dxa"/>
            <w:gridSpan w:val="2"/>
            <w:shd w:val="clear" w:color="auto" w:fill="auto"/>
            <w:vAlign w:val="center"/>
          </w:tcPr>
          <w:p>
            <w:r>
              <w:rPr>
                <w:b w:val="0"/>
                <w:i w:val="0"/>
                <w:color w:val="auto"/>
                <w:sz w:val="24"/>
              </w:rPr>
              <w:t>≤0次</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2</w:t>
            </w:r>
          </w:p>
        </w:tc>
        <w:tc>
          <w:tcPr>
            <w:tcW w:w="1138" w:type="dxa"/>
            <w:shd w:val="clear" w:color="auto" w:fill="auto"/>
            <w:vAlign w:val="center"/>
          </w:tcPr>
          <w:p>
            <w:r>
              <w:rPr>
                <w:b w:val="0"/>
                <w:i w:val="0"/>
                <w:color w:val="auto"/>
                <w:sz w:val="24"/>
              </w:rPr>
              <w:t>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数量指标</w:t>
            </w:r>
          </w:p>
        </w:tc>
        <w:tc>
          <w:tcPr>
            <w:tcW w:w="2276" w:type="dxa"/>
            <w:gridSpan w:val="2"/>
            <w:shd w:val="clear" w:color="auto" w:fill="auto"/>
            <w:vAlign w:val="center"/>
          </w:tcPr>
          <w:p>
            <w:r>
              <w:rPr>
                <w:b w:val="0"/>
                <w:i w:val="0"/>
                <w:color w:val="auto"/>
                <w:sz w:val="22"/>
              </w:rPr>
              <w:t>政府信息公开数量</w:t>
            </w:r>
          </w:p>
        </w:tc>
        <w:tc>
          <w:tcPr>
            <w:tcW w:w="2276" w:type="dxa"/>
            <w:gridSpan w:val="2"/>
            <w:shd w:val="clear" w:color="auto" w:fill="auto"/>
            <w:vAlign w:val="center"/>
          </w:tcPr>
          <w:p>
            <w:r>
              <w:rPr>
                <w:b w:val="0"/>
                <w:i w:val="0"/>
                <w:color w:val="auto"/>
                <w:sz w:val="24"/>
              </w:rPr>
              <w:t>≥1条</w:t>
            </w:r>
          </w:p>
        </w:tc>
        <w:tc>
          <w:tcPr>
            <w:tcW w:w="1138" w:type="dxa"/>
            <w:shd w:val="clear" w:color="auto" w:fill="auto"/>
            <w:vAlign w:val="center"/>
          </w:tcPr>
          <w:p>
            <w:r>
              <w:rPr>
                <w:b w:val="0"/>
                <w:i w:val="0"/>
                <w:color w:val="auto"/>
                <w:sz w:val="24"/>
              </w:rPr>
              <w:t>2</w:t>
            </w:r>
          </w:p>
        </w:tc>
        <w:tc>
          <w:tcPr>
            <w:tcW w:w="1138" w:type="dxa"/>
            <w:shd w:val="clear" w:color="auto" w:fill="auto"/>
            <w:vAlign w:val="center"/>
          </w:tcPr>
          <w:p>
            <w:r>
              <w:rPr>
                <w:b w:val="0"/>
                <w:i w:val="0"/>
                <w:color w:val="auto"/>
                <w:sz w:val="24"/>
              </w:rPr>
              <w:t>12</w:t>
            </w:r>
          </w:p>
        </w:tc>
        <w:tc>
          <w:tcPr>
            <w:tcW w:w="1138" w:type="dxa"/>
            <w:shd w:val="clear" w:color="auto" w:fill="auto"/>
            <w:vAlign w:val="center"/>
          </w:tcPr>
          <w:p>
            <w:r>
              <w:rPr>
                <w:b w:val="0"/>
                <w:i w:val="0"/>
                <w:color w:val="auto"/>
                <w:sz w:val="24"/>
              </w:rPr>
              <w:t>12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质量指标</w:t>
            </w:r>
          </w:p>
        </w:tc>
        <w:tc>
          <w:tcPr>
            <w:tcW w:w="2276" w:type="dxa"/>
            <w:gridSpan w:val="2"/>
            <w:shd w:val="clear" w:color="auto" w:fill="auto"/>
            <w:vAlign w:val="center"/>
          </w:tcPr>
          <w:p>
            <w:r>
              <w:rPr>
                <w:b w:val="0"/>
                <w:i w:val="0"/>
                <w:color w:val="auto"/>
                <w:sz w:val="22"/>
              </w:rPr>
              <w:t>预算、决算公开完成率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12</w:t>
            </w:r>
          </w:p>
        </w:tc>
        <w:tc>
          <w:tcPr>
            <w:tcW w:w="1138" w:type="dxa"/>
            <w:shd w:val="clear" w:color="auto" w:fill="auto"/>
            <w:vAlign w:val="center"/>
          </w:tcPr>
          <w:p>
            <w:r>
              <w:rPr>
                <w:b w:val="0"/>
                <w:i w:val="0"/>
                <w:color w:val="auto"/>
                <w:sz w:val="24"/>
              </w:rPr>
              <w:t>12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产出指标</w:t>
            </w:r>
          </w:p>
        </w:tc>
        <w:tc>
          <w:tcPr>
            <w:tcW w:w="1138" w:type="dxa"/>
            <w:shd w:val="clear" w:color="auto" w:fill="auto"/>
            <w:vAlign w:val="center"/>
          </w:tcPr>
          <w:p>
            <w:r>
              <w:rPr>
                <w:b w:val="0"/>
                <w:i w:val="0"/>
                <w:color w:val="auto"/>
                <w:sz w:val="22"/>
              </w:rPr>
              <w:t>时效指标</w:t>
            </w:r>
          </w:p>
        </w:tc>
        <w:tc>
          <w:tcPr>
            <w:tcW w:w="2276" w:type="dxa"/>
            <w:gridSpan w:val="2"/>
            <w:shd w:val="clear" w:color="auto" w:fill="auto"/>
            <w:vAlign w:val="center"/>
          </w:tcPr>
          <w:p>
            <w:r>
              <w:rPr>
                <w:b w:val="0"/>
                <w:i w:val="0"/>
                <w:color w:val="auto"/>
                <w:sz w:val="22"/>
              </w:rPr>
              <w:t>资金下达及时率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12</w:t>
            </w:r>
          </w:p>
        </w:tc>
        <w:tc>
          <w:tcPr>
            <w:tcW w:w="1138" w:type="dxa"/>
            <w:shd w:val="clear" w:color="auto" w:fill="auto"/>
            <w:vAlign w:val="center"/>
          </w:tcPr>
          <w:p>
            <w:r>
              <w:rPr>
                <w:b w:val="0"/>
                <w:i w:val="0"/>
                <w:color w:val="auto"/>
                <w:sz w:val="24"/>
              </w:rPr>
              <w:t>12</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成本指标</w:t>
            </w:r>
          </w:p>
        </w:tc>
        <w:tc>
          <w:tcPr>
            <w:tcW w:w="1138" w:type="dxa"/>
            <w:shd w:val="clear" w:color="auto" w:fill="auto"/>
            <w:vAlign w:val="center"/>
          </w:tcPr>
          <w:p>
            <w:r>
              <w:rPr>
                <w:b w:val="0"/>
                <w:i w:val="0"/>
                <w:color w:val="auto"/>
                <w:sz w:val="22"/>
              </w:rPr>
              <w:t>经济成本指标</w:t>
            </w:r>
          </w:p>
        </w:tc>
        <w:tc>
          <w:tcPr>
            <w:tcW w:w="2276" w:type="dxa"/>
            <w:gridSpan w:val="2"/>
            <w:shd w:val="clear" w:color="auto" w:fill="auto"/>
            <w:vAlign w:val="center"/>
          </w:tcPr>
          <w:p>
            <w:r>
              <w:rPr>
                <w:b w:val="0"/>
                <w:i w:val="0"/>
                <w:color w:val="auto"/>
                <w:sz w:val="22"/>
              </w:rPr>
              <w:t>支出预算执行率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79.27</w:t>
            </w:r>
          </w:p>
        </w:tc>
        <w:tc>
          <w:tcPr>
            <w:tcW w:w="1138" w:type="dxa"/>
            <w:shd w:val="clear" w:color="auto" w:fill="auto"/>
            <w:vAlign w:val="center"/>
          </w:tcPr>
          <w:p>
            <w:r>
              <w:rPr>
                <w:b w:val="0"/>
                <w:i w:val="0"/>
                <w:color w:val="auto"/>
                <w:sz w:val="24"/>
              </w:rPr>
              <w:t>8</w:t>
            </w:r>
          </w:p>
        </w:tc>
        <w:tc>
          <w:tcPr>
            <w:tcW w:w="1138" w:type="dxa"/>
            <w:shd w:val="clear" w:color="auto" w:fill="auto"/>
            <w:vAlign w:val="center"/>
          </w:tcPr>
          <w:p>
            <w:r>
              <w:rPr>
                <w:b w:val="0"/>
                <w:i w:val="0"/>
                <w:color w:val="auto"/>
                <w:sz w:val="24"/>
              </w:rPr>
              <w:t>7.05</w:t>
            </w:r>
          </w:p>
        </w:tc>
        <w:tc>
          <w:tcPr>
            <w:tcW w:w="2276" w:type="dxa"/>
            <w:shd w:val="clear" w:color="auto" w:fill="auto"/>
            <w:vAlign w:val="center"/>
          </w:tcPr>
          <w:p>
            <w:pPr>
              <w:jc w:val="center"/>
            </w:pP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val="restart"/>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社会效益指标</w:t>
            </w:r>
          </w:p>
        </w:tc>
        <w:tc>
          <w:tcPr>
            <w:tcW w:w="2276" w:type="dxa"/>
            <w:gridSpan w:val="2"/>
            <w:shd w:val="clear" w:color="auto" w:fill="auto"/>
            <w:vAlign w:val="center"/>
          </w:tcPr>
          <w:p>
            <w:r>
              <w:rPr>
                <w:b w:val="0"/>
                <w:i w:val="0"/>
                <w:color w:val="auto"/>
                <w:sz w:val="22"/>
              </w:rPr>
              <w:t>安全事故发生数</w:t>
            </w:r>
          </w:p>
        </w:tc>
        <w:tc>
          <w:tcPr>
            <w:tcW w:w="2276" w:type="dxa"/>
            <w:gridSpan w:val="2"/>
            <w:shd w:val="clear" w:color="auto" w:fill="auto"/>
            <w:vAlign w:val="center"/>
          </w:tcPr>
          <w:p>
            <w:r>
              <w:rPr>
                <w:b w:val="0"/>
                <w:i w:val="0"/>
                <w:color w:val="auto"/>
                <w:sz w:val="24"/>
              </w:rPr>
              <w:t>≤1例</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vMerge/>
            <w:shd w:val="clear" w:color="auto" w:fill="auto"/>
            <w:vAlign w:val="center"/>
          </w:tcPr>
          <w:p>
            <w:r>
              <w:rPr>
                <w:b w:val="0"/>
                <w:i w:val="0"/>
                <w:color w:val="auto"/>
                <w:sz w:val="22"/>
              </w:rPr>
              <w:t>效益指标</w:t>
            </w:r>
          </w:p>
        </w:tc>
        <w:tc>
          <w:tcPr>
            <w:tcW w:w="1138" w:type="dxa"/>
            <w:shd w:val="clear" w:color="auto" w:fill="auto"/>
            <w:vAlign w:val="center"/>
          </w:tcPr>
          <w:p>
            <w:r>
              <w:rPr>
                <w:b w:val="0"/>
                <w:i w:val="0"/>
                <w:color w:val="auto"/>
                <w:sz w:val="22"/>
              </w:rPr>
              <w:t>生态效益指标</w:t>
            </w:r>
          </w:p>
        </w:tc>
        <w:tc>
          <w:tcPr>
            <w:tcW w:w="2276" w:type="dxa"/>
            <w:gridSpan w:val="2"/>
            <w:shd w:val="clear" w:color="auto" w:fill="auto"/>
            <w:vAlign w:val="center"/>
          </w:tcPr>
          <w:p>
            <w:r>
              <w:rPr>
                <w:b w:val="0"/>
                <w:i w:val="0"/>
                <w:color w:val="auto"/>
                <w:sz w:val="22"/>
              </w:rPr>
              <w:t>环境污染数</w:t>
            </w:r>
          </w:p>
        </w:tc>
        <w:tc>
          <w:tcPr>
            <w:tcW w:w="2276" w:type="dxa"/>
            <w:gridSpan w:val="2"/>
            <w:shd w:val="clear" w:color="auto" w:fill="auto"/>
            <w:vAlign w:val="center"/>
          </w:tcPr>
          <w:p>
            <w:r>
              <w:rPr>
                <w:b w:val="0"/>
                <w:i w:val="0"/>
                <w:color w:val="auto"/>
                <w:sz w:val="24"/>
              </w:rPr>
              <w:t>≤1项</w:t>
            </w:r>
          </w:p>
        </w:tc>
        <w:tc>
          <w:tcPr>
            <w:tcW w:w="1138" w:type="dxa"/>
            <w:shd w:val="clear" w:color="auto" w:fill="auto"/>
            <w:vAlign w:val="center"/>
          </w:tcPr>
          <w:p>
            <w:r>
              <w:rPr>
                <w:b w:val="0"/>
                <w:i w:val="0"/>
                <w:color w:val="auto"/>
                <w:sz w:val="24"/>
              </w:rPr>
              <w:t>0</w:t>
            </w:r>
          </w:p>
        </w:tc>
        <w:tc>
          <w:tcPr>
            <w:tcW w:w="1138" w:type="dxa"/>
            <w:shd w:val="clear" w:color="auto" w:fill="auto"/>
            <w:vAlign w:val="center"/>
          </w:tcPr>
          <w:p>
            <w:r>
              <w:rPr>
                <w:b w:val="0"/>
                <w:i w:val="0"/>
                <w:color w:val="auto"/>
                <w:sz w:val="24"/>
              </w:rPr>
              <w:t>20</w:t>
            </w:r>
          </w:p>
        </w:tc>
        <w:tc>
          <w:tcPr>
            <w:tcW w:w="1138" w:type="dxa"/>
            <w:shd w:val="clear" w:color="auto" w:fill="auto"/>
            <w:vAlign w:val="center"/>
          </w:tcPr>
          <w:p>
            <w:r>
              <w:rPr>
                <w:b w:val="0"/>
                <w:i w:val="0"/>
                <w:color w:val="auto"/>
                <w:sz w:val="24"/>
              </w:rPr>
              <w:t>20</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1138" w:type="dxa"/>
            <w:vMerge/>
            <w:shd w:val="clear" w:color="auto" w:fill="auto"/>
            <w:vAlign w:val="center"/>
          </w:tcPr>
          <w:p>
            <w:pPr>
              <w:jc w:val="center"/>
            </w:pPr>
            <w:r>
              <w:rPr>
                <w:b w:val="0"/>
                <w:i w:val="0"/>
                <w:color w:val="auto"/>
                <w:sz w:val="22"/>
              </w:rPr>
              <w:t>绩效</w:t>
            </w:r>
          </w:p>
          <w:p>
            <w:pPr>
              <w:shd w:val="clear" w:color="auto" w:fill="auto"/>
              <w:jc w:val="center"/>
            </w:pPr>
            <w:r>
              <w:rPr>
                <w:b w:val="0"/>
                <w:i w:val="0"/>
                <w:color w:val="auto"/>
                <w:sz w:val="22"/>
              </w:rPr>
              <w:t>指标</w:t>
            </w:r>
          </w:p>
        </w:tc>
        <w:tc>
          <w:tcPr>
            <w:tcW w:w="1138" w:type="dxa"/>
            <w:shd w:val="clear" w:color="auto" w:fill="auto"/>
            <w:vAlign w:val="center"/>
          </w:tcPr>
          <w:p>
            <w:r>
              <w:rPr>
                <w:b w:val="0"/>
                <w:i w:val="0"/>
                <w:color w:val="auto"/>
                <w:sz w:val="22"/>
              </w:rPr>
              <w:t>满意度指标</w:t>
            </w:r>
          </w:p>
        </w:tc>
        <w:tc>
          <w:tcPr>
            <w:tcW w:w="1138" w:type="dxa"/>
            <w:shd w:val="clear" w:color="auto" w:fill="auto"/>
            <w:vAlign w:val="center"/>
          </w:tcPr>
          <w:p>
            <w:r>
              <w:rPr>
                <w:b w:val="0"/>
                <w:i w:val="0"/>
                <w:color w:val="auto"/>
                <w:sz w:val="22"/>
              </w:rPr>
              <w:t>服务对象满意度指标</w:t>
            </w:r>
          </w:p>
        </w:tc>
        <w:tc>
          <w:tcPr>
            <w:tcW w:w="2276" w:type="dxa"/>
            <w:gridSpan w:val="2"/>
            <w:shd w:val="clear" w:color="auto" w:fill="auto"/>
            <w:vAlign w:val="center"/>
          </w:tcPr>
          <w:p>
            <w:r>
              <w:rPr>
                <w:b w:val="0"/>
                <w:i w:val="0"/>
                <w:color w:val="auto"/>
                <w:sz w:val="22"/>
              </w:rPr>
              <w:t>学生满意率</w:t>
            </w:r>
          </w:p>
        </w:tc>
        <w:tc>
          <w:tcPr>
            <w:tcW w:w="2276" w:type="dxa"/>
            <w:gridSpan w:val="2"/>
            <w:shd w:val="clear" w:color="auto" w:fill="auto"/>
            <w:vAlign w:val="center"/>
          </w:tcPr>
          <w:p>
            <w:r>
              <w:rPr>
                <w:b w:val="0"/>
                <w:i w:val="0"/>
                <w:color w:val="auto"/>
                <w:sz w:val="24"/>
              </w:rPr>
              <w:t>≥90%</w:t>
            </w:r>
          </w:p>
        </w:tc>
        <w:tc>
          <w:tcPr>
            <w:tcW w:w="1138" w:type="dxa"/>
            <w:shd w:val="clear" w:color="auto" w:fill="auto"/>
            <w:vAlign w:val="center"/>
          </w:tcPr>
          <w:p>
            <w:r>
              <w:rPr>
                <w:b w:val="0"/>
                <w:i w:val="0"/>
                <w:color w:val="auto"/>
                <w:sz w:val="24"/>
              </w:rPr>
              <w:t>100</w:t>
            </w:r>
          </w:p>
        </w:tc>
        <w:tc>
          <w:tcPr>
            <w:tcW w:w="1138" w:type="dxa"/>
            <w:shd w:val="clear" w:color="auto" w:fill="auto"/>
            <w:vAlign w:val="center"/>
          </w:tcPr>
          <w:p>
            <w:r>
              <w:rPr>
                <w:b w:val="0"/>
                <w:i w:val="0"/>
                <w:color w:val="auto"/>
                <w:sz w:val="24"/>
              </w:rPr>
              <w:t>10</w:t>
            </w:r>
          </w:p>
        </w:tc>
        <w:tc>
          <w:tcPr>
            <w:tcW w:w="1138" w:type="dxa"/>
            <w:shd w:val="clear" w:color="auto" w:fill="auto"/>
            <w:vAlign w:val="center"/>
          </w:tcPr>
          <w:p>
            <w:r>
              <w:rPr>
                <w:b w:val="0"/>
                <w:i w:val="0"/>
                <w:color w:val="auto"/>
                <w:sz w:val="24"/>
              </w:rPr>
              <w:t>10</w:t>
            </w:r>
          </w:p>
        </w:tc>
        <w:tc>
          <w:tcPr>
            <w:tcW w:w="2276" w:type="dxa"/>
            <w:shd w:val="clear" w:color="auto" w:fill="auto"/>
            <w:vAlign w:val="center"/>
          </w:tcPr>
          <w:p>
            <w:pPr>
              <w:jc w:val="center"/>
            </w:pPr>
            <w:r>
              <w:rPr>
                <w:b w:val="0"/>
                <w:i w:val="0"/>
                <w:color w:val="auto"/>
                <w:sz w:val="24"/>
              </w:rPr>
              <w:t>无偏差</w:t>
            </w:r>
          </w:p>
        </w:tc>
      </w:tr>
      <w:tr>
        <w:tblPrEx>
          <w:tblLook w:val="0600"/>
        </w:tblPrEx>
        <w:trPr>
          <w:trHeight w:val="480"/>
        </w:trPr>
        <w:tc>
          <w:tcPr>
            <w:tcW w:w="9104" w:type="dxa"/>
            <w:gridSpan w:val="9"/>
            <w:shd w:val="clear" w:color="auto" w:fill="auto"/>
            <w:vAlign w:val="center"/>
          </w:tcPr>
          <w:p>
            <w:pPr>
              <w:jc w:val="center"/>
            </w:pPr>
            <w:r>
              <w:rPr>
                <w:b w:val="0"/>
                <w:i w:val="0"/>
                <w:color w:val="auto"/>
                <w:sz w:val="24"/>
              </w:rPr>
              <w:t>总分</w:t>
            </w:r>
          </w:p>
        </w:tc>
        <w:tc>
          <w:tcPr>
            <w:tcW w:w="4552" w:type="dxa"/>
            <w:gridSpan w:val="2"/>
            <w:shd w:val="clear" w:color="auto" w:fill="auto"/>
            <w:vAlign w:val="center"/>
          </w:tcPr>
          <w:p>
            <w:pPr>
              <w:jc w:val="center"/>
            </w:pPr>
            <w:r>
              <w:rPr>
                <w:b w:val="0"/>
                <w:i w:val="0"/>
                <w:color w:val="auto"/>
                <w:sz w:val="24"/>
              </w:rPr>
              <w:t>94.05</w:t>
            </w:r>
          </w:p>
        </w:tc>
      </w:tr>
      <w:tr>
        <w:tblPrEx>
          <w:tblLook w:val="0600"/>
        </w:tblPrEx>
        <w:trPr>
          <w:trHeight w:val="360"/>
        </w:trPr>
        <w:tc>
          <w:tcPr>
            <w:tcW w:w="2276" w:type="dxa"/>
            <w:gridSpan w:val="2"/>
            <w:shd w:val="clear" w:color="auto" w:fill="auto"/>
            <w:vAlign w:val="center"/>
          </w:tcPr>
          <w:p>
            <w:pPr>
              <w:jc w:val="center"/>
            </w:pPr>
            <w:r>
              <w:rPr>
                <w:b w:val="0"/>
                <w:i w:val="0"/>
                <w:color w:val="auto"/>
                <w:sz w:val="22"/>
              </w:rPr>
              <w:t>评价等级</w:t>
            </w:r>
          </w:p>
        </w:tc>
        <w:tc>
          <w:tcPr>
            <w:tcW w:w="11380" w:type="dxa"/>
            <w:gridSpan w:val="9"/>
            <w:shd w:val="clear" w:color="auto" w:fill="auto"/>
            <w:vAlign w:val="center"/>
          </w:tcPr>
          <w:p>
            <w:pPr>
              <w:jc w:val="center"/>
            </w:pPr>
            <w:r>
              <w:rPr>
                <w:b w:val="0"/>
                <w:i w:val="0"/>
                <w:color w:val="auto"/>
                <w:sz w:val="22"/>
              </w:rPr>
              <w:t>优（S≧90）</w:t>
            </w:r>
          </w:p>
        </w:tc>
      </w:tr>
    </w:tbl>
    <w:p w14:paraId="595BDB32">
      <w:pPr>
        <w:tabs>
          <w:tab w:val="left" w:pos="7513"/>
        </w:tabs>
        <w:overflowPunct w:val="0"/>
        <w:autoSpaceDE w:val="0"/>
        <w:autoSpaceDN w:val="0"/>
        <w:adjustRightInd w:val="0"/>
        <w:snapToGrid w:val="0"/>
        <w:spacing w:line="600" w:lineRule="exact"/>
        <w:rPr>
          <w:rFonts w:ascii="仿宋" w:eastAsia="仿宋" w:hAnsi="仿宋" w:cs="仿宋"/>
          <w:sz w:val="32"/>
        </w:rPr>
      </w:pPr>
    </w:p>
    <w:p w14:paraId="73110FBF">
      <w:pPr>
        <w:widowControl/>
        <w:topLinePunct/>
        <w:autoSpaceDE w:val="0"/>
        <w:spacing w:line="240" w:lineRule="auto"/>
        <w:jc w:val="left"/>
        <w:rPr>
          <w:rFonts w:ascii="仿宋" w:eastAsia="仿宋" w:hAnsi="仿宋" w:cs="仿宋"/>
          <w:sz w:val="32"/>
        </w:rPr>
      </w:pPr>
    </w:p>
    <w:sectPr>
      <w:pgSz w:w="16839" w:h="11907" w:orient="landscape"/>
      <w:pgMar w:top="720" w:right="720" w:bottom="720" w:left="720" w:header="851" w:footer="992" w:gutter="0"/>
      <w:cols w:num="1" w:space="425"/>
      <w:docGrid w:type="lines" w:linePitch="312"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2D5FA794-278A-4E81-BECD-E8CFB4B68D9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BFB0006B-F7D9-489D-8995-334FEA24637F}"/>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
    <w:altName w:val="黑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subsetted="1" w:fontKey="{D63557FF-7706-4BEF-BF31-1BD3CE0AB70F}"/>
  </w:font>
  <w:font w:name="仿宋">
    <w:panose1 w:val="02010609060101010101"/>
    <w:charset w:val="86"/>
    <w:family w:val="modern"/>
    <w:pitch w:val="default"/>
    <w:sig w:usb0="800002BF" w:usb1="38CF7CFA" w:usb2="00000016" w:usb3="00000000" w:csb0="00040001" w:csb1="00000000"/>
    <w:embedRegular r:id="rId4" w:subsetted="1" w:fontKey="{4B61ACBE-A889-476A-A9C6-B3F1BA07E401}"/>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5" w:subsetted="1" w:fontKey="{209DAB4D-6447-4D8B-A58E-7FB0D825A98E}"/>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76798"/>
      <w:richText/>
    </w:sdtPr>
    <w:sdtEndPr>
      <w:rPr>
        <w:rFonts w:ascii="宋体" w:eastAsia="宋体" w:hAnsi="宋体"/>
        <w:sz w:val="28"/>
        <w:szCs w:val="28"/>
      </w:rPr>
    </w:sdtEndPr>
    <w:sdtContent>
      <w:p w14:paraId="3C68B13D">
        <w:pPr>
          <w:pStyle w:val="Footer"/>
          <w:ind w:firstLine="560" w:firstLineChars="20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6 -</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48F04C8">
    <w:pPr>
      <w:pStyle w:val="Footer"/>
      <w:jc w:val="center"/>
      <w:rPr>
        <w:rFonts w:ascii="宋体" w:eastAsia="宋体" w:hAnsi="宋体"/>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B7F207">
    <w:pPr>
      <w:pStyle w:val="Footer"/>
      <w:jc w:val="center"/>
      <w:rPr>
        <w:rFonts w:ascii="宋体" w:eastAsia="宋体" w:hAnsi="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BA8CBDB">
    <w:pPr>
      <w:pStyle w:val="Footer"/>
      <w:jc w:val="center"/>
      <w:rPr>
        <w:rFonts w:ascii="宋体" w:eastAsia="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8435" cy="49593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435" cy="495935"/>
                      </a:xfrm>
                      <a:prstGeom prst="rect">
                        <a:avLst/>
                      </a:prstGeom>
                      <a:noFill/>
                      <a:ln w="6350">
                        <a:noFill/>
                      </a:ln>
                    </wps:spPr>
                    <wps:txbx>
                      <w:txbxContent>
                        <w:sdt>
                          <w:sdtPr>
                            <w:id w:val="873202254"/>
                            <w:richText/>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33</w:t>
                              </w:r>
                              <w:r>
                                <w:rPr>
                                  <w:rFonts w:ascii="宋体" w:eastAsia="宋体" w:hAnsi="宋体"/>
                                  <w:sz w:val="28"/>
                                  <w:szCs w:val="28"/>
                                </w:rPr>
                                <w:fldChar w:fldCharType="end"/>
                              </w:r>
                            </w:p>
                          </w:sdtContent>
                        </w:sdt>
                        <w:p>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14.05pt;height:39.05pt;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sdt>
                    <w:sdtPr>
                      <w:id w:val="102770039"/>
                      <w:richText/>
                    </w:sdtPr>
                    <w:sdtEndPr>
                      <w:rPr>
                        <w:rFonts w:ascii="宋体" w:eastAsia="宋体" w:hAnsi="宋体"/>
                        <w:sz w:val="28"/>
                        <w:szCs w:val="28"/>
                      </w:rPr>
                    </w:sdtEndPr>
                    <w:sdtContent>
                      <w:p w14:paraId="346812D4">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33</w:t>
                        </w:r>
                        <w:r>
                          <w:rPr>
                            <w:rFonts w:ascii="宋体" w:eastAsia="宋体" w:hAnsi="宋体"/>
                            <w:sz w:val="28"/>
                            <w:szCs w:val="28"/>
                          </w:rPr>
                          <w:fldChar w:fldCharType="end"/>
                        </w:r>
                      </w:p>
                    </w:sdtContent>
                  </w:sdt>
                  <w:p w14:paraId="4045016A">
                    <w:pPr>
                      <w:rPr>
                        <w:rFonts w:ascii="宋体" w:eastAsia="宋体" w:hAnsi="宋体"/>
                        <w:sz w:val="28"/>
                        <w:szCs w:val="28"/>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CDCA82">
    <w:pPr>
      <w:pStyle w:val="Footer"/>
      <w:jc w:val="center"/>
      <w:rPr>
        <w:rFonts w:ascii="宋体" w:eastAsia="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8435" cy="49593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8435" cy="495935"/>
                      </a:xfrm>
                      <a:prstGeom prst="rect">
                        <a:avLst/>
                      </a:prstGeom>
                      <a:noFill/>
                      <a:ln w="6350">
                        <a:noFill/>
                      </a:ln>
                    </wps:spPr>
                    <wps:txbx>
                      <w:txbxContent>
                        <w:sdt>
                          <w:sdtPr>
                            <w:id w:val="147452290"/>
                            <w:richText/>
                          </w:sdtPr>
                          <w:sdtEndPr>
                            <w:rPr>
                              <w:rFonts w:ascii="宋体" w:eastAsia="宋体" w:hAnsi="宋体"/>
                              <w:sz w:val="28"/>
                              <w:szCs w:val="28"/>
                            </w:rPr>
                          </w:sdtEndPr>
                          <w:sdtContent>
                            <w:p>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75</w:t>
                              </w:r>
                              <w:r>
                                <w:rPr>
                                  <w:rFonts w:ascii="宋体" w:eastAsia="宋体" w:hAnsi="宋体"/>
                                  <w:sz w:val="28"/>
                                  <w:szCs w:val="28"/>
                                </w:rPr>
                                <w:fldChar w:fldCharType="end"/>
                              </w:r>
                            </w:p>
                          </w:sdtContent>
                        </w:sdt>
                        <w:p>
                          <w:pPr>
                            <w:rPr>
                              <w:rFonts w:ascii="宋体" w:eastAsia="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14.05pt;height:39.05pt;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sdt>
                    <w:sdtPr>
                      <w:id w:val="1535626740"/>
                      <w:richText/>
                    </w:sdtPr>
                    <w:sdtEndPr>
                      <w:rPr>
                        <w:rFonts w:ascii="宋体" w:eastAsia="宋体" w:hAnsi="宋体"/>
                        <w:sz w:val="28"/>
                        <w:szCs w:val="28"/>
                      </w:rPr>
                    </w:sdtEndPr>
                    <w:sdtContent>
                      <w:p w14:paraId="1D592B20">
                        <w:pPr>
                          <w:pStyle w:val="Footer"/>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75</w:t>
                        </w:r>
                        <w:r>
                          <w:rPr>
                            <w:rFonts w:ascii="宋体" w:eastAsia="宋体" w:hAnsi="宋体"/>
                            <w:sz w:val="28"/>
                            <w:szCs w:val="28"/>
                          </w:rPr>
                          <w:fldChar w:fldCharType="end"/>
                        </w:r>
                      </w:p>
                    </w:sdtContent>
                  </w:sdt>
                  <w:p w14:paraId="5FDD7011">
                    <w:pPr>
                      <w:rPr>
                        <w:rFonts w:ascii="宋体" w:eastAsia="宋体" w:hAnsi="宋体"/>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251FFE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587D68A">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99"/>
  <w:drawingGridHorizontalSpacing w:val="105"/>
  <w:drawingGridVerticalSpacing w:val="156"/>
  <w:displayHorizontalDrawingGridEvery w:val="2"/>
  <w:displayVerticalDrawingGridEvery w:val="2"/>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9"/>
    <w:rsid w:val="FE3E05CF"/>
    <w:rsid w:val="00001B85"/>
    <w:rsid w:val="00002BA2"/>
    <w:rsid w:val="00004305"/>
    <w:rsid w:val="00012D44"/>
    <w:rsid w:val="00015A68"/>
    <w:rsid w:val="00020CA7"/>
    <w:rsid w:val="0002351C"/>
    <w:rsid w:val="00051C06"/>
    <w:rsid w:val="0007452D"/>
    <w:rsid w:val="00086558"/>
    <w:rsid w:val="000A7527"/>
    <w:rsid w:val="000B16C0"/>
    <w:rsid w:val="000E0654"/>
    <w:rsid w:val="000F1138"/>
    <w:rsid w:val="00104DCD"/>
    <w:rsid w:val="0010732F"/>
    <w:rsid w:val="001270F2"/>
    <w:rsid w:val="0012746F"/>
    <w:rsid w:val="00130ECE"/>
    <w:rsid w:val="0014407E"/>
    <w:rsid w:val="00144D77"/>
    <w:rsid w:val="00145556"/>
    <w:rsid w:val="00145E5D"/>
    <w:rsid w:val="001618A9"/>
    <w:rsid w:val="00164CB7"/>
    <w:rsid w:val="00167580"/>
    <w:rsid w:val="001731FE"/>
    <w:rsid w:val="0017363B"/>
    <w:rsid w:val="001757AE"/>
    <w:rsid w:val="00176984"/>
    <w:rsid w:val="00177B1F"/>
    <w:rsid w:val="00182976"/>
    <w:rsid w:val="0018297C"/>
    <w:rsid w:val="001902C5"/>
    <w:rsid w:val="00192491"/>
    <w:rsid w:val="00193F98"/>
    <w:rsid w:val="001A0FC3"/>
    <w:rsid w:val="001B1F9E"/>
    <w:rsid w:val="001C0FCB"/>
    <w:rsid w:val="001C2C68"/>
    <w:rsid w:val="001E09A7"/>
    <w:rsid w:val="001E1870"/>
    <w:rsid w:val="00200758"/>
    <w:rsid w:val="00211534"/>
    <w:rsid w:val="00215A7F"/>
    <w:rsid w:val="00216583"/>
    <w:rsid w:val="00220B52"/>
    <w:rsid w:val="0023447B"/>
    <w:rsid w:val="002351E3"/>
    <w:rsid w:val="00243516"/>
    <w:rsid w:val="002461E0"/>
    <w:rsid w:val="00257D01"/>
    <w:rsid w:val="0027318D"/>
    <w:rsid w:val="00273D47"/>
    <w:rsid w:val="002B5F59"/>
    <w:rsid w:val="002B66B2"/>
    <w:rsid w:val="002C1D61"/>
    <w:rsid w:val="002C6AB2"/>
    <w:rsid w:val="002D04F9"/>
    <w:rsid w:val="002E5ED1"/>
    <w:rsid w:val="003051AF"/>
    <w:rsid w:val="00306AAB"/>
    <w:rsid w:val="00317928"/>
    <w:rsid w:val="00340EF1"/>
    <w:rsid w:val="00345CA6"/>
    <w:rsid w:val="00377519"/>
    <w:rsid w:val="00377FF0"/>
    <w:rsid w:val="0039386F"/>
    <w:rsid w:val="003B1BCA"/>
    <w:rsid w:val="003B74A4"/>
    <w:rsid w:val="003C28CE"/>
    <w:rsid w:val="003C6215"/>
    <w:rsid w:val="003D6C67"/>
    <w:rsid w:val="003F69EC"/>
    <w:rsid w:val="003F76FA"/>
    <w:rsid w:val="00402638"/>
    <w:rsid w:val="004055E6"/>
    <w:rsid w:val="004109D8"/>
    <w:rsid w:val="00410CA2"/>
    <w:rsid w:val="00413168"/>
    <w:rsid w:val="004134DE"/>
    <w:rsid w:val="004145AD"/>
    <w:rsid w:val="004304D1"/>
    <w:rsid w:val="004776CD"/>
    <w:rsid w:val="0049528B"/>
    <w:rsid w:val="004B0EFF"/>
    <w:rsid w:val="004B5091"/>
    <w:rsid w:val="004C1228"/>
    <w:rsid w:val="004C7FDB"/>
    <w:rsid w:val="004F1429"/>
    <w:rsid w:val="004F1FFD"/>
    <w:rsid w:val="004F60FA"/>
    <w:rsid w:val="005004C8"/>
    <w:rsid w:val="00502E65"/>
    <w:rsid w:val="00503B71"/>
    <w:rsid w:val="005103AE"/>
    <w:rsid w:val="00532FC8"/>
    <w:rsid w:val="00540990"/>
    <w:rsid w:val="00551698"/>
    <w:rsid w:val="00560200"/>
    <w:rsid w:val="005636F9"/>
    <w:rsid w:val="00563F65"/>
    <w:rsid w:val="0057317D"/>
    <w:rsid w:val="005B60B5"/>
    <w:rsid w:val="005C0563"/>
    <w:rsid w:val="005C31EF"/>
    <w:rsid w:val="005C4F6D"/>
    <w:rsid w:val="005C7CE0"/>
    <w:rsid w:val="005D70CB"/>
    <w:rsid w:val="00603B1C"/>
    <w:rsid w:val="006344C4"/>
    <w:rsid w:val="0064397E"/>
    <w:rsid w:val="00644184"/>
    <w:rsid w:val="006537CD"/>
    <w:rsid w:val="00653EF5"/>
    <w:rsid w:val="006567CB"/>
    <w:rsid w:val="00661B07"/>
    <w:rsid w:val="00675C94"/>
    <w:rsid w:val="006818A4"/>
    <w:rsid w:val="00693375"/>
    <w:rsid w:val="00693977"/>
    <w:rsid w:val="006A3BD6"/>
    <w:rsid w:val="006B1565"/>
    <w:rsid w:val="006B41AE"/>
    <w:rsid w:val="006D6A92"/>
    <w:rsid w:val="006D6AF4"/>
    <w:rsid w:val="006E094F"/>
    <w:rsid w:val="006F10EF"/>
    <w:rsid w:val="00710303"/>
    <w:rsid w:val="007117C7"/>
    <w:rsid w:val="00713EE0"/>
    <w:rsid w:val="007310D0"/>
    <w:rsid w:val="00734771"/>
    <w:rsid w:val="00735646"/>
    <w:rsid w:val="00736902"/>
    <w:rsid w:val="00750DC4"/>
    <w:rsid w:val="00753231"/>
    <w:rsid w:val="007560E0"/>
    <w:rsid w:val="00766364"/>
    <w:rsid w:val="0077328A"/>
    <w:rsid w:val="00776C80"/>
    <w:rsid w:val="00784121"/>
    <w:rsid w:val="0079610C"/>
    <w:rsid w:val="007A3D2B"/>
    <w:rsid w:val="007A599F"/>
    <w:rsid w:val="007A776B"/>
    <w:rsid w:val="007B05ED"/>
    <w:rsid w:val="007B0B86"/>
    <w:rsid w:val="007B6D34"/>
    <w:rsid w:val="007C11CF"/>
    <w:rsid w:val="007F1363"/>
    <w:rsid w:val="007F1BFC"/>
    <w:rsid w:val="007F6206"/>
    <w:rsid w:val="007F6670"/>
    <w:rsid w:val="00801BFD"/>
    <w:rsid w:val="00804348"/>
    <w:rsid w:val="008049C0"/>
    <w:rsid w:val="00812434"/>
    <w:rsid w:val="00816DDE"/>
    <w:rsid w:val="008227B7"/>
    <w:rsid w:val="00832783"/>
    <w:rsid w:val="00837BE9"/>
    <w:rsid w:val="00852C6D"/>
    <w:rsid w:val="008570CD"/>
    <w:rsid w:val="00857B1A"/>
    <w:rsid w:val="00860E9C"/>
    <w:rsid w:val="008776B0"/>
    <w:rsid w:val="008825D5"/>
    <w:rsid w:val="00883B08"/>
    <w:rsid w:val="00883CFD"/>
    <w:rsid w:val="00885990"/>
    <w:rsid w:val="0089210B"/>
    <w:rsid w:val="008950BF"/>
    <w:rsid w:val="0089563B"/>
    <w:rsid w:val="00896353"/>
    <w:rsid w:val="008A1107"/>
    <w:rsid w:val="008B40D3"/>
    <w:rsid w:val="008D6DB5"/>
    <w:rsid w:val="008E5D59"/>
    <w:rsid w:val="008F23D1"/>
    <w:rsid w:val="008F400F"/>
    <w:rsid w:val="009132B2"/>
    <w:rsid w:val="00926A3B"/>
    <w:rsid w:val="00964CA5"/>
    <w:rsid w:val="00965138"/>
    <w:rsid w:val="00966D58"/>
    <w:rsid w:val="00990306"/>
    <w:rsid w:val="009A5CEF"/>
    <w:rsid w:val="009A63E9"/>
    <w:rsid w:val="009A7E9C"/>
    <w:rsid w:val="009B37D7"/>
    <w:rsid w:val="009B5679"/>
    <w:rsid w:val="009B6161"/>
    <w:rsid w:val="009D759E"/>
    <w:rsid w:val="009E4074"/>
    <w:rsid w:val="00A072C8"/>
    <w:rsid w:val="00A12870"/>
    <w:rsid w:val="00A177A9"/>
    <w:rsid w:val="00A47F42"/>
    <w:rsid w:val="00A61214"/>
    <w:rsid w:val="00A703B1"/>
    <w:rsid w:val="00A743ED"/>
    <w:rsid w:val="00A82B32"/>
    <w:rsid w:val="00A91685"/>
    <w:rsid w:val="00A9296B"/>
    <w:rsid w:val="00A965E0"/>
    <w:rsid w:val="00AA51A1"/>
    <w:rsid w:val="00AA5F16"/>
    <w:rsid w:val="00AB233D"/>
    <w:rsid w:val="00AD5B1D"/>
    <w:rsid w:val="00AF47E3"/>
    <w:rsid w:val="00B0041F"/>
    <w:rsid w:val="00B02F45"/>
    <w:rsid w:val="00B07CFA"/>
    <w:rsid w:val="00B23FFA"/>
    <w:rsid w:val="00B268DF"/>
    <w:rsid w:val="00B337B6"/>
    <w:rsid w:val="00B372A0"/>
    <w:rsid w:val="00B409A9"/>
    <w:rsid w:val="00B50599"/>
    <w:rsid w:val="00B636AD"/>
    <w:rsid w:val="00B71127"/>
    <w:rsid w:val="00B8650D"/>
    <w:rsid w:val="00B949B5"/>
    <w:rsid w:val="00B97F1C"/>
    <w:rsid w:val="00BA562F"/>
    <w:rsid w:val="00BB547D"/>
    <w:rsid w:val="00BB7E13"/>
    <w:rsid w:val="00BD45E7"/>
    <w:rsid w:val="00BE21C6"/>
    <w:rsid w:val="00C002F2"/>
    <w:rsid w:val="00C059EF"/>
    <w:rsid w:val="00C122CC"/>
    <w:rsid w:val="00C30F31"/>
    <w:rsid w:val="00C3452A"/>
    <w:rsid w:val="00C43427"/>
    <w:rsid w:val="00C4363C"/>
    <w:rsid w:val="00C65E8B"/>
    <w:rsid w:val="00C81499"/>
    <w:rsid w:val="00C816A0"/>
    <w:rsid w:val="00C82ECE"/>
    <w:rsid w:val="00C906C7"/>
    <w:rsid w:val="00C94C0D"/>
    <w:rsid w:val="00CA1027"/>
    <w:rsid w:val="00CA67A5"/>
    <w:rsid w:val="00CB4C84"/>
    <w:rsid w:val="00CC3692"/>
    <w:rsid w:val="00CC6497"/>
    <w:rsid w:val="00CD03FF"/>
    <w:rsid w:val="00CD1CB4"/>
    <w:rsid w:val="00CD26E1"/>
    <w:rsid w:val="00CD35BB"/>
    <w:rsid w:val="00CD49AD"/>
    <w:rsid w:val="00D0143C"/>
    <w:rsid w:val="00D17A5F"/>
    <w:rsid w:val="00D272CF"/>
    <w:rsid w:val="00D30FFB"/>
    <w:rsid w:val="00D3337B"/>
    <w:rsid w:val="00D426E9"/>
    <w:rsid w:val="00D47A33"/>
    <w:rsid w:val="00D502CB"/>
    <w:rsid w:val="00D52F5C"/>
    <w:rsid w:val="00D5421E"/>
    <w:rsid w:val="00D55833"/>
    <w:rsid w:val="00D74882"/>
    <w:rsid w:val="00DA0969"/>
    <w:rsid w:val="00DB46B6"/>
    <w:rsid w:val="00DC77D2"/>
    <w:rsid w:val="00DD44F8"/>
    <w:rsid w:val="00DD6708"/>
    <w:rsid w:val="00DF0E4B"/>
    <w:rsid w:val="00DF14BB"/>
    <w:rsid w:val="00DF6BBD"/>
    <w:rsid w:val="00E032D3"/>
    <w:rsid w:val="00E104EE"/>
    <w:rsid w:val="00E15C09"/>
    <w:rsid w:val="00E15F73"/>
    <w:rsid w:val="00E3377F"/>
    <w:rsid w:val="00E47C61"/>
    <w:rsid w:val="00E61B46"/>
    <w:rsid w:val="00E63B08"/>
    <w:rsid w:val="00E65073"/>
    <w:rsid w:val="00E67600"/>
    <w:rsid w:val="00E70C9D"/>
    <w:rsid w:val="00E71BCD"/>
    <w:rsid w:val="00E83A1A"/>
    <w:rsid w:val="00E861E2"/>
    <w:rsid w:val="00E9165B"/>
    <w:rsid w:val="00E92020"/>
    <w:rsid w:val="00E933DB"/>
    <w:rsid w:val="00EA176A"/>
    <w:rsid w:val="00EA50C7"/>
    <w:rsid w:val="00EA7E4D"/>
    <w:rsid w:val="00EB372A"/>
    <w:rsid w:val="00EB659C"/>
    <w:rsid w:val="00EC062A"/>
    <w:rsid w:val="00EC2E60"/>
    <w:rsid w:val="00ED22FC"/>
    <w:rsid w:val="00ED5F64"/>
    <w:rsid w:val="00ED6224"/>
    <w:rsid w:val="00EE5E11"/>
    <w:rsid w:val="00EE7AD0"/>
    <w:rsid w:val="00EF1A66"/>
    <w:rsid w:val="00EF4396"/>
    <w:rsid w:val="00EF697F"/>
    <w:rsid w:val="00F01815"/>
    <w:rsid w:val="00F10C1A"/>
    <w:rsid w:val="00F26985"/>
    <w:rsid w:val="00F309CA"/>
    <w:rsid w:val="00F44B88"/>
    <w:rsid w:val="00F527F2"/>
    <w:rsid w:val="00F63954"/>
    <w:rsid w:val="00F64907"/>
    <w:rsid w:val="00F6666B"/>
    <w:rsid w:val="00F71E60"/>
    <w:rsid w:val="00F80033"/>
    <w:rsid w:val="00F92CB9"/>
    <w:rsid w:val="00FA13B8"/>
    <w:rsid w:val="00FB4399"/>
    <w:rsid w:val="00FB62F5"/>
    <w:rsid w:val="00FB707A"/>
    <w:rsid w:val="00FC1FAD"/>
    <w:rsid w:val="00FD05F1"/>
    <w:rsid w:val="00FE0DB7"/>
    <w:rsid w:val="00FE6844"/>
    <w:rsid w:val="00FF293C"/>
    <w:rsid w:val="010F19F3"/>
    <w:rsid w:val="013B4944"/>
    <w:rsid w:val="01454703"/>
    <w:rsid w:val="01527EDF"/>
    <w:rsid w:val="018067FB"/>
    <w:rsid w:val="022D2F01"/>
    <w:rsid w:val="029640FE"/>
    <w:rsid w:val="02BC3862"/>
    <w:rsid w:val="02E21879"/>
    <w:rsid w:val="02E60570"/>
    <w:rsid w:val="02F9764D"/>
    <w:rsid w:val="030376E3"/>
    <w:rsid w:val="032D5CD1"/>
    <w:rsid w:val="03373831"/>
    <w:rsid w:val="03463A74"/>
    <w:rsid w:val="03912F41"/>
    <w:rsid w:val="03991DF6"/>
    <w:rsid w:val="04025BED"/>
    <w:rsid w:val="044F34AF"/>
    <w:rsid w:val="04605018"/>
    <w:rsid w:val="04974AD0"/>
    <w:rsid w:val="04BD6A50"/>
    <w:rsid w:val="04D3046A"/>
    <w:rsid w:val="05181C4E"/>
    <w:rsid w:val="0562389D"/>
    <w:rsid w:val="05C66FC4"/>
    <w:rsid w:val="05E15C31"/>
    <w:rsid w:val="05E7509A"/>
    <w:rsid w:val="061D4AE9"/>
    <w:rsid w:val="06DE46EF"/>
    <w:rsid w:val="06E23AB3"/>
    <w:rsid w:val="07601EE6"/>
    <w:rsid w:val="084A5DB4"/>
    <w:rsid w:val="090449FD"/>
    <w:rsid w:val="094B1DE4"/>
    <w:rsid w:val="097A111F"/>
    <w:rsid w:val="09897237"/>
    <w:rsid w:val="09EF451D"/>
    <w:rsid w:val="0A0235DA"/>
    <w:rsid w:val="0A12645E"/>
    <w:rsid w:val="0A3E7253"/>
    <w:rsid w:val="0A425FE6"/>
    <w:rsid w:val="0A73514E"/>
    <w:rsid w:val="0AD67BFB"/>
    <w:rsid w:val="0B0D6E40"/>
    <w:rsid w:val="0B415214"/>
    <w:rsid w:val="0B516BC0"/>
    <w:rsid w:val="0B562A75"/>
    <w:rsid w:val="0B952DAB"/>
    <w:rsid w:val="0BE1433A"/>
    <w:rsid w:val="0C461683"/>
    <w:rsid w:val="0C8278CB"/>
    <w:rsid w:val="0CF956B3"/>
    <w:rsid w:val="0D181D64"/>
    <w:rsid w:val="0D9A5BFA"/>
    <w:rsid w:val="0DA63039"/>
    <w:rsid w:val="0DCE08EE"/>
    <w:rsid w:val="0DE105E0"/>
    <w:rsid w:val="0DFF6811"/>
    <w:rsid w:val="0E4C1F50"/>
    <w:rsid w:val="0EA61E94"/>
    <w:rsid w:val="0ED5373C"/>
    <w:rsid w:val="0EFC0AA1"/>
    <w:rsid w:val="0F0F6C58"/>
    <w:rsid w:val="0F1106AA"/>
    <w:rsid w:val="0F130F2E"/>
    <w:rsid w:val="0F3D38EF"/>
    <w:rsid w:val="0F7D25CB"/>
    <w:rsid w:val="0F94743F"/>
    <w:rsid w:val="10150A56"/>
    <w:rsid w:val="102913E9"/>
    <w:rsid w:val="10775032"/>
    <w:rsid w:val="10EC7A09"/>
    <w:rsid w:val="110B59FC"/>
    <w:rsid w:val="12071097"/>
    <w:rsid w:val="125D5B1F"/>
    <w:rsid w:val="12EA4DBC"/>
    <w:rsid w:val="13021765"/>
    <w:rsid w:val="130D010A"/>
    <w:rsid w:val="139B0D39"/>
    <w:rsid w:val="13A50343"/>
    <w:rsid w:val="13AE085B"/>
    <w:rsid w:val="13EB5139"/>
    <w:rsid w:val="13F2221A"/>
    <w:rsid w:val="14060AFB"/>
    <w:rsid w:val="1424570B"/>
    <w:rsid w:val="14332AA2"/>
    <w:rsid w:val="14A44051"/>
    <w:rsid w:val="14AC39FA"/>
    <w:rsid w:val="155572BB"/>
    <w:rsid w:val="155A34EB"/>
    <w:rsid w:val="15FF01DE"/>
    <w:rsid w:val="16070E41"/>
    <w:rsid w:val="16A82624"/>
    <w:rsid w:val="16E92557"/>
    <w:rsid w:val="172C2525"/>
    <w:rsid w:val="174D4F79"/>
    <w:rsid w:val="17FD24FB"/>
    <w:rsid w:val="18365A0D"/>
    <w:rsid w:val="185A0968"/>
    <w:rsid w:val="186500A0"/>
    <w:rsid w:val="18DA6CE0"/>
    <w:rsid w:val="18F465E3"/>
    <w:rsid w:val="19CF2F48"/>
    <w:rsid w:val="1A0E074B"/>
    <w:rsid w:val="1A402B73"/>
    <w:rsid w:val="1A4E3448"/>
    <w:rsid w:val="1A9058A9"/>
    <w:rsid w:val="1AB30BDD"/>
    <w:rsid w:val="1AB570BD"/>
    <w:rsid w:val="1ABF618E"/>
    <w:rsid w:val="1AC57F78"/>
    <w:rsid w:val="1AE97045"/>
    <w:rsid w:val="1B235571"/>
    <w:rsid w:val="1B3F0ECF"/>
    <w:rsid w:val="1B783D41"/>
    <w:rsid w:val="1C126913"/>
    <w:rsid w:val="1C1F5136"/>
    <w:rsid w:val="1C7C43BA"/>
    <w:rsid w:val="1CAB5593"/>
    <w:rsid w:val="1CC01D49"/>
    <w:rsid w:val="1D2332D3"/>
    <w:rsid w:val="1D970CFC"/>
    <w:rsid w:val="1D9A014D"/>
    <w:rsid w:val="1D9C6312"/>
    <w:rsid w:val="1DCD471E"/>
    <w:rsid w:val="1DDC7057"/>
    <w:rsid w:val="1E522444"/>
    <w:rsid w:val="1E63397F"/>
    <w:rsid w:val="1F705CA9"/>
    <w:rsid w:val="1FB16382"/>
    <w:rsid w:val="1FF94B77"/>
    <w:rsid w:val="20CC33B3"/>
    <w:rsid w:val="21333432"/>
    <w:rsid w:val="215A09BE"/>
    <w:rsid w:val="218B2455"/>
    <w:rsid w:val="21B05AC2"/>
    <w:rsid w:val="21C443C4"/>
    <w:rsid w:val="221C5C74"/>
    <w:rsid w:val="22710E72"/>
    <w:rsid w:val="22822780"/>
    <w:rsid w:val="239006C7"/>
    <w:rsid w:val="23B819CC"/>
    <w:rsid w:val="23C10881"/>
    <w:rsid w:val="23CA177F"/>
    <w:rsid w:val="24B85B6F"/>
    <w:rsid w:val="24D55312"/>
    <w:rsid w:val="24DB3BC4"/>
    <w:rsid w:val="24DE1906"/>
    <w:rsid w:val="24E0567E"/>
    <w:rsid w:val="250C5F30"/>
    <w:rsid w:val="25216A19"/>
    <w:rsid w:val="253C090A"/>
    <w:rsid w:val="259326F1"/>
    <w:rsid w:val="259952E8"/>
    <w:rsid w:val="259B403D"/>
    <w:rsid w:val="25B06DFF"/>
    <w:rsid w:val="2630659C"/>
    <w:rsid w:val="26551754"/>
    <w:rsid w:val="268E133C"/>
    <w:rsid w:val="26955FF5"/>
    <w:rsid w:val="26A5600A"/>
    <w:rsid w:val="26EF1BA9"/>
    <w:rsid w:val="26FC08B4"/>
    <w:rsid w:val="27765E26"/>
    <w:rsid w:val="27B64475"/>
    <w:rsid w:val="27E169B1"/>
    <w:rsid w:val="281C077C"/>
    <w:rsid w:val="28D91FCA"/>
    <w:rsid w:val="294E705B"/>
    <w:rsid w:val="2996630C"/>
    <w:rsid w:val="2A3004CC"/>
    <w:rsid w:val="2AFC6024"/>
    <w:rsid w:val="2B312790"/>
    <w:rsid w:val="2BE47802"/>
    <w:rsid w:val="2BEF4826"/>
    <w:rsid w:val="2C061FF9"/>
    <w:rsid w:val="2C0B1233"/>
    <w:rsid w:val="2C932FD6"/>
    <w:rsid w:val="2CA5221B"/>
    <w:rsid w:val="2D126D46"/>
    <w:rsid w:val="2D834DF9"/>
    <w:rsid w:val="2DBD030B"/>
    <w:rsid w:val="2E25123C"/>
    <w:rsid w:val="2E642E7C"/>
    <w:rsid w:val="2F012479"/>
    <w:rsid w:val="2F552023"/>
    <w:rsid w:val="2F657713"/>
    <w:rsid w:val="2F8F5CD7"/>
    <w:rsid w:val="2FDC4C9F"/>
    <w:rsid w:val="2FED2BB4"/>
    <w:rsid w:val="3008511A"/>
    <w:rsid w:val="301F2D5C"/>
    <w:rsid w:val="305F7D9F"/>
    <w:rsid w:val="30B57CC4"/>
    <w:rsid w:val="30D05F4C"/>
    <w:rsid w:val="30DC13F0"/>
    <w:rsid w:val="31411253"/>
    <w:rsid w:val="322C3CB1"/>
    <w:rsid w:val="32714877"/>
    <w:rsid w:val="32EC3440"/>
    <w:rsid w:val="33072028"/>
    <w:rsid w:val="3312147C"/>
    <w:rsid w:val="33244988"/>
    <w:rsid w:val="33686F6B"/>
    <w:rsid w:val="33845DB9"/>
    <w:rsid w:val="338D077F"/>
    <w:rsid w:val="33CD6DCE"/>
    <w:rsid w:val="33D12D62"/>
    <w:rsid w:val="342A06C4"/>
    <w:rsid w:val="342A4220"/>
    <w:rsid w:val="342C02B3"/>
    <w:rsid w:val="3474193F"/>
    <w:rsid w:val="34806C8E"/>
    <w:rsid w:val="34967B08"/>
    <w:rsid w:val="34CB237A"/>
    <w:rsid w:val="35645510"/>
    <w:rsid w:val="35956011"/>
    <w:rsid w:val="35AD6EB7"/>
    <w:rsid w:val="36010FB1"/>
    <w:rsid w:val="36397EFF"/>
    <w:rsid w:val="36BD5820"/>
    <w:rsid w:val="36C26D87"/>
    <w:rsid w:val="36D84407"/>
    <w:rsid w:val="370C2303"/>
    <w:rsid w:val="37461371"/>
    <w:rsid w:val="374C2700"/>
    <w:rsid w:val="3756532C"/>
    <w:rsid w:val="379E4696"/>
    <w:rsid w:val="37A03524"/>
    <w:rsid w:val="37B23AF9"/>
    <w:rsid w:val="37B564F7"/>
    <w:rsid w:val="37EA17DA"/>
    <w:rsid w:val="38237904"/>
    <w:rsid w:val="384F06F9"/>
    <w:rsid w:val="38BB5D8F"/>
    <w:rsid w:val="38D53666"/>
    <w:rsid w:val="39235CD0"/>
    <w:rsid w:val="39750149"/>
    <w:rsid w:val="39B06F76"/>
    <w:rsid w:val="39D42649"/>
    <w:rsid w:val="39E22EB8"/>
    <w:rsid w:val="3A67294A"/>
    <w:rsid w:val="3AA94156"/>
    <w:rsid w:val="3ADB28BD"/>
    <w:rsid w:val="3AEC01CF"/>
    <w:rsid w:val="3B0B5B64"/>
    <w:rsid w:val="3B457B92"/>
    <w:rsid w:val="3B47390A"/>
    <w:rsid w:val="3B4E6A46"/>
    <w:rsid w:val="3B7E311A"/>
    <w:rsid w:val="3BDB16AA"/>
    <w:rsid w:val="3C0B2B89"/>
    <w:rsid w:val="3C0C4329"/>
    <w:rsid w:val="3C7C5835"/>
    <w:rsid w:val="3CB80C06"/>
    <w:rsid w:val="3CCD4382"/>
    <w:rsid w:val="3CD427F4"/>
    <w:rsid w:val="3CEA6B01"/>
    <w:rsid w:val="3D1B4D1A"/>
    <w:rsid w:val="3D2A703F"/>
    <w:rsid w:val="3D9A2417"/>
    <w:rsid w:val="3DA82244"/>
    <w:rsid w:val="3DBF3C2B"/>
    <w:rsid w:val="3DF338D5"/>
    <w:rsid w:val="3E4745F6"/>
    <w:rsid w:val="3EC86B10"/>
    <w:rsid w:val="3EF23B8C"/>
    <w:rsid w:val="40B90E06"/>
    <w:rsid w:val="4202737C"/>
    <w:rsid w:val="4248180C"/>
    <w:rsid w:val="42552DB0"/>
    <w:rsid w:val="42601FA2"/>
    <w:rsid w:val="429C39D4"/>
    <w:rsid w:val="434D7F2B"/>
    <w:rsid w:val="438A7EF8"/>
    <w:rsid w:val="43A1743C"/>
    <w:rsid w:val="43DE6DD5"/>
    <w:rsid w:val="448F287C"/>
    <w:rsid w:val="44AE0837"/>
    <w:rsid w:val="44DE28E9"/>
    <w:rsid w:val="44ED62F5"/>
    <w:rsid w:val="457F0202"/>
    <w:rsid w:val="458B6AE9"/>
    <w:rsid w:val="45A007E6"/>
    <w:rsid w:val="45C00171"/>
    <w:rsid w:val="45D17124"/>
    <w:rsid w:val="45E00BE3"/>
    <w:rsid w:val="45E4394D"/>
    <w:rsid w:val="463765F8"/>
    <w:rsid w:val="464A0752"/>
    <w:rsid w:val="464A32B7"/>
    <w:rsid w:val="467E0A66"/>
    <w:rsid w:val="46E72E33"/>
    <w:rsid w:val="46F22218"/>
    <w:rsid w:val="4723347D"/>
    <w:rsid w:val="47727699"/>
    <w:rsid w:val="48180B08"/>
    <w:rsid w:val="488175D2"/>
    <w:rsid w:val="489F6B33"/>
    <w:rsid w:val="48C91E02"/>
    <w:rsid w:val="48F65F2A"/>
    <w:rsid w:val="48FE79D6"/>
    <w:rsid w:val="4908096E"/>
    <w:rsid w:val="49777AB0"/>
    <w:rsid w:val="49AD1724"/>
    <w:rsid w:val="49F40F24"/>
    <w:rsid w:val="4A2C1B26"/>
    <w:rsid w:val="4A3D2AA8"/>
    <w:rsid w:val="4A3E412A"/>
    <w:rsid w:val="4A89557F"/>
    <w:rsid w:val="4B2704DE"/>
    <w:rsid w:val="4B447E66"/>
    <w:rsid w:val="4B5F4B9C"/>
    <w:rsid w:val="4B6F45A2"/>
    <w:rsid w:val="4BBC17AA"/>
    <w:rsid w:val="4BE8122B"/>
    <w:rsid w:val="4C481290"/>
    <w:rsid w:val="4C7B1665"/>
    <w:rsid w:val="4E092CA1"/>
    <w:rsid w:val="4E0E6492"/>
    <w:rsid w:val="4E455264"/>
    <w:rsid w:val="4E673416"/>
    <w:rsid w:val="4F371C8D"/>
    <w:rsid w:val="4F644633"/>
    <w:rsid w:val="50183FDB"/>
    <w:rsid w:val="503E1327"/>
    <w:rsid w:val="504A7CCC"/>
    <w:rsid w:val="507E1724"/>
    <w:rsid w:val="50EC4197"/>
    <w:rsid w:val="51A6661E"/>
    <w:rsid w:val="51B55619"/>
    <w:rsid w:val="51EE7F7C"/>
    <w:rsid w:val="522301DD"/>
    <w:rsid w:val="524B4509"/>
    <w:rsid w:val="52733F35"/>
    <w:rsid w:val="528B1ED6"/>
    <w:rsid w:val="52B61649"/>
    <w:rsid w:val="52E773DC"/>
    <w:rsid w:val="52EF283C"/>
    <w:rsid w:val="52FC2DD4"/>
    <w:rsid w:val="532E7431"/>
    <w:rsid w:val="538F3C48"/>
    <w:rsid w:val="53984164"/>
    <w:rsid w:val="53A45945"/>
    <w:rsid w:val="53C438F2"/>
    <w:rsid w:val="540631DB"/>
    <w:rsid w:val="54216F96"/>
    <w:rsid w:val="54866DF9"/>
    <w:rsid w:val="55313209"/>
    <w:rsid w:val="55665B55"/>
    <w:rsid w:val="55684751"/>
    <w:rsid w:val="55850EFA"/>
    <w:rsid w:val="55930180"/>
    <w:rsid w:val="55A21A11"/>
    <w:rsid w:val="55B31E70"/>
    <w:rsid w:val="565E627F"/>
    <w:rsid w:val="569972B8"/>
    <w:rsid w:val="577365E1"/>
    <w:rsid w:val="58256929"/>
    <w:rsid w:val="584119B5"/>
    <w:rsid w:val="58637BCC"/>
    <w:rsid w:val="5866766D"/>
    <w:rsid w:val="58E144F6"/>
    <w:rsid w:val="596811C3"/>
    <w:rsid w:val="5A07278A"/>
    <w:rsid w:val="5A3D1A35"/>
    <w:rsid w:val="5A5E374B"/>
    <w:rsid w:val="5A9B11BD"/>
    <w:rsid w:val="5AEC1F32"/>
    <w:rsid w:val="5AF867D4"/>
    <w:rsid w:val="5AFD6893"/>
    <w:rsid w:val="5B173F22"/>
    <w:rsid w:val="5B643820"/>
    <w:rsid w:val="5BA5225B"/>
    <w:rsid w:val="5BD007B0"/>
    <w:rsid w:val="5C7D6D34"/>
    <w:rsid w:val="5CA35125"/>
    <w:rsid w:val="5CD54DC2"/>
    <w:rsid w:val="5D142F08"/>
    <w:rsid w:val="5D8714F7"/>
    <w:rsid w:val="5DB524FD"/>
    <w:rsid w:val="5DC42740"/>
    <w:rsid w:val="5DDE6A81"/>
    <w:rsid w:val="5DE54B90"/>
    <w:rsid w:val="5E602469"/>
    <w:rsid w:val="5E6F4DA2"/>
    <w:rsid w:val="5EB97DCB"/>
    <w:rsid w:val="5EF86DE5"/>
    <w:rsid w:val="5F22140E"/>
    <w:rsid w:val="5F592D75"/>
    <w:rsid w:val="5FF26C90"/>
    <w:rsid w:val="6054739E"/>
    <w:rsid w:val="605765F1"/>
    <w:rsid w:val="6071407C"/>
    <w:rsid w:val="60E4448C"/>
    <w:rsid w:val="61021EFD"/>
    <w:rsid w:val="610C6769"/>
    <w:rsid w:val="61295875"/>
    <w:rsid w:val="61355E2F"/>
    <w:rsid w:val="61A134C4"/>
    <w:rsid w:val="62285994"/>
    <w:rsid w:val="627A56DF"/>
    <w:rsid w:val="62FD6A68"/>
    <w:rsid w:val="63051B4E"/>
    <w:rsid w:val="637D3ABD"/>
    <w:rsid w:val="63A63014"/>
    <w:rsid w:val="645A5BAC"/>
    <w:rsid w:val="64984234"/>
    <w:rsid w:val="64BC4A78"/>
    <w:rsid w:val="65171E03"/>
    <w:rsid w:val="65353750"/>
    <w:rsid w:val="654E5711"/>
    <w:rsid w:val="6550631D"/>
    <w:rsid w:val="65602A06"/>
    <w:rsid w:val="65847385"/>
    <w:rsid w:val="65B8702E"/>
    <w:rsid w:val="66611474"/>
    <w:rsid w:val="66807B4C"/>
    <w:rsid w:val="668B029F"/>
    <w:rsid w:val="66D57566"/>
    <w:rsid w:val="66DC4728"/>
    <w:rsid w:val="66E53E53"/>
    <w:rsid w:val="66F01891"/>
    <w:rsid w:val="670D5DDA"/>
    <w:rsid w:val="67340937"/>
    <w:rsid w:val="67B779CB"/>
    <w:rsid w:val="67D619EE"/>
    <w:rsid w:val="67FD5388"/>
    <w:rsid w:val="686B3FC7"/>
    <w:rsid w:val="689B3FAD"/>
    <w:rsid w:val="68F22857"/>
    <w:rsid w:val="693267DE"/>
    <w:rsid w:val="69A1521B"/>
    <w:rsid w:val="69AB0AE9"/>
    <w:rsid w:val="69EA30F4"/>
    <w:rsid w:val="69EB1780"/>
    <w:rsid w:val="6A4946F9"/>
    <w:rsid w:val="6A503CD9"/>
    <w:rsid w:val="6AD541DF"/>
    <w:rsid w:val="6AF02DC7"/>
    <w:rsid w:val="6B0074AE"/>
    <w:rsid w:val="6B47242E"/>
    <w:rsid w:val="6BC404DB"/>
    <w:rsid w:val="6BDF5191"/>
    <w:rsid w:val="6BE411B8"/>
    <w:rsid w:val="6BF84629"/>
    <w:rsid w:val="6C7A233B"/>
    <w:rsid w:val="6C9C1458"/>
    <w:rsid w:val="6CB22A29"/>
    <w:rsid w:val="6CCF5389"/>
    <w:rsid w:val="6D354740"/>
    <w:rsid w:val="6D373845"/>
    <w:rsid w:val="6E276AFF"/>
    <w:rsid w:val="6E3B6A4F"/>
    <w:rsid w:val="6E681C8B"/>
    <w:rsid w:val="6EDB7BE0"/>
    <w:rsid w:val="6F6618A9"/>
    <w:rsid w:val="6FFF21F4"/>
    <w:rsid w:val="70271038"/>
    <w:rsid w:val="715C7408"/>
    <w:rsid w:val="71A861A9"/>
    <w:rsid w:val="72133F6A"/>
    <w:rsid w:val="7262394B"/>
    <w:rsid w:val="726A1369"/>
    <w:rsid w:val="727A7B45"/>
    <w:rsid w:val="72DA6836"/>
    <w:rsid w:val="739C7F8F"/>
    <w:rsid w:val="73BC23E0"/>
    <w:rsid w:val="73F531FC"/>
    <w:rsid w:val="7434641A"/>
    <w:rsid w:val="74BB0F7F"/>
    <w:rsid w:val="74F040EF"/>
    <w:rsid w:val="7520539D"/>
    <w:rsid w:val="7530273D"/>
    <w:rsid w:val="75466405"/>
    <w:rsid w:val="755C0CA5"/>
    <w:rsid w:val="75632D3D"/>
    <w:rsid w:val="75760712"/>
    <w:rsid w:val="75B275F6"/>
    <w:rsid w:val="75D91027"/>
    <w:rsid w:val="76946280"/>
    <w:rsid w:val="76C951E1"/>
    <w:rsid w:val="76D06225"/>
    <w:rsid w:val="77381D7D"/>
    <w:rsid w:val="77447D75"/>
    <w:rsid w:val="7751028F"/>
    <w:rsid w:val="77747081"/>
    <w:rsid w:val="77754D7F"/>
    <w:rsid w:val="777FBCD4"/>
    <w:rsid w:val="77A57835"/>
    <w:rsid w:val="77AB254F"/>
    <w:rsid w:val="77C51C4F"/>
    <w:rsid w:val="781C2266"/>
    <w:rsid w:val="782B3690"/>
    <w:rsid w:val="78434E7D"/>
    <w:rsid w:val="789D40D9"/>
    <w:rsid w:val="789F751B"/>
    <w:rsid w:val="78BB2C66"/>
    <w:rsid w:val="78C22246"/>
    <w:rsid w:val="78DC4128"/>
    <w:rsid w:val="79160F84"/>
    <w:rsid w:val="793D18CD"/>
    <w:rsid w:val="79517074"/>
    <w:rsid w:val="79A27982"/>
    <w:rsid w:val="7A266805"/>
    <w:rsid w:val="7A284EA6"/>
    <w:rsid w:val="7A2E4C88"/>
    <w:rsid w:val="7A4B0DF1"/>
    <w:rsid w:val="7AC05B99"/>
    <w:rsid w:val="7B1D5512"/>
    <w:rsid w:val="7B4E0BB2"/>
    <w:rsid w:val="7B9003DA"/>
    <w:rsid w:val="7BAB6FC2"/>
    <w:rsid w:val="7BF344C5"/>
    <w:rsid w:val="7C2F7BF3"/>
    <w:rsid w:val="7C5A4544"/>
    <w:rsid w:val="7C5B649E"/>
    <w:rsid w:val="7D272678"/>
    <w:rsid w:val="7D6F401F"/>
    <w:rsid w:val="7DB14637"/>
    <w:rsid w:val="7DB303AF"/>
    <w:rsid w:val="7DD1451E"/>
    <w:rsid w:val="7F3948E4"/>
  </w:rsids>
  <w:docVars>
    <w:docVar w:name="commondata" w:val="eyJoZGlkIjoiMzRkN2Y2NThmNzBjMzEyYzg1N2Q3Yjk2MWFiYTJkNz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qFormat="1"/>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59"/>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next w:val="Normal"/>
    <w:link w:val="2"/>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a4"/>
    <w:uiPriority w:val="99"/>
    <w:semiHidden/>
    <w:unhideWhenUsed/>
    <w:qFormat/>
    <w:rPr>
      <w:rFonts w:ascii="宋体" w:eastAsia="宋体"/>
      <w:sz w:val="18"/>
      <w:szCs w:val="18"/>
    </w:rPr>
  </w:style>
  <w:style w:type="paragraph" w:styleId="BodyText">
    <w:name w:val="Body Text"/>
    <w:basedOn w:val="Normal"/>
    <w:link w:val="a3"/>
    <w:uiPriority w:val="1"/>
    <w:qFormat/>
    <w:pPr>
      <w:autoSpaceDE w:val="0"/>
      <w:autoSpaceDN w:val="0"/>
      <w:spacing w:line="240" w:lineRule="auto"/>
      <w:jc w:val="left"/>
    </w:pPr>
    <w:rPr>
      <w:rFonts w:ascii="Times New Roman" w:eastAsia="Times New Roman" w:hAnsi="Times New Roman" w:cs="Times New Roman"/>
      <w:kern w:val="0"/>
      <w:sz w:val="20"/>
      <w:szCs w:val="20"/>
      <w:lang w:eastAsia="en-US"/>
    </w:rPr>
  </w:style>
  <w:style w:type="paragraph" w:styleId="TOC3">
    <w:name w:val="toc 3"/>
    <w:basedOn w:val="Normal"/>
    <w:next w:val="Normal"/>
    <w:uiPriority w:val="39"/>
    <w:semiHidden/>
    <w:unhideWhenUsed/>
    <w:qFormat/>
    <w:pPr>
      <w:ind w:left="840" w:leftChars="400"/>
    </w:pPr>
  </w:style>
  <w:style w:type="paragraph" w:styleId="BalloonText">
    <w:name w:val="Balloon Text"/>
    <w:basedOn w:val="Normal"/>
    <w:link w:val="a"/>
    <w:uiPriority w:val="99"/>
    <w:semiHidden/>
    <w:unhideWhenUsed/>
    <w:qFormat/>
    <w:pPr>
      <w:spacing w:line="240" w:lineRule="auto"/>
    </w:pPr>
    <w:rPr>
      <w:sz w:val="18"/>
      <w:szCs w:val="18"/>
    </w:rPr>
  </w:style>
  <w:style w:type="paragraph" w:styleId="Footer">
    <w:name w:val="footer"/>
    <w:basedOn w:val="Normal"/>
    <w:link w:val="a1"/>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a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420" w:leftChars="200"/>
    </w:pPr>
  </w:style>
  <w:style w:type="character" w:styleId="Hyperlink">
    <w:name w:val="Hyperlink"/>
    <w:basedOn w:val="DefaultParagraphFont"/>
    <w:uiPriority w:val="99"/>
    <w:unhideWhenUsed/>
    <w:qFormat/>
    <w:rPr>
      <w:color w:val="0000FF" w:themeColor="hyperlink"/>
      <w:u w:val="single"/>
      <w14:textFill>
        <w14:solidFill>
          <w14:schemeClr w14:val="hlink"/>
        </w14:solidFill>
      </w14:textFill>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lang w:val="en-US" w:eastAsia="zh-CN" w:bidi="ar-SA"/>
    </w:rPr>
  </w:style>
  <w:style w:type="paragraph" w:styleId="ListParagraph">
    <w:name w:val="List Paragraph"/>
    <w:basedOn w:val="Normal"/>
    <w:uiPriority w:val="34"/>
    <w:qFormat/>
    <w:pPr>
      <w:ind w:firstLine="420" w:firstLineChars="200"/>
    </w:pPr>
  </w:style>
  <w:style w:type="character" w:customStyle="1" w:styleId="a">
    <w:name w:val="批注框文本 字符"/>
    <w:basedOn w:val="DefaultParagraphFont"/>
    <w:link w:val="BalloonText"/>
    <w:uiPriority w:val="99"/>
    <w:semiHidden/>
    <w:qFormat/>
    <w:rPr>
      <w:sz w:val="18"/>
      <w:szCs w:val="18"/>
    </w:rPr>
  </w:style>
  <w:style w:type="character" w:customStyle="1" w:styleId="a0">
    <w:name w:val="页眉 字符"/>
    <w:basedOn w:val="DefaultParagraphFont"/>
    <w:link w:val="Header"/>
    <w:uiPriority w:val="99"/>
    <w:qFormat/>
    <w:rPr>
      <w:sz w:val="18"/>
      <w:szCs w:val="18"/>
    </w:rPr>
  </w:style>
  <w:style w:type="character" w:customStyle="1" w:styleId="a1">
    <w:name w:val="页脚 字符"/>
    <w:basedOn w:val="DefaultParagraphFont"/>
    <w:link w:val="Footer"/>
    <w:uiPriority w:val="99"/>
    <w:qFormat/>
    <w:rPr>
      <w:sz w:val="18"/>
      <w:szCs w:val="18"/>
    </w:rPr>
  </w:style>
  <w:style w:type="paragraph" w:styleId="NoSpacing">
    <w:name w:val="No Spacing"/>
    <w:link w:val="a2"/>
    <w:uiPriority w:val="1"/>
    <w:qFormat/>
    <w:rPr>
      <w:rFonts w:asciiTheme="minorHAnsi" w:eastAsiaTheme="minorEastAsia" w:hAnsiTheme="minorHAnsi" w:cstheme="minorBidi"/>
      <w:sz w:val="22"/>
      <w:szCs w:val="22"/>
      <w:lang w:val="en-US" w:eastAsia="zh-CN" w:bidi="ar-SA"/>
    </w:rPr>
  </w:style>
  <w:style w:type="character" w:customStyle="1" w:styleId="a2">
    <w:name w:val="无间隔 字符"/>
    <w:basedOn w:val="DefaultParagraphFont"/>
    <w:link w:val="NoSpacing"/>
    <w:uiPriority w:val="1"/>
    <w:qFormat/>
    <w:rPr>
      <w:kern w:val="0"/>
      <w:sz w:val="22"/>
    </w:rPr>
  </w:style>
  <w:style w:type="character" w:customStyle="1" w:styleId="a3">
    <w:name w:val="正文文本 字符"/>
    <w:basedOn w:val="DefaultParagraphFont"/>
    <w:link w:val="BodyText"/>
    <w:uiPriority w:val="1"/>
    <w:qFormat/>
    <w:rPr>
      <w:rFonts w:ascii="Times New Roman" w:eastAsia="Times New Roman" w:hAnsi="Times New Roman" w:cs="Times New Roman"/>
      <w:lang w:eastAsia="en-US"/>
    </w:rPr>
  </w:style>
  <w:style w:type="paragraph" w:customStyle="1" w:styleId="TOC22">
    <w:name w:val="TOC22"/>
    <w:basedOn w:val="TOC1"/>
    <w:qFormat/>
    <w:pPr>
      <w:tabs>
        <w:tab w:val="right" w:leader="dot" w:pos="8306"/>
      </w:tabs>
    </w:pPr>
    <w:rPr>
      <w:rFonts w:ascii="宋体" w:eastAsia="宋体" w:hAnsi="宋体" w:cs="宋体"/>
      <w:sz w:val="36"/>
      <w:szCs w:val="36"/>
    </w:rPr>
  </w:style>
  <w:style w:type="character" w:customStyle="1" w:styleId="a4">
    <w:name w:val="文档结构图 字符"/>
    <w:basedOn w:val="DefaultParagraphFont"/>
    <w:link w:val="DocumentMap"/>
    <w:uiPriority w:val="99"/>
    <w:semiHidden/>
    <w:qFormat/>
    <w:rPr>
      <w:rFonts w:ascii="宋体" w:hAnsiTheme="minorHAnsi" w:cstheme="minorBidi"/>
      <w:kern w:val="2"/>
      <w:sz w:val="18"/>
      <w:szCs w:val="18"/>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kern w:val="2"/>
      <w:sz w:val="32"/>
      <w:szCs w:val="32"/>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header" Target="header2.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0B34D-284A-481B-BAA1-1B1A5A5D63E4}">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77</Pages>
  <Words>427</Words>
  <Characters>642</Characters>
  <Application>Microsoft Office Word</Application>
  <DocSecurity>0</DocSecurity>
  <Lines>187</Lines>
  <Paragraphs>52</Paragraphs>
  <ScaleCrop>false</ScaleCrop>
  <Company>dell</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刘菁</dc:creator>
  <cp:lastModifiedBy>卡咯嘉</cp:lastModifiedBy>
  <cp:revision>291</cp:revision>
  <cp:lastPrinted>2024-04-02T02:56:00Z</cp:lastPrinted>
  <dcterms:created xsi:type="dcterms:W3CDTF">2022-12-02T07:03:00Z</dcterms:created>
  <dcterms:modified xsi:type="dcterms:W3CDTF">2025-09-28T03:39:03Z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90B327C4B16C4A1FAC1C86872DD0AAD6_13</vt:lpwstr>
  </property>
  <property fmtid="{D5CDD505-2E9C-101B-9397-08002B2CF9AE}" pid="3" name="KSOProductBuildVer">
    <vt:lpwstr>2052-12.1.0.18608</vt:lpwstr>
  </property>
  <property fmtid="{D5CDD505-2E9C-101B-9397-08002B2CF9AE}" pid="4" name="KSOTemplateDocerSaveRecord">
    <vt:lpwstr>eyJoZGlkIjoiZGQwYTQyNTQxNGRlZjI2YjNjY2Q1YzI5NzE3MTlkNjAiLCJ1c2VySWQiOiI1NjE1MDAzMzIifQ==</vt:lpwstr>
  </property>
</Properties>
</file>