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18E61">
      <w:pPr>
        <w:widowControl/>
        <w:spacing w:beforeAutospacing="1" w:line="600" w:lineRule="atLeast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附件2</w:t>
      </w:r>
    </w:p>
    <w:p w14:paraId="093CB30D">
      <w:pPr>
        <w:widowControl/>
        <w:spacing w:beforeAutospacing="1" w:line="600" w:lineRule="atLeast"/>
        <w:jc w:val="center"/>
        <w:rPr>
          <w:rFonts w:cs="宋体" w:asciiTheme="minorEastAsia" w:hAnsiTheme="minorEastAsia"/>
          <w:b/>
          <w:color w:val="333333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</w:rPr>
        <w:t>福州市马尾生态</w:t>
      </w:r>
      <w:bookmarkStart w:id="0" w:name="_GoBack"/>
      <w:bookmarkEnd w:id="0"/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</w:rPr>
        <w:t>环境局202</w:t>
      </w:r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</w:rPr>
        <w:t>年度</w:t>
      </w:r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  <w:lang w:eastAsia="zh-CN"/>
        </w:rPr>
        <w:t>“双随机、一公开”</w:t>
      </w:r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</w:rPr>
        <w:t>抽查计划表</w:t>
      </w:r>
    </w:p>
    <w:p w14:paraId="73B4F3D1"/>
    <w:tbl>
      <w:tblPr>
        <w:tblStyle w:val="9"/>
        <w:tblW w:w="14847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675"/>
        <w:gridCol w:w="1610"/>
        <w:gridCol w:w="1009"/>
        <w:gridCol w:w="1714"/>
        <w:gridCol w:w="1009"/>
        <w:gridCol w:w="1348"/>
        <w:gridCol w:w="3742"/>
        <w:gridCol w:w="993"/>
        <w:gridCol w:w="1275"/>
      </w:tblGrid>
      <w:tr w14:paraId="0B4FFAE4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3D0AF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C8660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Cs w:val="21"/>
              </w:rPr>
              <w:t>抽查计划名称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3A072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Cs w:val="21"/>
              </w:rPr>
              <w:t>抽查任务名称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DC87A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Cs w:val="21"/>
              </w:rPr>
              <w:t>抽查类型（定向或不定向）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B6313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Cs w:val="21"/>
              </w:rPr>
              <w:t>抽查事项类别（一般检查事项或重点检查事项）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3A31A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Cs w:val="21"/>
              </w:rPr>
              <w:t>部门联合抽查（是或否）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44FF9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Cs w:val="21"/>
              </w:rPr>
              <w:t>抽查事项</w:t>
            </w:r>
          </w:p>
        </w:tc>
        <w:tc>
          <w:tcPr>
            <w:tcW w:w="37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73054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Cs w:val="21"/>
              </w:rPr>
              <w:t>抽查对象比例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F1EAB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Cs w:val="21"/>
              </w:rPr>
              <w:t>抽查起止时间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1C799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Cs w:val="21"/>
              </w:rPr>
              <w:t>实施部门</w:t>
            </w:r>
          </w:p>
        </w:tc>
      </w:tr>
      <w:tr w14:paraId="0B340958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F3ED2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13548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第一季度污染源日常监管“双随机抽检情况”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F9A12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一般排污单位、重点排污单位及特殊监管排污单位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8A227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A8BC0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9C67E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F2B72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污染源日常环境监管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67FB7">
            <w:pPr>
              <w:widowControl/>
              <w:jc w:val="left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一般排污单位按1：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的比例；重点排污单位25%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特殊监管排污单位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50%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。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5EA4E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1月</w:t>
            </w:r>
          </w:p>
          <w:p w14:paraId="13FBA485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-3月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00379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执法大队</w:t>
            </w:r>
          </w:p>
        </w:tc>
      </w:tr>
      <w:tr w14:paraId="5ACC561D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B22B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0A553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0B4C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建设产生环境污染项目的单</w:t>
            </w:r>
          </w:p>
          <w:p w14:paraId="284A8D6A"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58A27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1F4C0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8D3FE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93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建设项目“三同时”制度执行情况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管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4F993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报告书项目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不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于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25%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；报告表项目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抽查比例：不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于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6805F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D2E81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703A167C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AA9B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2793D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96236"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核与辐射利用的单位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6D49F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EA64E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76B51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1D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对辐射安全管理情况的监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管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EC21C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抽查比例不低于25%。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1A5C4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4C779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5CB580FD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BC91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F97E4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第二季度污染源日常监管“双随机抽检情况”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9E77B"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一般排污单位、重点排污单位及特殊监管排污单位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BCDC9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F80E3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AE6D4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75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对机动车排放检验报告质量的监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管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F1F5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一般排污单位按1：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的比例；重点排污单位25%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特殊监管排污单位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50%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。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5D1B3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4月</w:t>
            </w:r>
          </w:p>
          <w:p w14:paraId="58A94ECE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-6月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3FF94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执法大队</w:t>
            </w:r>
          </w:p>
        </w:tc>
      </w:tr>
      <w:tr w14:paraId="3369B944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B321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0A8BF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4A03D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机动车排放检验机构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F0A17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29E0D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CF685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E00D7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污染源日常环境监管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E8065">
            <w:pPr>
              <w:widowControl/>
              <w:jc w:val="left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抽查比例不低于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%。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2F75D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1D750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5FC99306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6446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7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1653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第二季度污染源日常监管“双随机抽检情况”</w:t>
            </w:r>
          </w:p>
        </w:tc>
        <w:tc>
          <w:tcPr>
            <w:tcW w:w="1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3819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建设产生环境污染项目的单</w:t>
            </w:r>
          </w:p>
          <w:p w14:paraId="76DE9173"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位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7F084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10506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75430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B5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建设项目“三同时”制度执行情况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管</w:t>
            </w:r>
          </w:p>
        </w:tc>
        <w:tc>
          <w:tcPr>
            <w:tcW w:w="3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7756B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报告书项目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不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于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25%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；报告表项目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抽查比例：不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于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E68C2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4月</w:t>
            </w:r>
          </w:p>
          <w:p w14:paraId="28EACD10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-6月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AC700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执法大队</w:t>
            </w:r>
          </w:p>
        </w:tc>
      </w:tr>
      <w:tr w14:paraId="4E8D6263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68FB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6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F6776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B4E8D"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核与辐射利用的单位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D0E80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D4983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6C28C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2E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对辐射安全管理情况的监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管</w:t>
            </w:r>
          </w:p>
        </w:tc>
        <w:tc>
          <w:tcPr>
            <w:tcW w:w="3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B894A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抽查比例不低于25%。</w:t>
            </w:r>
          </w:p>
        </w:tc>
        <w:tc>
          <w:tcPr>
            <w:tcW w:w="9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FD20D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A5E8E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163B60B5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1C06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67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D3FA6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第三季度污染源日常监管“双随机抽检情况”</w:t>
            </w:r>
          </w:p>
        </w:tc>
        <w:tc>
          <w:tcPr>
            <w:tcW w:w="1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A7456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一般排污单位、重点排污单位及特殊监管排污单位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0680D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1DEF6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7E1E1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52806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污染源日常环境监管</w:t>
            </w:r>
          </w:p>
        </w:tc>
        <w:tc>
          <w:tcPr>
            <w:tcW w:w="3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5D2B6">
            <w:pPr>
              <w:widowControl/>
              <w:jc w:val="left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一般排污单位按1：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的比例；重点排污单位25%。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F7EC7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7月</w:t>
            </w:r>
          </w:p>
          <w:p w14:paraId="2D7496B7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-9月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92866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执法大队</w:t>
            </w:r>
          </w:p>
        </w:tc>
      </w:tr>
      <w:tr w14:paraId="1C3B450D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146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675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DB794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8821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建设产生环境污染项目的单</w:t>
            </w:r>
          </w:p>
          <w:p w14:paraId="5B4DA38C"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位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CBE9C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3311A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F6D86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70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建设项目“三同时”制度执行情况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管</w:t>
            </w:r>
          </w:p>
        </w:tc>
        <w:tc>
          <w:tcPr>
            <w:tcW w:w="3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9E442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报告书项目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不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于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25%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；报告表项目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抽查比例：不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于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993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90882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19699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452EEDDB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378E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675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7BC84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921B2"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核与辐射利用的单位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B3D83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8AB9A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5BC1B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85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对辐射安全管理情况的监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管</w:t>
            </w:r>
          </w:p>
        </w:tc>
        <w:tc>
          <w:tcPr>
            <w:tcW w:w="3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6282D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抽查比例不低于25%。</w:t>
            </w:r>
          </w:p>
        </w:tc>
        <w:tc>
          <w:tcPr>
            <w:tcW w:w="993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4FB81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DBAA8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20575D8F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8FC1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6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D586F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839CF"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机动车排放检验机构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ECF0A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852D6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D8A5D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61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对机动车排放检验报告质量的监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管</w:t>
            </w:r>
          </w:p>
        </w:tc>
        <w:tc>
          <w:tcPr>
            <w:tcW w:w="3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4DA34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抽查比例不低于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%。</w:t>
            </w:r>
          </w:p>
        </w:tc>
        <w:tc>
          <w:tcPr>
            <w:tcW w:w="9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09920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694D5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3FB84D0C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C2C8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AE467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第四季度污染源日常监管“双随机抽检情况”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386E3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一般排污单位、重点排污单位及特殊监管排污单位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105A3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F1251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F8EF3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66232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污染源日常环境监管</w:t>
            </w:r>
          </w:p>
        </w:tc>
        <w:tc>
          <w:tcPr>
            <w:tcW w:w="3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FA647">
            <w:pPr>
              <w:widowControl/>
              <w:jc w:val="left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一般排污单位按1：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的比例；重点排污单位25%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特殊监管排污单位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。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850D0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10月-12月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5C775"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执法大队</w:t>
            </w:r>
          </w:p>
        </w:tc>
      </w:tr>
      <w:tr w14:paraId="7925999B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4879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0BC6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第四季度污染源日常监管“双随机抽检情况”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82A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建设产生环境污染项目的单</w:t>
            </w:r>
          </w:p>
          <w:p w14:paraId="51723F04"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位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E3627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0D43E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D1DEA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B3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建设项目“三同时”制度执行情况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管</w:t>
            </w:r>
          </w:p>
        </w:tc>
        <w:tc>
          <w:tcPr>
            <w:tcW w:w="3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8699D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报告书项目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不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于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25%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；报告表项目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抽查比例：不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于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9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5E207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10月-12月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B2D0D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执法大队</w:t>
            </w:r>
          </w:p>
        </w:tc>
      </w:tr>
      <w:tr w14:paraId="209E654C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D6AF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91186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41882"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核与辐射利用的单位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5EC4F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E5018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15D9D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B3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对辐射安全管理情况的监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管</w:t>
            </w:r>
          </w:p>
        </w:tc>
        <w:tc>
          <w:tcPr>
            <w:tcW w:w="3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BE877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抽查比例不低于25%。</w:t>
            </w:r>
          </w:p>
        </w:tc>
        <w:tc>
          <w:tcPr>
            <w:tcW w:w="993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13CFC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C1B86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5C93A8E2"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0CB3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8963E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A57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非道路移动机械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2172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不定向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312A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一般检查事项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AB7A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94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对非道路移动机械大气污染物排放状况的监</w:t>
            </w:r>
          </w:p>
        </w:tc>
        <w:tc>
          <w:tcPr>
            <w:tcW w:w="3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8FB60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  <w:lang w:val="en-US" w:eastAsia="zh-CN"/>
              </w:rPr>
              <w:t>抽查比例不低于年度新增非道路移动机械量的20%</w:t>
            </w:r>
          </w:p>
        </w:tc>
        <w:tc>
          <w:tcPr>
            <w:tcW w:w="9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63EBE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85637">
            <w:pPr>
              <w:widowControl/>
              <w:jc w:val="center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</w:p>
        </w:tc>
      </w:tr>
    </w:tbl>
    <w:p w14:paraId="1FEEE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中宋" w:eastAsia="华文中宋" w:cs="宋体"/>
          <w:b/>
          <w:color w:val="333333"/>
          <w:sz w:val="44"/>
          <w:szCs w:val="44"/>
          <w:shd w:val="clear" w:color="auto" w:fill="FFFFFF"/>
        </w:rPr>
      </w:pPr>
      <w:r>
        <w:rPr>
          <w:rFonts w:hint="eastAsia"/>
        </w:rPr>
        <w:t> </w:t>
      </w:r>
    </w:p>
    <w:sectPr>
      <w:footerReference r:id="rId3" w:type="default"/>
      <w:pgSz w:w="16838" w:h="11906" w:orient="landscape"/>
      <w:pgMar w:top="1418" w:right="1440" w:bottom="1418" w:left="113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512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FB50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FB50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ZjM4OGZlMDdkZGJlODkxZThmMTQ4Mzc0NWJjODgifQ=="/>
  </w:docVars>
  <w:rsids>
    <w:rsidRoot w:val="005616F6"/>
    <w:rsid w:val="00007FD1"/>
    <w:rsid w:val="000529A0"/>
    <w:rsid w:val="002A24A2"/>
    <w:rsid w:val="003A25A4"/>
    <w:rsid w:val="004653FB"/>
    <w:rsid w:val="00486927"/>
    <w:rsid w:val="00512B23"/>
    <w:rsid w:val="005616F6"/>
    <w:rsid w:val="005A33D2"/>
    <w:rsid w:val="006C780F"/>
    <w:rsid w:val="009505C8"/>
    <w:rsid w:val="009F5992"/>
    <w:rsid w:val="00A2319A"/>
    <w:rsid w:val="00E32998"/>
    <w:rsid w:val="00E477AC"/>
    <w:rsid w:val="00FF0841"/>
    <w:rsid w:val="0BBC64FB"/>
    <w:rsid w:val="0C73111A"/>
    <w:rsid w:val="0D0D0E14"/>
    <w:rsid w:val="0DD1300A"/>
    <w:rsid w:val="1CC274B8"/>
    <w:rsid w:val="1EC639BF"/>
    <w:rsid w:val="21AB524C"/>
    <w:rsid w:val="3B596C19"/>
    <w:rsid w:val="3CA44BFA"/>
    <w:rsid w:val="3FA95209"/>
    <w:rsid w:val="5C781A8C"/>
    <w:rsid w:val="6273245C"/>
    <w:rsid w:val="6826376C"/>
    <w:rsid w:val="6B077020"/>
    <w:rsid w:val="717A5111"/>
    <w:rsid w:val="7310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7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日期 Char"/>
    <w:basedOn w:val="10"/>
    <w:link w:val="5"/>
    <w:semiHidden/>
    <w:qFormat/>
    <w:uiPriority w:val="99"/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1158</Words>
  <Characters>1214</Characters>
  <Lines>20</Lines>
  <Paragraphs>5</Paragraphs>
  <TotalTime>8</TotalTime>
  <ScaleCrop>false</ScaleCrop>
  <LinksUpToDate>false</LinksUpToDate>
  <CharactersWithSpaces>1215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2023-11-07T00:50:00Z</dcterms:created>
  <dc:creator>PC</dc:creator>
  <cp:lastModifiedBy>邓MM</cp:lastModifiedBy>
  <cp:lastPrinted>2024-01-16T03:49:00Z</cp:lastPrinted>
  <dcterms:modified xsi:type="dcterms:W3CDTF">2026-01-19T04:17:42Z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AAAB871279254CEABAB65EC89FD54516</vt:lpwstr>
  </property>
  <property fmtid="{D5CDD505-2E9C-101B-9397-08002B2CF9AE}" pid="4" name="KSOTemplateDocerSaveRecord">
    <vt:lpwstr>eyJoZGlkIjoiZTU4MzMwNDk5YzU1YmQ2ZTQwMDRhZWI0YmM2MmNmZGEiLCJ1c2VySWQiOiIxMDI5NTIwMjg3In0=</vt:lpwstr>
  </property>
</Properties>
</file>