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CD49A">
      <w:pPr>
        <w:ind w:firstLine="0" w:firstLineChars="0"/>
        <w:jc w:val="center"/>
        <w:rPr>
          <w:rFonts w:ascii="宋体" w:hAnsi="宋体" w:eastAsia="宋体" w:cs="宋体"/>
          <w:b/>
          <w:bCs/>
          <w:sz w:val="36"/>
          <w:szCs w:val="36"/>
        </w:rPr>
      </w:pPr>
      <w:r>
        <w:rPr>
          <w:rFonts w:hint="eastAsia" w:ascii="宋体" w:hAnsi="宋体" w:eastAsia="宋体" w:cs="宋体"/>
          <w:b/>
          <w:bCs/>
          <w:sz w:val="36"/>
          <w:szCs w:val="36"/>
        </w:rPr>
        <w:t>福州经济技术开发区市场监督管理局</w:t>
      </w:r>
    </w:p>
    <w:p w14:paraId="53C4EC8A">
      <w:pPr>
        <w:ind w:firstLine="0" w:firstLineChars="0"/>
        <w:jc w:val="center"/>
        <w:rPr>
          <w:rFonts w:ascii="宋体" w:hAnsi="宋体" w:eastAsia="宋体" w:cs="宋体"/>
          <w:b/>
          <w:bCs/>
          <w:sz w:val="36"/>
          <w:szCs w:val="36"/>
        </w:rPr>
      </w:pPr>
      <w:r>
        <w:rPr>
          <w:rFonts w:hint="eastAsia" w:ascii="宋体" w:hAnsi="宋体" w:eastAsia="宋体" w:cs="宋体"/>
          <w:b/>
          <w:bCs/>
          <w:sz w:val="36"/>
          <w:szCs w:val="36"/>
        </w:rPr>
        <w:t>2022年度法治政府建设工作报告</w:t>
      </w:r>
    </w:p>
    <w:p w14:paraId="44B346BF">
      <w:pPr>
        <w:ind w:firstLine="640"/>
      </w:pPr>
    </w:p>
    <w:p w14:paraId="2CADD458">
      <w:pPr>
        <w:spacing w:line="520" w:lineRule="exact"/>
        <w:ind w:firstLine="640"/>
        <w:rPr>
          <w:rFonts w:ascii="仿宋" w:hAnsi="仿宋" w:cs="仿宋"/>
          <w:color w:val="FF0000"/>
          <w:szCs w:val="32"/>
        </w:rPr>
      </w:pPr>
      <w:r>
        <w:rPr>
          <w:rFonts w:hint="eastAsia" w:ascii="仿宋" w:hAnsi="仿宋" w:cs="仿宋"/>
          <w:szCs w:val="32"/>
        </w:rPr>
        <w:t>2022年，在区委、区政府的正确领导下，在区委全面依法治区委员会的大力指导下，市场监管局坚持以习近平新时代中国特色社会主义思想为指导，紧紧围绕我区法治政府建设的目标任务，坚持依法行政，将法治建设与市场监管工作相结合，有序推动我局法治政府建设工作健康发展。现将我局2022年推进法治政府建设工作情况汇报如下：</w:t>
      </w:r>
    </w:p>
    <w:p w14:paraId="23B80E56">
      <w:pPr>
        <w:spacing w:line="520" w:lineRule="exact"/>
        <w:ind w:firstLine="643"/>
        <w:rPr>
          <w:rFonts w:ascii="仿宋" w:hAnsi="仿宋" w:cs="仿宋"/>
          <w:b/>
          <w:bCs/>
          <w:szCs w:val="32"/>
        </w:rPr>
      </w:pPr>
      <w:r>
        <w:rPr>
          <w:rFonts w:hint="eastAsia" w:ascii="仿宋" w:hAnsi="仿宋" w:cs="仿宋"/>
          <w:b/>
          <w:bCs/>
          <w:szCs w:val="32"/>
        </w:rPr>
        <w:t>一、坚持高站位，加强法治建设组织领导</w:t>
      </w:r>
    </w:p>
    <w:p w14:paraId="670AAEF7">
      <w:pPr>
        <w:spacing w:line="520" w:lineRule="exact"/>
        <w:ind w:firstLine="643"/>
        <w:rPr>
          <w:rFonts w:ascii="仿宋" w:hAnsi="仿宋" w:cs="仿宋"/>
          <w:szCs w:val="32"/>
        </w:rPr>
      </w:pPr>
      <w:r>
        <w:rPr>
          <w:rFonts w:hint="eastAsia" w:ascii="仿宋" w:hAnsi="仿宋" w:cs="仿宋"/>
          <w:b/>
          <w:bCs/>
          <w:szCs w:val="32"/>
        </w:rPr>
        <w:t>一是加强组织领导，完善法治建设机制。</w:t>
      </w:r>
      <w:r>
        <w:rPr>
          <w:rFonts w:hint="eastAsia" w:ascii="仿宋" w:hAnsi="仿宋" w:cs="仿宋"/>
          <w:szCs w:val="32"/>
        </w:rPr>
        <w:t>局主要负责人积极履行推进法治建设第一责任人职责，坚持对全局法治建设重要工作亲自部署、重大问题亲自过问、重点环节亲自协调、重要任务亲自督办，统筹推进法治建设工作各项事务，推动全局切实形成了主要领导负责抓，分管领导具体抓的法治建设工作格局。</w:t>
      </w:r>
    </w:p>
    <w:p w14:paraId="1FE71CA3">
      <w:pPr>
        <w:spacing w:line="520" w:lineRule="exact"/>
        <w:ind w:firstLine="643"/>
        <w:rPr>
          <w:rFonts w:ascii="仿宋" w:hAnsi="仿宋" w:cs="仿宋"/>
          <w:szCs w:val="32"/>
        </w:rPr>
      </w:pPr>
      <w:r>
        <w:rPr>
          <w:rFonts w:hint="eastAsia" w:ascii="仿宋" w:hAnsi="仿宋" w:cs="仿宋"/>
          <w:b/>
          <w:bCs/>
          <w:szCs w:val="32"/>
        </w:rPr>
        <w:t>二是明确目标任务，强化法治责任保障。</w:t>
      </w:r>
      <w:r>
        <w:rPr>
          <w:rFonts w:hint="eastAsia" w:ascii="仿宋" w:hAnsi="仿宋" w:cs="仿宋"/>
          <w:szCs w:val="32"/>
        </w:rPr>
        <w:t>将法治政府建设纳入部门工作规划和年度工作计划，健全完善“八五”普法领导小组，制定年度法治建设及普法宣传计划，按照“谁执法、谁普法”的原则，把普法依法治理工作与业务工作同部署、同落实、同检查、同考评，坚持普治并举的原则，有计划、有步骤、有重点地推进法治政府建设工作。</w:t>
      </w:r>
    </w:p>
    <w:p w14:paraId="00426A11">
      <w:pPr>
        <w:spacing w:line="520" w:lineRule="exact"/>
        <w:ind w:firstLine="643"/>
        <w:rPr>
          <w:rFonts w:ascii="仿宋" w:hAnsi="仿宋" w:cs="仿宋"/>
          <w:color w:val="FF0000"/>
          <w:szCs w:val="32"/>
        </w:rPr>
      </w:pPr>
      <w:r>
        <w:rPr>
          <w:rFonts w:hint="eastAsia" w:ascii="仿宋" w:hAnsi="仿宋" w:cs="仿宋"/>
          <w:b/>
          <w:bCs/>
          <w:szCs w:val="32"/>
        </w:rPr>
        <w:t>三是发挥示范作用，领导干部带头学法。</w:t>
      </w:r>
      <w:r>
        <w:rPr>
          <w:rFonts w:hint="eastAsia" w:ascii="仿宋" w:hAnsi="仿宋" w:cs="仿宋"/>
          <w:szCs w:val="32"/>
        </w:rPr>
        <w:t>局党组理论学习中心组带头学习，认真学习领会习近平总书记关于全面推进依法治国的重要精神和习近平新时代中国特色社会主义思想有关法治建设的战略部署，深入学习贯彻党的二十大精神和《中国共产党纪律处分条例》等党内法规、《宪法》《民法典》等国家基础法律法规以及新《市场主体登记管理条例》、《优化营商环境条例》等与市场监管业务紧密相关的法律法规，为推进法治建设打牢法律理论基础，做克己守法、规范用法的先锋和表率。</w:t>
      </w:r>
    </w:p>
    <w:p w14:paraId="0EEBC148">
      <w:pPr>
        <w:spacing w:line="520" w:lineRule="exact"/>
        <w:ind w:firstLine="643"/>
        <w:rPr>
          <w:rFonts w:ascii="仿宋" w:hAnsi="仿宋" w:cs="仿宋"/>
          <w:b/>
          <w:bCs/>
          <w:szCs w:val="32"/>
        </w:rPr>
      </w:pPr>
      <w:r>
        <w:rPr>
          <w:rFonts w:hint="eastAsia" w:ascii="仿宋" w:hAnsi="仿宋" w:cs="仿宋"/>
          <w:b/>
          <w:bCs/>
          <w:szCs w:val="32"/>
        </w:rPr>
        <w:t>二、坚持高标准，规范决策推进依法行政</w:t>
      </w:r>
    </w:p>
    <w:p w14:paraId="056295FE">
      <w:pPr>
        <w:spacing w:line="520" w:lineRule="exact"/>
        <w:ind w:firstLine="643"/>
        <w:rPr>
          <w:rFonts w:ascii="仿宋" w:hAnsi="仿宋" w:cs="仿宋"/>
          <w:szCs w:val="32"/>
        </w:rPr>
      </w:pPr>
      <w:r>
        <w:rPr>
          <w:rFonts w:hint="eastAsia" w:ascii="仿宋" w:hAnsi="仿宋" w:cs="仿宋"/>
          <w:b/>
          <w:bCs/>
          <w:szCs w:val="32"/>
        </w:rPr>
        <w:t>一是严格依法依规决策，执行重大决策法定程序。</w:t>
      </w:r>
      <w:r>
        <w:rPr>
          <w:rFonts w:hint="eastAsia" w:ascii="仿宋" w:hAnsi="仿宋" w:cs="仿宋"/>
          <w:szCs w:val="32"/>
        </w:rPr>
        <w:t>根据职责法定、职权法定的原则，对于涉及本部门的重大发展规划、重大执法案件、重大建设项目严格做到事前充分征求相关科室和分管领导意见，经党组会议集体讨论，集体决策。项目建设、采购等均按要求按程序进行招投标，坚持杜绝暗箱操作,确保各环节科学、规范。</w:t>
      </w:r>
    </w:p>
    <w:p w14:paraId="3220E0E9">
      <w:pPr>
        <w:spacing w:line="520" w:lineRule="exact"/>
        <w:ind w:firstLine="643"/>
        <w:rPr>
          <w:rFonts w:ascii="仿宋" w:hAnsi="仿宋" w:cs="仿宋"/>
          <w:color w:val="FF0000"/>
          <w:szCs w:val="32"/>
        </w:rPr>
      </w:pPr>
      <w:r>
        <w:rPr>
          <w:rFonts w:hint="eastAsia" w:ascii="仿宋" w:hAnsi="仿宋" w:cs="仿宋"/>
          <w:b/>
          <w:bCs/>
          <w:szCs w:val="32"/>
        </w:rPr>
        <w:t>二是深入推进政务公开，促进权力在阳光下运行。</w:t>
      </w:r>
      <w:r>
        <w:rPr>
          <w:rFonts w:hint="eastAsia" w:ascii="仿宋" w:hAnsi="仿宋" w:cs="仿宋"/>
          <w:szCs w:val="32"/>
        </w:rPr>
        <w:t>认真贯彻实施</w:t>
      </w:r>
      <w:r>
        <w:rPr>
          <w:rFonts w:hint="eastAsia" w:ascii="仿宋" w:hAnsi="仿宋" w:cs="仿宋"/>
          <w:szCs w:val="32"/>
          <w:lang w:eastAsia="zh-CN"/>
        </w:rPr>
        <w:t>《中华人民共和国政府信息公开条例》</w:t>
      </w:r>
      <w:r>
        <w:rPr>
          <w:rFonts w:hint="eastAsia" w:ascii="仿宋" w:hAnsi="仿宋" w:cs="仿宋"/>
          <w:szCs w:val="32"/>
        </w:rPr>
        <w:t>，进一步落实决策公开、执行公开、管理公开、服务公开、结果公开的“五公开”要求，立足于马尾区人民政府网站，对依法应当主动公开的信息，及时、准确、全面地向社会公开，2022年通过区政府网站主动发布行政执法、监督抽检、公共服务等领域信息260条。2022年共收到依申请公开2件，网络申请2件，上述申请已按照规范程序进行受理，并在保证答复质量的前提下做出的全面的答复，未出现因政务公开引起的行政复议或行政诉讼。</w:t>
      </w:r>
    </w:p>
    <w:p w14:paraId="32611A0D">
      <w:pPr>
        <w:spacing w:line="520" w:lineRule="exact"/>
        <w:ind w:firstLine="643"/>
        <w:rPr>
          <w:rFonts w:ascii="仿宋" w:hAnsi="仿宋" w:cs="仿宋"/>
          <w:szCs w:val="32"/>
        </w:rPr>
      </w:pPr>
      <w:r>
        <w:rPr>
          <w:rFonts w:hint="eastAsia" w:ascii="仿宋" w:hAnsi="仿宋" w:cs="仿宋"/>
          <w:b/>
          <w:bCs/>
          <w:szCs w:val="32"/>
        </w:rPr>
        <w:t>三是落实法律顾问制度，全面深入推进依法行政。</w:t>
      </w:r>
      <w:r>
        <w:rPr>
          <w:rFonts w:hint="eastAsia" w:ascii="仿宋" w:hAnsi="仿宋" w:cs="仿宋"/>
          <w:szCs w:val="32"/>
        </w:rPr>
        <w:t>聘请上海锦天城（福州）律师事务所律师团队担任我局法律顾问，为我局重大事项、重大决策、规范性文件制定、行政复议诉讼等提供法律意见和建议，2022年，法律顾问为我局代理诉讼案件4件，指导办理复议案件6件，规范性文件审查2份，合同审查2份，及时帮助我局解决复杂疑难矛盾纠纷,推进各项重大决策部署合法合规。</w:t>
      </w:r>
    </w:p>
    <w:p w14:paraId="523134BF">
      <w:pPr>
        <w:spacing w:line="520" w:lineRule="exact"/>
        <w:ind w:firstLine="643"/>
        <w:rPr>
          <w:rFonts w:ascii="仿宋" w:hAnsi="仿宋" w:cs="仿宋"/>
          <w:b/>
          <w:bCs/>
          <w:szCs w:val="32"/>
        </w:rPr>
      </w:pPr>
      <w:r>
        <w:rPr>
          <w:rFonts w:hint="eastAsia" w:ascii="仿宋" w:hAnsi="仿宋" w:cs="仿宋"/>
          <w:b/>
          <w:bCs/>
          <w:szCs w:val="32"/>
        </w:rPr>
        <w:t>三、坚持高要求，全面依法履行部门职能</w:t>
      </w:r>
    </w:p>
    <w:p w14:paraId="44C15CED">
      <w:pPr>
        <w:spacing w:line="520" w:lineRule="exact"/>
        <w:ind w:firstLine="643"/>
        <w:rPr>
          <w:rFonts w:ascii="仿宋" w:hAnsi="仿宋" w:cs="仿宋"/>
          <w:szCs w:val="32"/>
        </w:rPr>
      </w:pPr>
      <w:r>
        <w:rPr>
          <w:rFonts w:hint="eastAsia" w:ascii="仿宋" w:hAnsi="仿宋" w:cs="仿宋"/>
          <w:b/>
          <w:bCs/>
          <w:szCs w:val="32"/>
        </w:rPr>
        <w:t>一是扎实有效开展疫情防控。强化进口冷链食品监管，</w:t>
      </w:r>
      <w:r>
        <w:rPr>
          <w:rFonts w:hint="eastAsia" w:ascii="仿宋" w:hAnsi="仿宋" w:cs="仿宋"/>
          <w:szCs w:val="32"/>
        </w:rPr>
        <w:t>严格实施“人物环同防”清单化管理，共检查相关市场主体1852家次，抽查进口冷链食品货柜405多个，跟踪进口冷链食品货柜流向150多个，处理涉疫线索6批次；</w:t>
      </w:r>
      <w:r>
        <w:rPr>
          <w:rFonts w:hint="eastAsia" w:ascii="仿宋" w:hAnsi="仿宋" w:cs="仿宋"/>
          <w:b/>
          <w:bCs/>
          <w:szCs w:val="32"/>
        </w:rPr>
        <w:t>抓好沿街商户防控工作，</w:t>
      </w:r>
      <w:r>
        <w:rPr>
          <w:rFonts w:hint="eastAsia" w:ascii="仿宋" w:hAnsi="仿宋" w:cs="仿宋"/>
          <w:bCs/>
          <w:szCs w:val="32"/>
        </w:rPr>
        <w:t>按照网格化管理，定人定岗定责，</w:t>
      </w:r>
      <w:r>
        <w:rPr>
          <w:rFonts w:hint="eastAsia" w:ascii="仿宋" w:hAnsi="仿宋" w:cs="仿宋"/>
          <w:color w:val="000000"/>
          <w:szCs w:val="32"/>
        </w:rPr>
        <w:t>督促</w:t>
      </w:r>
      <w:r>
        <w:rPr>
          <w:rFonts w:hint="eastAsia" w:ascii="仿宋" w:hAnsi="仿宋" w:cs="仿宋"/>
          <w:bCs/>
          <w:szCs w:val="32"/>
        </w:rPr>
        <w:t>90家药店、1000余家餐饮店、10000余家沿街商户落实疫情防控措施，</w:t>
      </w:r>
      <w:r>
        <w:rPr>
          <w:rFonts w:hint="eastAsia" w:ascii="仿宋" w:hAnsi="仿宋" w:cs="仿宋"/>
          <w:color w:val="000000"/>
          <w:szCs w:val="32"/>
        </w:rPr>
        <w:t>现场停业整顿90余家次、责令整改540余家次,</w:t>
      </w:r>
      <w:r>
        <w:rPr>
          <w:rFonts w:hint="eastAsia" w:ascii="仿宋" w:hAnsi="仿宋" w:cs="仿宋"/>
          <w:bCs/>
          <w:szCs w:val="32"/>
        </w:rPr>
        <w:t>立案查处36起餐饮服务从业人员未按规定佩戴口罩行为。</w:t>
      </w:r>
      <w:r>
        <w:rPr>
          <w:rFonts w:hint="eastAsia" w:ascii="仿宋" w:hAnsi="仿宋" w:cs="仿宋"/>
          <w:szCs w:val="32"/>
        </w:rPr>
        <w:t>充分发挥药店“哨点”作用，2022年审核报送“四类药品”登记信息 234506条；</w:t>
      </w:r>
      <w:r>
        <w:rPr>
          <w:rFonts w:hint="eastAsia" w:ascii="仿宋" w:hAnsi="仿宋" w:cs="仿宋"/>
          <w:b/>
          <w:bCs/>
          <w:szCs w:val="32"/>
        </w:rPr>
        <w:t>深入推进“无疫小区”创建工作</w:t>
      </w:r>
      <w:r>
        <w:rPr>
          <w:rFonts w:hint="eastAsia" w:ascii="仿宋" w:hAnsi="仿宋" w:cs="仿宋"/>
          <w:szCs w:val="32"/>
        </w:rPr>
        <w:t>，</w:t>
      </w:r>
      <w:r>
        <w:rPr>
          <w:rFonts w:hint="eastAsia" w:ascii="仿宋" w:hAnsi="仿宋" w:cs="仿宋"/>
          <w:bCs/>
          <w:szCs w:val="32"/>
        </w:rPr>
        <w:t>联合沿山社区组建沿山社区临时党支部，安排3名科级干部每日驻扎沿山社区，全覆盖检查18个小区疫情防控工作落实情况，堵塞漏洞，巩固社区疫情防控的坚强防线，与康坂村结对，指导康坂村完善疫情防控工作机制，支持康坂村做好核酸检测、群众劝导、疫情防控知识宣传等工作，共出动580余人次增援社区开展22次全员核酸和1轮区域核酸，完成18万人次的核酸采样。</w:t>
      </w:r>
    </w:p>
    <w:p w14:paraId="4916CC42">
      <w:pPr>
        <w:spacing w:line="520" w:lineRule="exact"/>
        <w:ind w:firstLine="643"/>
        <w:rPr>
          <w:rFonts w:ascii="仿宋" w:hAnsi="仿宋" w:cs="仿宋"/>
          <w:szCs w:val="32"/>
        </w:rPr>
      </w:pPr>
      <w:r>
        <w:rPr>
          <w:rFonts w:hint="eastAsia" w:ascii="仿宋" w:hAnsi="仿宋" w:cs="仿宋"/>
          <w:b/>
          <w:bCs/>
          <w:szCs w:val="32"/>
        </w:rPr>
        <w:t>二是持续发力优化营商环境。</w:t>
      </w:r>
      <w:r>
        <w:rPr>
          <w:rFonts w:hint="eastAsia" w:ascii="仿宋" w:hAnsi="仿宋" w:cs="仿宋"/>
          <w:b/>
          <w:szCs w:val="32"/>
        </w:rPr>
        <w:t>提增审批效能，</w:t>
      </w:r>
      <w:r>
        <w:rPr>
          <w:rFonts w:hint="eastAsia" w:ascii="仿宋" w:hAnsi="仿宋" w:cs="仿宋"/>
          <w:bCs/>
          <w:szCs w:val="32"/>
        </w:rPr>
        <w:t>全</w:t>
      </w:r>
      <w:r>
        <w:rPr>
          <w:rFonts w:hint="eastAsia" w:ascii="仿宋" w:hAnsi="仿宋" w:cs="仿宋"/>
          <w:szCs w:val="32"/>
        </w:rPr>
        <w:t>面开展公司设立登记“即办制”，推行“一窗受理”、公章刻制免费办，企业开办时限压缩至3个工作小时以内，全区共新登记企业1907户、个体工商户3477户；我局与区法院、区税务局联合开展的“破产企业司法行政协同改革”项目被中国（福建）自由贸易试验区工作领导小组办公室评定为</w:t>
      </w:r>
      <w:r>
        <w:rPr>
          <w:rFonts w:hint="eastAsia" w:ascii="仿宋" w:hAnsi="仿宋" w:cs="仿宋"/>
          <w:b/>
          <w:bCs/>
          <w:szCs w:val="32"/>
        </w:rPr>
        <w:t>全国首创</w:t>
      </w:r>
      <w:r>
        <w:rPr>
          <w:rFonts w:hint="eastAsia" w:ascii="仿宋" w:hAnsi="仿宋" w:cs="仿宋"/>
          <w:szCs w:val="32"/>
        </w:rPr>
        <w:t>，2022年共有4户企业享受了改革红利；</w:t>
      </w:r>
      <w:r>
        <w:rPr>
          <w:rFonts w:hint="eastAsia" w:ascii="仿宋" w:hAnsi="仿宋" w:cs="仿宋"/>
          <w:b/>
          <w:bCs/>
          <w:szCs w:val="32"/>
        </w:rPr>
        <w:t>健全公平竞争审查抽查、重大政策措施会审、举报和回应机制</w:t>
      </w:r>
      <w:r>
        <w:rPr>
          <w:rFonts w:hint="eastAsia" w:ascii="仿宋" w:hAnsi="仿宋" w:cs="仿宋"/>
          <w:szCs w:val="32"/>
        </w:rPr>
        <w:t>，指导各部门进一步健全和完善审查机制与审查流程，把公平竞争审查工作贯穿到政策措施起草、出台的全过程，暂未发现违反公平竞争原则有关文件出台。</w:t>
      </w:r>
    </w:p>
    <w:p w14:paraId="0AA6E9DB">
      <w:pPr>
        <w:spacing w:line="520" w:lineRule="exact"/>
        <w:ind w:firstLine="643"/>
        <w:rPr>
          <w:rFonts w:ascii="仿宋" w:hAnsi="仿宋" w:cs="仿宋"/>
          <w:b/>
          <w:bCs/>
          <w:szCs w:val="32"/>
        </w:rPr>
      </w:pPr>
      <w:r>
        <w:rPr>
          <w:rFonts w:hint="eastAsia" w:ascii="仿宋" w:hAnsi="仿宋" w:cs="仿宋"/>
          <w:b/>
          <w:bCs/>
          <w:szCs w:val="32"/>
        </w:rPr>
        <w:t>三是有序推进无形资产战略。质量提升行动全面推进，</w:t>
      </w:r>
      <w:r>
        <w:rPr>
          <w:rFonts w:hint="eastAsia" w:ascii="仿宋" w:hAnsi="仿宋" w:cs="仿宋"/>
          <w:szCs w:val="32"/>
        </w:rPr>
        <w:t>积极争取市、区两级的政策支持，组织开展福州经济技术开发区2022年小微企业质量管理体系认证提升行动，通过“政府买单-专家问诊”的方式为辖区45家小微企业提供质量提升服务；</w:t>
      </w:r>
      <w:r>
        <w:rPr>
          <w:rFonts w:hint="eastAsia" w:ascii="仿宋" w:hAnsi="仿宋" w:cs="仿宋"/>
          <w:b/>
          <w:bCs/>
          <w:szCs w:val="32"/>
        </w:rPr>
        <w:t>专标融合工作成效凸显，</w:t>
      </w:r>
      <w:r>
        <w:rPr>
          <w:rFonts w:hint="eastAsia" w:ascii="仿宋" w:hAnsi="仿宋" w:cs="仿宋"/>
          <w:szCs w:val="32"/>
        </w:rPr>
        <w:t>协同福建省标院信息技术有限公司初步编制了福州市地方标准《专利与标准融合 政府工作指南（草案）》及《专利与标准融合 企业工作指南（初稿）》，指导7家企业申报专标融合试点建设，共有130项专利融入24项标准中，相关工作经验做法在全市市场监管工作推进会上进行了分享；</w:t>
      </w:r>
      <w:r>
        <w:rPr>
          <w:rFonts w:hint="eastAsia" w:ascii="仿宋" w:hAnsi="仿宋" w:cs="仿宋"/>
          <w:b/>
          <w:bCs/>
          <w:szCs w:val="32"/>
        </w:rPr>
        <w:t>知识产权服务提质增效，</w:t>
      </w:r>
      <w:r>
        <w:rPr>
          <w:rFonts w:hint="eastAsia" w:ascii="仿宋" w:hAnsi="仿宋" w:cs="仿宋"/>
          <w:szCs w:val="32"/>
        </w:rPr>
        <w:t>出台《福州经济技术开发区知识产权及标准化补助经费管理办法》，指导企业</w:t>
      </w:r>
      <w:r>
        <w:rPr>
          <w:rFonts w:hint="eastAsia" w:ascii="仿宋" w:hAnsi="仿宋" w:cs="仿宋"/>
          <w:color w:val="000000"/>
          <w:szCs w:val="32"/>
        </w:rPr>
        <w:t>参与制修订标准7项</w:t>
      </w:r>
      <w:r>
        <w:rPr>
          <w:rFonts w:hint="eastAsia" w:ascii="仿宋" w:hAnsi="仿宋" w:cs="仿宋"/>
          <w:szCs w:val="32"/>
        </w:rPr>
        <w:t>，组织3家企业申报“第九届福建省标准贡献奖备选项目”</w:t>
      </w:r>
      <w:r>
        <w:rPr>
          <w:rFonts w:hint="eastAsia" w:ascii="仿宋" w:hAnsi="仿宋" w:cs="仿宋"/>
          <w:color w:val="000000"/>
          <w:szCs w:val="32"/>
        </w:rPr>
        <w:t>，</w:t>
      </w:r>
      <w:r>
        <w:rPr>
          <w:rFonts w:hint="eastAsia" w:ascii="仿宋" w:hAnsi="仿宋" w:cs="仿宋"/>
          <w:szCs w:val="32"/>
        </w:rPr>
        <w:t>获批筹建</w:t>
      </w:r>
      <w:r>
        <w:rPr>
          <w:rFonts w:hint="eastAsia" w:ascii="仿宋" w:hAnsi="仿宋" w:cs="仿宋"/>
          <w:b/>
          <w:bCs/>
          <w:szCs w:val="32"/>
        </w:rPr>
        <w:t>全省唯一</w:t>
      </w:r>
      <w:r>
        <w:rPr>
          <w:rFonts w:hint="eastAsia" w:ascii="仿宋" w:hAnsi="仿宋" w:cs="仿宋"/>
          <w:szCs w:val="32"/>
        </w:rPr>
        <w:t>的区级子平台“知创马尾（福州经开区）”区域知识产权公共服务平台，</w:t>
      </w:r>
      <w:r>
        <w:rPr>
          <w:rFonts w:hint="eastAsia" w:ascii="仿宋" w:hAnsi="仿宋" w:cs="仿宋"/>
          <w:color w:val="000000"/>
          <w:szCs w:val="32"/>
        </w:rPr>
        <w:t>指导3家企业获评</w:t>
      </w:r>
      <w:r>
        <w:rPr>
          <w:rFonts w:hint="eastAsia" w:ascii="仿宋" w:hAnsi="仿宋" w:cs="仿宋"/>
          <w:szCs w:val="32"/>
        </w:rPr>
        <w:t>福建省知识产权优势示范企业，2家企业通过贯标认证，</w:t>
      </w:r>
      <w:r>
        <w:rPr>
          <w:rFonts w:hint="eastAsia" w:ascii="仿宋" w:hAnsi="仿宋" w:cs="仿宋"/>
          <w:color w:val="000000"/>
          <w:szCs w:val="32"/>
        </w:rPr>
        <w:t>组织</w:t>
      </w:r>
      <w:r>
        <w:rPr>
          <w:rFonts w:hint="eastAsia" w:ascii="仿宋" w:hAnsi="仿宋" w:cs="仿宋"/>
          <w:szCs w:val="32"/>
        </w:rPr>
        <w:t>8家企业申报国家知识产权优势（示范）企业。</w:t>
      </w:r>
    </w:p>
    <w:p w14:paraId="40661CEC">
      <w:pPr>
        <w:spacing w:line="520" w:lineRule="exact"/>
        <w:ind w:firstLine="643"/>
        <w:rPr>
          <w:rFonts w:ascii="仿宋" w:hAnsi="仿宋" w:cs="仿宋"/>
          <w:szCs w:val="32"/>
        </w:rPr>
      </w:pPr>
      <w:r>
        <w:rPr>
          <w:rFonts w:hint="eastAsia" w:ascii="仿宋" w:hAnsi="仿宋" w:cs="仿宋"/>
          <w:b/>
          <w:bCs/>
          <w:szCs w:val="32"/>
        </w:rPr>
        <w:t>四是强化监管守牢安全底线。</w:t>
      </w:r>
      <w:r>
        <w:rPr>
          <w:rFonts w:hint="eastAsia" w:ascii="仿宋" w:hAnsi="仿宋" w:cs="仿宋"/>
          <w:szCs w:val="32"/>
        </w:rPr>
        <w:t>充分认识安全工作的极端重要性和现实紧迫性，多次召开局长办公会安排部署安全生产相关工作；以“四个最严”标准推进食品药品安全监管，将监管贯彻食品生产、流通、餐饮等全过程；强化风险监测，完成食品抽检1084批次、合格率98.2%，快检1800余批次、合格率99.9%，抽检药品40批次、化妆品8批次，合格率100%；持续开展“铁拳”行动，严厉打击食品药品安全、网络交易、广告、价格、知识产权等重点领域违法违规行为，查处各类案件96起、罚没款117.78万元。</w:t>
      </w:r>
    </w:p>
    <w:p w14:paraId="28706393">
      <w:pPr>
        <w:spacing w:line="520" w:lineRule="exact"/>
        <w:ind w:firstLine="643"/>
        <w:rPr>
          <w:rFonts w:ascii="仿宋" w:hAnsi="仿宋" w:cs="仿宋"/>
          <w:b/>
          <w:bCs/>
          <w:szCs w:val="32"/>
        </w:rPr>
      </w:pPr>
      <w:r>
        <w:rPr>
          <w:rFonts w:hint="eastAsia" w:ascii="仿宋" w:hAnsi="仿宋" w:cs="仿宋"/>
          <w:b/>
          <w:bCs/>
          <w:szCs w:val="32"/>
        </w:rPr>
        <w:t>四、坚持高质量，严格规范行政执法行为</w:t>
      </w:r>
    </w:p>
    <w:p w14:paraId="7AA8D012">
      <w:pPr>
        <w:spacing w:line="520" w:lineRule="exact"/>
        <w:ind w:firstLine="643"/>
        <w:rPr>
          <w:rFonts w:ascii="仿宋" w:hAnsi="仿宋" w:cs="仿宋"/>
          <w:b/>
          <w:bCs/>
          <w:szCs w:val="32"/>
        </w:rPr>
      </w:pPr>
      <w:r>
        <w:rPr>
          <w:rFonts w:hint="eastAsia" w:ascii="仿宋" w:hAnsi="仿宋" w:cs="仿宋"/>
          <w:b/>
          <w:bCs/>
          <w:szCs w:val="32"/>
        </w:rPr>
        <w:t>一是加强法治队伍建设。</w:t>
      </w:r>
      <w:r>
        <w:rPr>
          <w:rFonts w:hint="eastAsia" w:ascii="仿宋" w:hAnsi="仿宋" w:cs="仿宋"/>
          <w:kern w:val="0"/>
          <w:szCs w:val="32"/>
        </w:rPr>
        <w:t>重点开展《民法典》主题宣传教育活动和《市场主体登记管理条例》普法宣传培训，</w:t>
      </w:r>
      <w:r>
        <w:rPr>
          <w:rFonts w:hint="eastAsia" w:ascii="仿宋" w:hAnsi="仿宋" w:cs="仿宋"/>
          <w:szCs w:val="32"/>
        </w:rPr>
        <w:t>组织党组理论学习中心组和全局干部职工开展专</w:t>
      </w:r>
      <w:r>
        <w:rPr>
          <w:rFonts w:hint="eastAsia" w:ascii="仿宋" w:hAnsi="仿宋" w:cs="仿宋"/>
          <w:kern w:val="0"/>
          <w:szCs w:val="32"/>
        </w:rPr>
        <w:t>题培训讲座</w:t>
      </w:r>
      <w:r>
        <w:rPr>
          <w:rFonts w:hint="eastAsia" w:ascii="仿宋" w:hAnsi="仿宋" w:cs="仿宋"/>
          <w:szCs w:val="32"/>
        </w:rPr>
        <w:t>，提高干部学法热情，努力营造良好的法治环境。</w:t>
      </w:r>
      <w:r>
        <w:rPr>
          <w:rFonts w:hint="eastAsia" w:ascii="仿宋" w:hAnsi="仿宋" w:cs="仿宋"/>
          <w:kern w:val="0"/>
          <w:szCs w:val="32"/>
        </w:rPr>
        <w:t>定期组织开展行政执法交流会，通过案例分析等形式，就一类执法难点深入探讨，提出具体解决思路，实施精准普法，有效地提升执法人员依法行政水平。</w:t>
      </w:r>
    </w:p>
    <w:p w14:paraId="3943424B">
      <w:pPr>
        <w:spacing w:line="520" w:lineRule="exact"/>
        <w:ind w:firstLine="643"/>
        <w:rPr>
          <w:rFonts w:ascii="仿宋" w:hAnsi="仿宋" w:cs="仿宋"/>
          <w:color w:val="FF0000"/>
          <w:szCs w:val="32"/>
        </w:rPr>
      </w:pPr>
      <w:r>
        <w:rPr>
          <w:rFonts w:hint="eastAsia" w:ascii="仿宋" w:hAnsi="仿宋" w:cs="仿宋"/>
          <w:b/>
          <w:bCs/>
          <w:szCs w:val="32"/>
          <w:shd w:val="clear" w:color="auto" w:fill="FFFFFF"/>
        </w:rPr>
        <w:t>二是全面推行行政执法</w:t>
      </w:r>
      <w:r>
        <w:rPr>
          <w:rFonts w:hint="eastAsia" w:ascii="仿宋" w:hAnsi="仿宋" w:cs="仿宋"/>
          <w:b/>
          <w:bCs/>
          <w:szCs w:val="32"/>
          <w:shd w:val="clear" w:color="auto" w:fill="FFFFFF"/>
          <w:lang w:eastAsia="zh-CN"/>
        </w:rPr>
        <w:t>“三项制度”</w:t>
      </w:r>
      <w:r>
        <w:rPr>
          <w:rFonts w:hint="eastAsia" w:ascii="仿宋" w:hAnsi="仿宋" w:cs="仿宋"/>
          <w:b/>
          <w:bCs/>
          <w:szCs w:val="32"/>
          <w:shd w:val="clear" w:color="auto" w:fill="FFFFFF"/>
        </w:rPr>
        <w:t>。</w:t>
      </w:r>
      <w:r>
        <w:rPr>
          <w:rFonts w:hint="eastAsia" w:ascii="仿宋" w:hAnsi="仿宋" w:cs="仿宋"/>
          <w:kern w:val="0"/>
          <w:szCs w:val="32"/>
        </w:rPr>
        <w:t>落实行政执法公示制度、执法全过程记录制度、重大执法决定法制审核制度，不断增强执法人员的岗位责任意识。2022年以来，归集企业行政许可、行政处罚、联合惩戒等信息7万余条，组织行政执法</w:t>
      </w:r>
      <w:bookmarkStart w:id="0" w:name="_GoBack"/>
      <w:bookmarkEnd w:id="0"/>
      <w:r>
        <w:rPr>
          <w:rFonts w:hint="eastAsia" w:ascii="仿宋" w:hAnsi="仿宋" w:cs="仿宋"/>
          <w:kern w:val="0"/>
          <w:szCs w:val="32"/>
        </w:rPr>
        <w:t>公示制度和执法全过程记录专项检查，对检查发现的未及时记录和公开的情况进行通报，督促整改，推进行政执法责任制落实。行政执法人员尽职履责，在法定权限范围内依照法定程序行使职权，没有人员因玩忽职守、超越职权、滥用职权等情形被追究行政执法责任。</w:t>
      </w:r>
    </w:p>
    <w:p w14:paraId="6453058B">
      <w:pPr>
        <w:pStyle w:val="3"/>
        <w:spacing w:line="520" w:lineRule="exact"/>
        <w:ind w:firstLine="643"/>
        <w:rPr>
          <w:rFonts w:ascii="仿宋" w:hAnsi="仿宋" w:cs="仿宋"/>
          <w:sz w:val="32"/>
          <w:szCs w:val="32"/>
        </w:rPr>
      </w:pPr>
      <w:r>
        <w:rPr>
          <w:rFonts w:hint="eastAsia" w:ascii="仿宋" w:hAnsi="仿宋" w:cs="仿宋"/>
          <w:b/>
          <w:bCs/>
          <w:sz w:val="32"/>
          <w:szCs w:val="32"/>
        </w:rPr>
        <w:t>三是加强行政执法监督。</w:t>
      </w:r>
      <w:r>
        <w:rPr>
          <w:rFonts w:hint="eastAsia" w:ascii="仿宋" w:hAnsi="仿宋" w:cs="仿宋"/>
          <w:sz w:val="32"/>
          <w:szCs w:val="32"/>
        </w:rPr>
        <w:t>对行政处罚案件的违法事实、证据、执法程序、法律适用、处罚种类和幅度的自由裁量权适用等内容进行核审，保证行政处罚公平、公正，有效防止滥用职权、超越职权、违反法定程序的情况发生；严格执行重大案件法制审核和部门负责人集体讨论制度，组织开展行政执法案卷评查，对检查结果予以通报，组织整改，促进执法办案水平提高；认真履行主体责任，接受巡察组的评查，对发现问题及时督查整改；</w:t>
      </w:r>
      <w:r>
        <w:rPr>
          <w:rFonts w:hint="eastAsia" w:ascii="仿宋" w:hAnsi="仿宋" w:cs="仿宋"/>
          <w:sz w:val="32"/>
          <w:szCs w:val="32"/>
          <w:shd w:val="clear" w:color="auto" w:fill="FFFFFF"/>
        </w:rPr>
        <w:t>我局作出的具体行政行为都有明确的依据、程序，未出现被上级机关或人民法院变更或撤销的情况。</w:t>
      </w:r>
    </w:p>
    <w:p w14:paraId="60089E94">
      <w:pPr>
        <w:spacing w:line="520" w:lineRule="exact"/>
        <w:ind w:firstLine="643"/>
        <w:rPr>
          <w:rFonts w:ascii="仿宋" w:hAnsi="仿宋" w:cs="仿宋"/>
          <w:b/>
          <w:bCs/>
          <w:szCs w:val="32"/>
        </w:rPr>
      </w:pPr>
      <w:r>
        <w:rPr>
          <w:rFonts w:hint="eastAsia" w:ascii="仿宋" w:hAnsi="仿宋" w:cs="仿宋"/>
          <w:b/>
          <w:bCs/>
          <w:szCs w:val="32"/>
        </w:rPr>
        <w:t>五、坚持高水平，推动普法工作走向深入</w:t>
      </w:r>
    </w:p>
    <w:p w14:paraId="45B881FC">
      <w:pPr>
        <w:spacing w:line="520" w:lineRule="exact"/>
        <w:ind w:firstLine="643"/>
        <w:rPr>
          <w:rFonts w:ascii="仿宋" w:hAnsi="仿宋" w:cs="仿宋"/>
          <w:szCs w:val="32"/>
        </w:rPr>
      </w:pPr>
      <w:r>
        <w:rPr>
          <w:rFonts w:hint="eastAsia" w:ascii="仿宋" w:hAnsi="仿宋" w:cs="仿宋"/>
          <w:b/>
          <w:bCs/>
          <w:szCs w:val="32"/>
        </w:rPr>
        <w:t>一是持续深化“谁执法谁普法”责任制。</w:t>
      </w:r>
      <w:r>
        <w:rPr>
          <w:rFonts w:hint="eastAsia" w:ascii="仿宋" w:hAnsi="仿宋" w:cs="仿宋"/>
          <w:szCs w:val="32"/>
        </w:rPr>
        <w:t>牵头印发我局《法治宣传教育第八个五年规划》和2022年“谁执法谁普法”责任清单，增强全区市场监管法治宣传教育的针对性和实效性，形成党组领导，法制机构组织协调、各业务机构分工负责的普法工作格局。</w:t>
      </w:r>
    </w:p>
    <w:p w14:paraId="525F81CE">
      <w:pPr>
        <w:spacing w:line="520" w:lineRule="exact"/>
        <w:ind w:firstLine="643"/>
        <w:rPr>
          <w:rFonts w:ascii="仿宋" w:hAnsi="仿宋" w:cs="仿宋"/>
          <w:kern w:val="0"/>
          <w:szCs w:val="32"/>
        </w:rPr>
      </w:pPr>
      <w:r>
        <w:rPr>
          <w:rFonts w:hint="eastAsia" w:ascii="仿宋" w:hAnsi="仿宋" w:cs="仿宋"/>
          <w:b/>
          <w:bCs/>
          <w:szCs w:val="32"/>
        </w:rPr>
        <w:t>二是创新形式，突出重点开展普法。</w:t>
      </w:r>
      <w:r>
        <w:rPr>
          <w:rFonts w:hint="eastAsia" w:ascii="仿宋" w:hAnsi="仿宋" w:cs="仿宋"/>
          <w:kern w:val="0"/>
          <w:szCs w:val="32"/>
        </w:rPr>
        <w:t>坚持日常宣传与主题宣传相结合，充分利用国际消费者权益日、世界知识产权日等重要时间节点,突出重点开展集中宣传活动。推广“以案释法”，通过典型案例发布、行政处罚决定公示、社会热点案件法治解读、微普法等形式，在进行日常监管和执法活动的同时，向企业和群众宣传国家法律法规和大政方针，推动行政执法与法治宣传有机结合。</w:t>
      </w:r>
    </w:p>
    <w:p w14:paraId="35038CD6">
      <w:pPr>
        <w:spacing w:line="520" w:lineRule="exact"/>
        <w:ind w:firstLine="640"/>
        <w:rPr>
          <w:rFonts w:ascii="仿宋" w:hAnsi="仿宋" w:cs="仿宋"/>
          <w:szCs w:val="32"/>
        </w:rPr>
      </w:pPr>
      <w:r>
        <w:rPr>
          <w:rFonts w:hint="eastAsia" w:ascii="仿宋" w:hAnsi="仿宋" w:cs="仿宋"/>
          <w:szCs w:val="32"/>
        </w:rPr>
        <w:t>回顾2022年，我局在推进法治政府建设方面取得了一定的成绩，但也存在一些不足和差距，主要表现在：理论学习不够深入，不够系统，重业务、轻学习的思想依然存在，全系统行政执法队伍的业务水平仍需提高，行政执法监督力度有待于加强等。在下一步的工作中，我局将继续以习近平新时代中国特色社会主义思想为指导，以习近平法治思想为引领，不断推进全局法治建设工作行稳致远。</w:t>
      </w:r>
    </w:p>
    <w:p w14:paraId="643EAEC7">
      <w:pPr>
        <w:spacing w:line="520" w:lineRule="exact"/>
        <w:ind w:firstLine="643"/>
        <w:rPr>
          <w:rFonts w:ascii="仿宋" w:hAnsi="仿宋" w:cs="仿宋"/>
          <w:szCs w:val="32"/>
        </w:rPr>
      </w:pPr>
      <w:r>
        <w:rPr>
          <w:rFonts w:hint="eastAsia" w:ascii="仿宋" w:hAnsi="仿宋" w:cs="仿宋"/>
          <w:b/>
          <w:bCs/>
          <w:szCs w:val="32"/>
        </w:rPr>
        <w:t>一是加强理论学习，不断增强法治意识。</w:t>
      </w:r>
      <w:r>
        <w:rPr>
          <w:rFonts w:hint="eastAsia" w:ascii="仿宋" w:hAnsi="仿宋" w:cs="仿宋"/>
          <w:szCs w:val="32"/>
        </w:rPr>
        <w:t>深入学习贯彻习近平新时代中国特色社会主义思想和党的二十大精神，全面落实中央全面依法治国要求，牢固树立社会主义法治理念，自觉尊法学法守法用法，将习近平法治思想贯穿到市场监管各方面和全过程，增强运用法治思维和法治方法解决问题的水平。</w:t>
      </w:r>
    </w:p>
    <w:p w14:paraId="53C3FB9B">
      <w:pPr>
        <w:spacing w:line="520" w:lineRule="exact"/>
        <w:ind w:firstLine="643"/>
        <w:rPr>
          <w:rFonts w:ascii="仿宋" w:hAnsi="仿宋" w:cs="仿宋"/>
          <w:szCs w:val="32"/>
        </w:rPr>
      </w:pPr>
      <w:r>
        <w:rPr>
          <w:rFonts w:hint="eastAsia" w:ascii="仿宋" w:hAnsi="仿宋" w:cs="仿宋"/>
          <w:b/>
          <w:bCs/>
          <w:szCs w:val="32"/>
        </w:rPr>
        <w:t>二是强化队伍建设，不断提升执法水平。</w:t>
      </w:r>
      <w:r>
        <w:rPr>
          <w:rFonts w:hint="eastAsia" w:ascii="仿宋" w:hAnsi="仿宋" w:cs="仿宋"/>
          <w:szCs w:val="32"/>
        </w:rPr>
        <w:t>将执法人员培训工作纳入年度工作计划，切实组织开展培训工作，每年至少组织两次法律法规测试，以考促学，进一步增强执法人员法律意识，提高审核人员的业务能力，全面提高行政执法水平。</w:t>
      </w:r>
    </w:p>
    <w:p w14:paraId="2098580E">
      <w:pPr>
        <w:spacing w:line="520" w:lineRule="exact"/>
        <w:ind w:firstLine="643"/>
        <w:rPr>
          <w:rFonts w:ascii="仿宋" w:hAnsi="仿宋" w:cs="仿宋"/>
          <w:szCs w:val="32"/>
        </w:rPr>
      </w:pPr>
      <w:r>
        <w:rPr>
          <w:rFonts w:hint="eastAsia" w:ascii="仿宋" w:hAnsi="仿宋" w:cs="仿宋"/>
          <w:b/>
          <w:bCs/>
          <w:szCs w:val="32"/>
        </w:rPr>
        <w:t>三是强化执法监督，不断推进依法行政。</w:t>
      </w:r>
      <w:r>
        <w:rPr>
          <w:rFonts w:hint="eastAsia" w:ascii="仿宋" w:hAnsi="仿宋" w:cs="仿宋"/>
          <w:szCs w:val="32"/>
        </w:rPr>
        <w:t>推进落实行政执法责任制，每年组织两次案卷评查、不定期组织开展行政执法交流探讨会，对办案中存在的问题及时进行通报，提高办案质量，促进规范执法。</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8705">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80B8">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AD80B8">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OGM4ZDA5MTBkZmFjYzE3YjRmN2RiZDM3NDBlNzUifQ=="/>
  </w:docVars>
  <w:rsids>
    <w:rsidRoot w:val="5DB31096"/>
    <w:rsid w:val="001545E8"/>
    <w:rsid w:val="00223FED"/>
    <w:rsid w:val="00235CBE"/>
    <w:rsid w:val="005E2A28"/>
    <w:rsid w:val="00B410B4"/>
    <w:rsid w:val="00BB722D"/>
    <w:rsid w:val="00BE0968"/>
    <w:rsid w:val="00FB0B39"/>
    <w:rsid w:val="02104A5E"/>
    <w:rsid w:val="036923E1"/>
    <w:rsid w:val="04DC643E"/>
    <w:rsid w:val="065E0D33"/>
    <w:rsid w:val="068C2630"/>
    <w:rsid w:val="071C4570"/>
    <w:rsid w:val="0A5D3B7D"/>
    <w:rsid w:val="0AD448D2"/>
    <w:rsid w:val="0BD339BA"/>
    <w:rsid w:val="0BE67BA2"/>
    <w:rsid w:val="0C9738D4"/>
    <w:rsid w:val="0CF32576"/>
    <w:rsid w:val="0D270472"/>
    <w:rsid w:val="0D961154"/>
    <w:rsid w:val="11C12C43"/>
    <w:rsid w:val="12D557B2"/>
    <w:rsid w:val="13826402"/>
    <w:rsid w:val="13AE5CE2"/>
    <w:rsid w:val="14A30D26"/>
    <w:rsid w:val="178766DD"/>
    <w:rsid w:val="19CE5130"/>
    <w:rsid w:val="19D159ED"/>
    <w:rsid w:val="1B185113"/>
    <w:rsid w:val="1B8A404B"/>
    <w:rsid w:val="1CA94A00"/>
    <w:rsid w:val="1CAC44F0"/>
    <w:rsid w:val="1CC47DC7"/>
    <w:rsid w:val="1E8776BB"/>
    <w:rsid w:val="1F2E499F"/>
    <w:rsid w:val="1F3D58D3"/>
    <w:rsid w:val="207E61A3"/>
    <w:rsid w:val="21915465"/>
    <w:rsid w:val="292F1638"/>
    <w:rsid w:val="2B8079EB"/>
    <w:rsid w:val="2BAF7DB2"/>
    <w:rsid w:val="2E783F54"/>
    <w:rsid w:val="30E42C96"/>
    <w:rsid w:val="33F35F58"/>
    <w:rsid w:val="34607876"/>
    <w:rsid w:val="34632A84"/>
    <w:rsid w:val="34D2496B"/>
    <w:rsid w:val="384B7C9B"/>
    <w:rsid w:val="38BC5A67"/>
    <w:rsid w:val="3DCE3E6E"/>
    <w:rsid w:val="3DEF4A06"/>
    <w:rsid w:val="40580367"/>
    <w:rsid w:val="409F36B1"/>
    <w:rsid w:val="47B84E9F"/>
    <w:rsid w:val="47C077E5"/>
    <w:rsid w:val="48346907"/>
    <w:rsid w:val="4A4A0D21"/>
    <w:rsid w:val="4B5F07FC"/>
    <w:rsid w:val="4D73058E"/>
    <w:rsid w:val="4DAB5F7A"/>
    <w:rsid w:val="51A90A23"/>
    <w:rsid w:val="5285323E"/>
    <w:rsid w:val="56301712"/>
    <w:rsid w:val="57555F41"/>
    <w:rsid w:val="57DD1426"/>
    <w:rsid w:val="5895123C"/>
    <w:rsid w:val="59004CF0"/>
    <w:rsid w:val="5DB31096"/>
    <w:rsid w:val="5FA66C4C"/>
    <w:rsid w:val="608F34D9"/>
    <w:rsid w:val="60E946B4"/>
    <w:rsid w:val="68747003"/>
    <w:rsid w:val="68D370A0"/>
    <w:rsid w:val="693A3D77"/>
    <w:rsid w:val="69967687"/>
    <w:rsid w:val="6B0031CF"/>
    <w:rsid w:val="6C797045"/>
    <w:rsid w:val="6D317DF2"/>
    <w:rsid w:val="6D4E6835"/>
    <w:rsid w:val="6FAE340B"/>
    <w:rsid w:val="700E7AE2"/>
    <w:rsid w:val="702C48A1"/>
    <w:rsid w:val="705A3E96"/>
    <w:rsid w:val="721E1E6F"/>
    <w:rsid w:val="739E5AB6"/>
    <w:rsid w:val="746713AA"/>
    <w:rsid w:val="75CB73D9"/>
    <w:rsid w:val="77E31CE9"/>
    <w:rsid w:val="780C46DD"/>
    <w:rsid w:val="781C51FB"/>
    <w:rsid w:val="78485FF0"/>
    <w:rsid w:val="78B33DB1"/>
    <w:rsid w:val="799B7652"/>
    <w:rsid w:val="7A922E92"/>
    <w:rsid w:val="7C5A0B34"/>
    <w:rsid w:val="7D087164"/>
    <w:rsid w:val="7DFA17E2"/>
    <w:rsid w:val="7E736EC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420"/>
    </w:pPr>
  </w:style>
  <w:style w:type="paragraph" w:styleId="3">
    <w:name w:val="Balloon Text"/>
    <w:basedOn w:val="1"/>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character" w:styleId="8">
    <w:name w:val="Strong"/>
    <w:basedOn w:val="7"/>
    <w:qFormat/>
    <w:uiPriority w:val="22"/>
    <w:rPr>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4019</Words>
  <Characters>4120</Characters>
  <Lines>29</Lines>
  <Paragraphs>8</Paragraphs>
  <TotalTime>6</TotalTime>
  <ScaleCrop>false</ScaleCrop>
  <LinksUpToDate>false</LinksUpToDate>
  <CharactersWithSpaces>4123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2023-02-19T10:38:00Z</dcterms:created>
  <dc:creator>花想容</dc:creator>
  <cp:lastModifiedBy>小小饶</cp:lastModifiedBy>
  <cp:lastPrinted>2023-02-20T02:51:00Z</cp:lastPrinted>
  <dcterms:modified xsi:type="dcterms:W3CDTF">2025-10-11T01:56:59Z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D9BD7A49681941CDABD2E17A04EB177E</vt:lpwstr>
  </property>
  <property fmtid="{D5CDD505-2E9C-101B-9397-08002B2CF9AE}" pid="4" name="KSOTemplateDocerSaveRecord">
    <vt:lpwstr>eyJoZGlkIjoiMzAxOGJkNTM0MGNhNmQ3OGEyN2JmYzk2MTZhNmQ3NTMiLCJ1c2VySWQiOiI0MzQ2Nzg5NDIifQ==</vt:lpwstr>
  </property>
</Properties>
</file>