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color w:val="222222"/>
          <w:spacing w:val="8"/>
          <w:sz w:val="33"/>
          <w:szCs w:val="33"/>
        </w:rPr>
      </w:pPr>
      <w:bookmarkStart w:id="0" w:name="_GoBack"/>
      <w:bookmarkEnd w:id="0"/>
      <w:r>
        <w:rPr>
          <w:rFonts w:hint="eastAsia" w:ascii="Microsoft YaHei UI" w:hAnsi="Microsoft YaHei UI" w:eastAsia="Microsoft YaHei UI" w:cs="Microsoft YaHei UI"/>
          <w:b/>
          <w:bCs/>
          <w:i w:val="0"/>
          <w:iCs w:val="0"/>
          <w:caps w:val="0"/>
          <w:color w:val="222222"/>
          <w:spacing w:val="8"/>
          <w:sz w:val="33"/>
          <w:szCs w:val="33"/>
          <w:shd w:val="clear" w:fill="FFFFFF"/>
        </w:rPr>
        <w:t>“营商环境，优无止境”系列图文：（三）成本篇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864225" cy="5575935"/>
            <wp:effectExtent l="0" t="0" r="3175" b="5715"/>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4"/>
                    <a:stretch>
                      <a:fillRect/>
                    </a:stretch>
                  </pic:blipFill>
                  <pic:spPr>
                    <a:xfrm>
                      <a:off x="0" y="0"/>
                      <a:ext cx="5864225" cy="557593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325745" cy="7399020"/>
            <wp:effectExtent l="0" t="0" r="8255" b="11430"/>
            <wp:docPr id="18" name="图片 1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7"/>
                    <pic:cNvPicPr>
                      <a:picLocks noChangeAspect="1"/>
                    </pic:cNvPicPr>
                  </pic:nvPicPr>
                  <pic:blipFill>
                    <a:blip r:embed="rId5"/>
                    <a:stretch>
                      <a:fillRect/>
                    </a:stretch>
                  </pic:blipFill>
                  <pic:spPr>
                    <a:xfrm>
                      <a:off x="0" y="0"/>
                      <a:ext cx="5325745" cy="739902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249545" cy="3562985"/>
            <wp:effectExtent l="0" t="0" r="8255" b="18415"/>
            <wp:docPr id="19" name="图片 1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8"/>
                    <pic:cNvPicPr>
                      <a:picLocks noChangeAspect="1"/>
                    </pic:cNvPicPr>
                  </pic:nvPicPr>
                  <pic:blipFill>
                    <a:blip r:embed="rId6"/>
                    <a:stretch>
                      <a:fillRect/>
                    </a:stretch>
                  </pic:blipFill>
                  <pic:spPr>
                    <a:xfrm>
                      <a:off x="0" y="0"/>
                      <a:ext cx="5249545" cy="35629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468620" cy="7150735"/>
            <wp:effectExtent l="0" t="0" r="17780" b="12065"/>
            <wp:docPr id="23" name="图片 2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IMG_259"/>
                    <pic:cNvPicPr>
                      <a:picLocks noChangeAspect="1"/>
                    </pic:cNvPicPr>
                  </pic:nvPicPr>
                  <pic:blipFill>
                    <a:blip r:embed="rId7"/>
                    <a:stretch>
                      <a:fillRect/>
                    </a:stretch>
                  </pic:blipFill>
                  <pic:spPr>
                    <a:xfrm>
                      <a:off x="0" y="0"/>
                      <a:ext cx="5468620" cy="715073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drawing>
          <wp:inline distT="0" distB="0" distL="114300" distR="114300">
            <wp:extent cx="5705475" cy="5990590"/>
            <wp:effectExtent l="0" t="0" r="9525" b="10160"/>
            <wp:docPr id="20" name="图片 2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descr="IMG_260"/>
                    <pic:cNvPicPr>
                      <a:picLocks noChangeAspect="1"/>
                    </pic:cNvPicPr>
                  </pic:nvPicPr>
                  <pic:blipFill>
                    <a:blip r:embed="rId8"/>
                    <a:stretch>
                      <a:fillRect/>
                    </a:stretch>
                  </pic:blipFill>
                  <pic:spPr>
                    <a:xfrm>
                      <a:off x="0" y="0"/>
                      <a:ext cx="5705475" cy="5990590"/>
                    </a:xfrm>
                    <a:prstGeom prst="rect">
                      <a:avLst/>
                    </a:prstGeom>
                    <a:noFill/>
                    <a:ln w="9525">
                      <a:noFill/>
                    </a:ln>
                  </pic:spPr>
                </pic:pic>
              </a:graphicData>
            </a:graphic>
          </wp:inline>
        </w:drawing>
      </w:r>
    </w:p>
    <w:p>
      <w: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anchor distT="0" distB="0" distL="114300" distR="114300" simplePos="0" relativeHeight="251659264" behindDoc="1" locked="0" layoutInCell="1" allowOverlap="1">
            <wp:simplePos x="0" y="0"/>
            <wp:positionH relativeFrom="column">
              <wp:posOffset>27940</wp:posOffset>
            </wp:positionH>
            <wp:positionV relativeFrom="paragraph">
              <wp:posOffset>107315</wp:posOffset>
            </wp:positionV>
            <wp:extent cx="5238750" cy="1124585"/>
            <wp:effectExtent l="0" t="0" r="0" b="18415"/>
            <wp:wrapNone/>
            <wp:docPr id="24" name="图片 2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descr="IMG_261"/>
                    <pic:cNvPicPr>
                      <a:picLocks noChangeAspect="1"/>
                    </pic:cNvPicPr>
                  </pic:nvPicPr>
                  <pic:blipFill>
                    <a:blip r:embed="rId9"/>
                    <a:stretch>
                      <a:fillRect/>
                    </a:stretch>
                  </pic:blipFill>
                  <pic:spPr>
                    <a:xfrm>
                      <a:off x="0" y="0"/>
                      <a:ext cx="5238750" cy="1124585"/>
                    </a:xfrm>
                    <a:prstGeom prst="rect">
                      <a:avLst/>
                    </a:prstGeom>
                    <a:noFill/>
                    <a:ln w="9525">
                      <a:noFill/>
                    </a:ln>
                  </pic:spPr>
                </pic:pic>
              </a:graphicData>
            </a:graphic>
          </wp:anchor>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Style w:val="4"/>
        <w:tblpPr w:leftFromText="180" w:rightFromText="180" w:vertAnchor="text" w:horzAnchor="page" w:tblpX="2548" w:tblpY="658"/>
        <w:tblOverlap w:val="never"/>
        <w:tblW w:w="7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
        <w:gridCol w:w="532"/>
        <w:gridCol w:w="1067"/>
        <w:gridCol w:w="793"/>
        <w:gridCol w:w="714"/>
        <w:gridCol w:w="3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gridSpan w:val="6"/>
            <w:tcBorders>
              <w:top w:val="single" w:color="000000" w:sz="6" w:space="0"/>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个人购买一手住宅相关税费计算表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0" w:type="auto"/>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适用条件</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0" w:type="auto"/>
            <w:vMerge w:val="restart"/>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契税</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个人购买家庭唯一住房</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面积90平方米及以下</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0" w:type="auto"/>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依据：财政部 国家税务总局 住房城乡建设部《关于调整房地产交易环节契税、营业税优惠政策的通知》（财税﹝2016﹞23号）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面积90平方米以上</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个人购买家庭第二套改善性住房</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面积90平方米及以下</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面积90平方米以上</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计税金额×2%</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个人购买家庭第三套及以上</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合同时间在2008年11月1日（含）后的住宅</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pPr>
            <w:r>
              <w:rPr>
                <w:rFonts w:hint="eastAsia" w:ascii="宋体" w:hAnsi="宋体" w:eastAsia="宋体" w:cs="宋体"/>
                <w:color w:val="000000"/>
                <w:sz w:val="24"/>
                <w:szCs w:val="24"/>
              </w:rPr>
              <w:t>依据：财政部 国家税务总局《关于调整初登场交易环节税收政策的通知》财税﹝2008﹞137号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24"/>
                <w:szCs w:val="24"/>
              </w:rPr>
              <w:t>合同时间在2008年10月31日（含）前的住宅</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6"/>
          <w:rFonts w:hint="eastAsia" w:ascii="宋体" w:hAnsi="宋体" w:eastAsia="宋体" w:cs="宋体"/>
          <w:color w:val="000000"/>
          <w:sz w:val="43"/>
          <w:szCs w:val="43"/>
        </w:rPr>
      </w:pPr>
      <w:r>
        <w:rPr>
          <w:rStyle w:val="6"/>
          <w:rFonts w:hint="eastAsia" w:ascii="宋体" w:hAnsi="宋体" w:eastAsia="宋体" w:cs="宋体"/>
          <w:color w:val="000000"/>
          <w:sz w:val="43"/>
          <w:szCs w:val="43"/>
        </w:rPr>
        <w:br w:type="page"/>
      </w:r>
    </w:p>
    <w:tbl>
      <w:tblPr>
        <w:tblStyle w:val="4"/>
        <w:tblW w:w="7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
        <w:gridCol w:w="614"/>
        <w:gridCol w:w="1143"/>
        <w:gridCol w:w="4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0" w:type="auto"/>
            <w:gridSpan w:val="4"/>
            <w:tcBorders>
              <w:top w:val="single" w:color="auto" w:sz="6" w:space="0"/>
              <w:left w:val="single" w:color="auto" w:sz="6" w:space="0"/>
              <w:bottom w:val="single" w:color="000000" w:sz="6" w:space="0"/>
              <w:right w:val="single" w:color="auto"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个人购买一手非住宅相关税费计算表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0" w:type="auto"/>
            <w:tcBorders>
              <w:top w:val="nil"/>
              <w:left w:val="single" w:color="auto"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0" w:type="auto"/>
            <w:tcBorders>
              <w:top w:val="single" w:color="000000" w:sz="6" w:space="0"/>
              <w:left w:val="nil"/>
              <w:bottom w:val="single" w:color="000000" w:sz="6" w:space="0"/>
              <w:right w:val="single" w:color="auto"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0" w:type="auto"/>
            <w:vMerge w:val="restart"/>
            <w:tcBorders>
              <w:top w:val="nil"/>
              <w:left w:val="single" w:color="auto"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契税</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0" w:type="auto"/>
            <w:tcBorders>
              <w:top w:val="nil"/>
              <w:left w:val="nil"/>
              <w:bottom w:val="single" w:color="000000" w:sz="6" w:space="0"/>
              <w:right w:val="single" w:color="auto"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依据：福建省人民政府关于修改《福建省贯彻〈中华人民共和国契税暂行条例〉实施办法》中：第五条 契税的计税依据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0" w:hRule="atLeast"/>
          <w:jc w:val="center"/>
        </w:trPr>
        <w:tc>
          <w:tcPr>
            <w:tcW w:w="0" w:type="auto"/>
            <w:vMerge w:val="continue"/>
            <w:tcBorders>
              <w:top w:val="nil"/>
              <w:left w:val="single" w:color="auto"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single" w:color="000000" w:sz="6" w:space="0"/>
              <w:left w:val="nil"/>
              <w:bottom w:val="single" w:color="auto"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印花税</w:t>
            </w:r>
          </w:p>
        </w:tc>
        <w:tc>
          <w:tcPr>
            <w:tcW w:w="0" w:type="auto"/>
            <w:tcBorders>
              <w:top w:val="single" w:color="000000" w:sz="6" w:space="0"/>
              <w:left w:val="nil"/>
              <w:bottom w:val="single" w:color="auto"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2"/>
                <w:szCs w:val="22"/>
              </w:rPr>
              <w:t>计税金额×0.05%</w:t>
            </w:r>
            <w:r>
              <w:rPr>
                <w:rStyle w:val="6"/>
                <w:rFonts w:hint="eastAsia" w:ascii="宋体" w:hAnsi="宋体" w:eastAsia="宋体" w:cs="宋体"/>
                <w:color w:val="000000"/>
                <w:sz w:val="36"/>
                <w:szCs w:val="36"/>
              </w:rPr>
              <w:t>/</w:t>
            </w:r>
            <w:r>
              <w:rPr>
                <w:rFonts w:hint="eastAsia" w:ascii="宋体" w:hAnsi="宋体" w:eastAsia="宋体" w:cs="宋体"/>
                <w:color w:val="000000"/>
                <w:sz w:val="22"/>
                <w:szCs w:val="22"/>
              </w:rPr>
              <w:t>0.025%</w:t>
            </w:r>
          </w:p>
        </w:tc>
        <w:tc>
          <w:tcPr>
            <w:tcW w:w="0" w:type="auto"/>
            <w:tcBorders>
              <w:top w:val="nil"/>
              <w:left w:val="nil"/>
              <w:bottom w:val="single" w:color="auto" w:sz="6" w:space="0"/>
              <w:right w:val="single" w:color="auto"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pPr>
            <w:r>
              <w:rPr>
                <w:rFonts w:hint="eastAsia" w:ascii="宋体" w:hAnsi="宋体" w:eastAsia="宋体" w:cs="宋体"/>
                <w:color w:val="000000"/>
                <w:sz w:val="24"/>
                <w:szCs w:val="24"/>
              </w:rPr>
              <w:t>依据：合同时间为2019年1月1日（含）以后的，对增值税小规模纳税人减按50%征收印花税。（财税﹝2019﹞13号）</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sz w:val="43"/>
          <w:szCs w:val="43"/>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Style w:val="6"/>
          <w:rFonts w:hint="eastAsia" w:ascii="宋体" w:hAnsi="宋体" w:eastAsia="宋体" w:cs="宋体"/>
          <w:color w:val="000000"/>
          <w:sz w:val="43"/>
          <w:szCs w:val="43"/>
        </w:rPr>
      </w:pPr>
      <w:r>
        <w:rPr>
          <w:rStyle w:val="6"/>
          <w:rFonts w:hint="eastAsia" w:ascii="宋体" w:hAnsi="宋体" w:eastAsia="宋体" w:cs="宋体"/>
          <w:color w:val="000000"/>
          <w:sz w:val="43"/>
          <w:szCs w:val="43"/>
        </w:rPr>
        <w:br w:type="page"/>
      </w:r>
    </w:p>
    <w:tbl>
      <w:tblPr>
        <w:tblStyle w:val="4"/>
        <w:tblW w:w="6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1"/>
        <w:gridCol w:w="599"/>
        <w:gridCol w:w="725"/>
        <w:gridCol w:w="588"/>
        <w:gridCol w:w="604"/>
        <w:gridCol w:w="561"/>
        <w:gridCol w:w="3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6997" w:type="dxa"/>
            <w:gridSpan w:val="7"/>
            <w:tcBorders>
              <w:top w:val="single" w:color="000000" w:sz="6" w:space="0"/>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个人转让住宅相关税费计算表（核定征收）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纳税人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适用条件</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3439" w:type="dxa"/>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0" w:type="auto"/>
            <w:vMerge w:val="restart"/>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增值税及附加</w:t>
            </w:r>
          </w:p>
        </w:tc>
        <w:tc>
          <w:tcPr>
            <w:tcW w:w="0" w:type="auto"/>
            <w:gridSpan w:val="2"/>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取得不动产权证未满2年</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计税金额×5%</w:t>
            </w:r>
          </w:p>
        </w:tc>
        <w:tc>
          <w:tcPr>
            <w:tcW w:w="3439" w:type="dxa"/>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依据：合同时间为2019年1月1日（含）以后的，对增值税小规模纳税人减按50%征收附加税（包括城市维护建设税、地方教育费附加、教育费附加）。（财税﹝2019﹞13号）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城市维护建设税</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增值税额×7%</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地方教育费附加</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增值税额×3%</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教育费附加</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增值税额×2%</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取得不动产权证满2年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（含2年）</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个人所得税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个人转让普通住宅（未满5年的</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满5年但非唯一）</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3439" w:type="dxa"/>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依据：国家税务总局 福州市税务局《关于个人房屋转让所得税有关问题的公告》（2018年第3号）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依据：福建省住房城乡建设厅《关于》促进房地产市场平稳发展的若干意见》：我市现五城区享受优惠普通商品住房条件为：住宅小区建筑容积率在1.0（含1.0）以上，且单套建筑面积在144平方米及以下。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个人转让非普通住宅（未满5年的</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满5年但非唯一）</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3439" w:type="dxa"/>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个人转让自用5年以上且为家庭唯一生活用房</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土地增值税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转让住宅</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依据：财政部 国家税务总局《关于调整初登场交易环节税收政策的通知》财税﹝2008﹞137号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转让住宅</w:t>
            </w:r>
          </w:p>
        </w:tc>
        <w:tc>
          <w:tcPr>
            <w:tcW w:w="0" w:type="auto"/>
            <w:gridSpan w:val="2"/>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契税</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个人购买家庭唯一住房</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面积90平方米及以下</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3439" w:type="dxa"/>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依据：财政部 国家税务总局 住房城乡建设部《关于调整房地产交易环节契税、营业税优惠政策的通知》（财税﹝2016﹞23号）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面积90平方米以上</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个人购买家庭第二套改善性住房</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面积90平方米及以下</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面积90平方米以上</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计税金额×2%</w:t>
            </w:r>
          </w:p>
        </w:tc>
        <w:tc>
          <w:tcPr>
            <w:tcW w:w="3439" w:type="dxa"/>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个人购买家庭第三套及以上</w:t>
            </w:r>
          </w:p>
        </w:tc>
        <w:tc>
          <w:tcPr>
            <w:tcW w:w="0" w:type="auto"/>
            <w:gridSpan w:val="2"/>
            <w:tcBorders>
              <w:top w:val="nil"/>
              <w:left w:val="nil"/>
              <w:bottom w:val="single" w:color="auto"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3439" w:type="dxa"/>
            <w:tcBorders>
              <w:top w:val="nil"/>
              <w:left w:val="nil"/>
              <w:bottom w:val="single" w:color="auto" w:sz="6" w:space="0"/>
              <w:right w:val="single" w:color="000000" w:sz="6" w:space="0"/>
            </w:tcBorders>
            <w:shd w:val="clear" w:color="auto" w:fill="auto"/>
            <w:tcMar>
              <w:top w:w="15" w:type="dxa"/>
              <w:left w:w="45" w:type="dxa"/>
              <w:bottom w:w="15" w:type="dxa"/>
              <w:right w:w="4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auto"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受让人为自然人</w:t>
            </w:r>
          </w:p>
        </w:tc>
        <w:tc>
          <w:tcPr>
            <w:tcW w:w="0" w:type="auto"/>
            <w:gridSpan w:val="2"/>
            <w:tcBorders>
              <w:top w:val="nil"/>
              <w:left w:val="nil"/>
              <w:bottom w:val="single" w:color="auto"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免征</w:t>
            </w:r>
          </w:p>
        </w:tc>
        <w:tc>
          <w:tcPr>
            <w:tcW w:w="3439" w:type="dxa"/>
            <w:tcBorders>
              <w:top w:val="nil"/>
              <w:left w:val="nil"/>
              <w:bottom w:val="single" w:color="auto" w:sz="6" w:space="0"/>
              <w:right w:val="single" w:color="auto"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依据：财政部 国家税务总局《关于调整初登场交易环节税收政策的通知》财税﹝2008﹞137号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受让人为非自然人</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0.025%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（对增值税小规模纳税人印花税减半征收）</w:t>
            </w:r>
          </w:p>
        </w:tc>
        <w:tc>
          <w:tcPr>
            <w:tcW w:w="3439" w:type="dxa"/>
            <w:tcBorders>
              <w:top w:val="nil"/>
              <w:left w:val="nil"/>
              <w:bottom w:val="single" w:color="000000" w:sz="6" w:space="0"/>
              <w:right w:val="single" w:color="auto"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依据：合同时间为2019年1月1日（含）以后的，对增值税小规模纳税人减按50%征收印花税。（财税﹝2019﹞13号）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6997" w:type="dxa"/>
            <w:gridSpan w:val="7"/>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注：1、拍卖房屋按3%的税率核定征收个人所得税。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2、直系亲属之间（含父母、子女、兄弟姐妹等）赠与可免征增值税、土地增值税、个人所得税，契税按3%征收。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4、个人将取得未满2年的住房对外销售的，增值税按全额征收。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5、国家税务总局 财政部 建设部关于加强初登场税收管理的通知（国税发﹝2005﹞89号）规定：个人购买住房以取得的房屋产权证或契税完税证明上注明的时间作为其购买房屋时间。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bl>
    <w:p>
      <w:pPr>
        <w:rPr>
          <w:rFonts w:hint="eastAsia" w:ascii="宋体" w:hAnsi="宋体" w:eastAsia="宋体" w:cs="宋体"/>
          <w:color w:val="000000"/>
          <w:sz w:val="43"/>
          <w:szCs w:val="43"/>
        </w:rPr>
      </w:pPr>
      <w:r>
        <w:rPr>
          <w:rFonts w:hint="eastAsia" w:ascii="宋体" w:hAnsi="宋体" w:eastAsia="宋体" w:cs="宋体"/>
          <w:color w:val="000000"/>
          <w:sz w:val="43"/>
          <w:szCs w:val="43"/>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sz w:val="43"/>
          <w:szCs w:val="43"/>
        </w:rPr>
      </w:pPr>
    </w:p>
    <w:tbl>
      <w:tblPr>
        <w:tblStyle w:val="4"/>
        <w:tblW w:w="7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
        <w:gridCol w:w="719"/>
        <w:gridCol w:w="771"/>
        <w:gridCol w:w="702"/>
        <w:gridCol w:w="4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5" w:hRule="atLeast"/>
          <w:jc w:val="center"/>
        </w:trPr>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43"/>
                <w:szCs w:val="43"/>
              </w:rPr>
              <w:t>个人转让非住宅相关税费计算表（核定征收）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0"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人</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税种</w:t>
            </w:r>
          </w:p>
        </w:tc>
        <w:tc>
          <w:tcPr>
            <w:tcW w:w="0" w:type="auto"/>
            <w:gridSpan w:val="2"/>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税费</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6"/>
                <w:rFonts w:hint="eastAsia" w:ascii="宋体" w:hAnsi="宋体" w:eastAsia="宋体" w:cs="宋体"/>
                <w:color w:val="000000"/>
                <w:sz w:val="31"/>
                <w:szCs w:val="3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0" w:type="auto"/>
            <w:vMerge w:val="restart"/>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增值税及附加</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w:t>
            </w:r>
          </w:p>
        </w:tc>
        <w:tc>
          <w:tcPr>
            <w:tcW w:w="0" w:type="auto"/>
            <w:tcBorders>
              <w:top w:val="nil"/>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计税金额×5%</w:t>
            </w:r>
          </w:p>
        </w:tc>
        <w:tc>
          <w:tcPr>
            <w:tcW w:w="0" w:type="auto"/>
            <w:vMerge w:val="restart"/>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依据：合同时间为2019年1月1日（含）以后的，对增值税小规模纳税人减按50%征收附加税（包括城市维护建设税、地方教育费附加、教育费附加）。（财税﹝2019﹞13号）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依据：按月纳税的月销售额或营业额不超过10万元缴纳义务人免征教育费附加、地方教育费附加。（财税[2016]12号）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城市维护建设税</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增值税额×7%</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地方教育费附加</w:t>
            </w: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增值税额×3%</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教育费附加</w:t>
            </w:r>
          </w:p>
        </w:tc>
        <w:tc>
          <w:tcPr>
            <w:tcW w:w="0" w:type="auto"/>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增值税额×2%</w:t>
            </w:r>
          </w:p>
        </w:tc>
        <w:tc>
          <w:tcPr>
            <w:tcW w:w="0" w:type="auto"/>
            <w:vMerge w:val="continue"/>
            <w:tcBorders>
              <w:top w:val="single" w:color="000000" w:sz="6" w:space="0"/>
              <w:left w:val="nil"/>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restart"/>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个人所得税</w:t>
            </w:r>
          </w:p>
        </w:tc>
        <w:tc>
          <w:tcPr>
            <w:tcW w:w="0" w:type="auto"/>
            <w:gridSpan w:val="2"/>
            <w:vMerge w:val="restart"/>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计税金额×1.5%</w:t>
            </w:r>
          </w:p>
        </w:tc>
        <w:tc>
          <w:tcPr>
            <w:tcW w:w="0" w:type="auto"/>
            <w:vMerge w:val="restart"/>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依据：国家税务总局福州市税务局《关于个人房屋转让所得税有关问题的公告》（2018年3号）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vMerge w:val="continue"/>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single" w:color="000000" w:sz="6" w:space="0"/>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土地增值税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计税金额×6%</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依据：国家税务总局福建省税务局《关于土地增值税若干问题的公告》（2018年第21号）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0" w:type="auto"/>
            <w:vMerge w:val="continue"/>
            <w:tcBorders>
              <w:top w:val="nil"/>
              <w:left w:val="single" w:color="000000" w:sz="6" w:space="0"/>
              <w:bottom w:val="nil"/>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0.025%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（对增值税小规模纳税人印花税减半征收）</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合同时间为2019年1月1日（含）以后的，对增值税小规模纳税人减按50%征收印花税。（财税﹝2019﹞13号）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方</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契税</w:t>
            </w:r>
          </w:p>
        </w:tc>
        <w:tc>
          <w:tcPr>
            <w:tcW w:w="0" w:type="auto"/>
            <w:gridSpan w:val="2"/>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计税金额×3%</w:t>
            </w:r>
          </w:p>
        </w:tc>
        <w:tc>
          <w:tcPr>
            <w:tcW w:w="0" w:type="auto"/>
            <w:vMerge w:val="restart"/>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sz w:val="24"/>
                <w:szCs w:val="24"/>
              </w:rPr>
              <w:t>依据：福建省人民政府关于修改《福建省贯彻〈中华人民共和国契税暂行条例〉实施办法》中：第五条 契税的计税依据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gridSpan w:val="2"/>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vMerge w:val="continue"/>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pPr>
            <w:r>
              <w:rPr>
                <w:rStyle w:val="6"/>
                <w:rFonts w:hint="eastAsia" w:ascii="宋体" w:hAnsi="宋体" w:eastAsia="宋体" w:cs="宋体"/>
                <w:color w:val="000000"/>
                <w:sz w:val="31"/>
                <w:szCs w:val="31"/>
              </w:rPr>
              <w:t>印花税</w:t>
            </w:r>
          </w:p>
        </w:tc>
        <w:tc>
          <w:tcPr>
            <w:tcW w:w="0" w:type="auto"/>
            <w:gridSpan w:val="2"/>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计税金额×0.05%</w:t>
            </w:r>
            <w:r>
              <w:rPr>
                <w:rStyle w:val="6"/>
                <w:rFonts w:hint="eastAsia" w:ascii="宋体" w:hAnsi="宋体" w:eastAsia="宋体" w:cs="宋体"/>
                <w:color w:val="000000"/>
                <w:sz w:val="24"/>
                <w:szCs w:val="24"/>
              </w:rPr>
              <w:t>/</w:t>
            </w:r>
            <w:r>
              <w:rPr>
                <w:rFonts w:hint="eastAsia" w:ascii="宋体" w:hAnsi="宋体" w:eastAsia="宋体" w:cs="宋体"/>
                <w:color w:val="000000"/>
                <w:sz w:val="24"/>
                <w:szCs w:val="24"/>
              </w:rPr>
              <w:t>0.025%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color w:val="000000"/>
                <w:sz w:val="24"/>
                <w:szCs w:val="24"/>
              </w:rPr>
              <w:t>（对增值税小规模纳税人印花税减半征收）</w:t>
            </w:r>
          </w:p>
        </w:tc>
        <w:tc>
          <w:tcPr>
            <w:tcW w:w="0" w:type="auto"/>
            <w:tcBorders>
              <w:top w:val="nil"/>
              <w:left w:val="nil"/>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合同时间为2019年1月1日（含）以后的，对增值税小规模纳税人减按50%征收印花税。（财税﹝2019﹞13号）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jc w:val="center"/>
        </w:trPr>
        <w:tc>
          <w:tcPr>
            <w:tcW w:w="0" w:type="auto"/>
            <w:gridSpan w:val="5"/>
            <w:tcBorders>
              <w:top w:val="nil"/>
              <w:left w:val="single" w:color="000000" w:sz="6" w:space="0"/>
              <w:bottom w:val="single" w:color="000000" w:sz="6" w:space="0"/>
              <w:right w:val="single" w:color="000000" w:sz="6" w:space="0"/>
            </w:tcBorders>
            <w:shd w:val="clear" w:color="auto" w:fill="auto"/>
            <w:tcMar>
              <w:top w:w="15" w:type="dxa"/>
              <w:left w:w="45" w:type="dxa"/>
              <w:bottom w:w="15"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rPr>
                <w:rFonts w:hint="eastAsia" w:ascii="宋体" w:hAnsi="宋体" w:eastAsia="宋体" w:cs="宋体"/>
                <w:color w:val="000000"/>
                <w:sz w:val="24"/>
                <w:szCs w:val="24"/>
              </w:rPr>
              <w:t>注：1、个人转让非住宅(非自建)的，增值税按差额征收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color w:val="000000"/>
                <w:sz w:val="24"/>
                <w:szCs w:val="24"/>
              </w:rPr>
              <w:t>2、在福州市不动产登记和交易中心因房屋转让产生的个人所得税、土地增值税是核定征收，若能提供购房发票申请按实征收请前往主管税务机关办理。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center"/>
            </w:pPr>
            <w:r>
              <w:drawing>
                <wp:anchor distT="0" distB="0" distL="114300" distR="114300" simplePos="0" relativeHeight="251660288" behindDoc="1" locked="0" layoutInCell="1" allowOverlap="1">
                  <wp:simplePos x="0" y="0"/>
                  <wp:positionH relativeFrom="column">
                    <wp:posOffset>-325755</wp:posOffset>
                  </wp:positionH>
                  <wp:positionV relativeFrom="paragraph">
                    <wp:posOffset>165100</wp:posOffset>
                  </wp:positionV>
                  <wp:extent cx="5066665" cy="2561590"/>
                  <wp:effectExtent l="0" t="0" r="635" b="10160"/>
                  <wp:wrapNone/>
                  <wp:docPr id="22" name="图片 2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4" descr="IMG_263"/>
                          <pic:cNvPicPr>
                            <a:picLocks noChangeAspect="1"/>
                          </pic:cNvPicPr>
                        </pic:nvPicPr>
                        <pic:blipFill>
                          <a:blip r:embed="rId10"/>
                          <a:stretch>
                            <a:fillRect/>
                          </a:stretch>
                        </pic:blipFill>
                        <pic:spPr>
                          <a:xfrm>
                            <a:off x="0" y="0"/>
                            <a:ext cx="5066665" cy="2561590"/>
                          </a:xfrm>
                          <a:prstGeom prst="rect">
                            <a:avLst/>
                          </a:prstGeom>
                          <a:noFill/>
                          <a:ln w="9525">
                            <a:noFill/>
                          </a:ln>
                        </pic:spPr>
                      </pic:pic>
                    </a:graphicData>
                  </a:graphic>
                </wp:anchor>
              </w:drawing>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zc5OTA3MjQ2YWZjOTRmMDc2MWQ0MGU4OWQyMjUifQ=="/>
  </w:docVars>
  <w:rsids>
    <w:rsidRoot w:val="7C9F6782"/>
    <w:rsid w:val="108C705E"/>
    <w:rsid w:val="43E9017C"/>
    <w:rsid w:val="7C9F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1991</Words>
  <Characters>2195</Characters>
  <Lines>0</Lines>
  <Paragraphs>0</Paragraphs>
  <TotalTime>1</TotalTime>
  <ScaleCrop>false</ScaleCrop>
  <LinksUpToDate>false</LinksUpToDate>
  <CharactersWithSpaces>2207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2022-05-20T07:08:00Z</dcterms:created>
  <dc:creator>Administrator</dc:creator>
  <cp:lastModifiedBy>Administrator</cp:lastModifiedBy>
  <dcterms:modified xsi:type="dcterms:W3CDTF">2022-05-20T07:32:24Z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2E3BC14EA5E74D43B17329FC7CFDD681</vt:lpwstr>
  </property>
</Properties>
</file>