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auto"/>
        <w:ind w:firstLine="60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0"/>
          <w:szCs w:val="30"/>
        </w:rPr>
        <w:t>附件2</w:t>
      </w:r>
    </w:p>
    <w:p>
      <w:pPr>
        <w:widowControl w:val="0"/>
        <w:jc w:val="center"/>
        <w:rPr>
          <w:rFonts w:hint="eastAsia" w:asciiTheme="minorEastAsia" w:hAnsiTheme="minorEastAsia" w:eastAsiaTheme="minorEastAsia"/>
          <w:b/>
          <w:bCs/>
          <w:sz w:val="44"/>
          <w:szCs w:val="44"/>
        </w:rPr>
      </w:pPr>
      <w:bookmarkStart w:id="0" w:name="_GoBack"/>
      <w:r>
        <w:rPr>
          <w:rFonts w:hint="eastAsia" w:asciiTheme="minorEastAsia" w:hAnsiTheme="minorEastAsia" w:eastAsiaTheme="minorEastAsia"/>
          <w:b/>
          <w:bCs/>
          <w:sz w:val="44"/>
          <w:szCs w:val="44"/>
        </w:rPr>
        <w:t>福建省应当依法进行环境应急预案</w:t>
      </w:r>
    </w:p>
    <w:p>
      <w:pPr>
        <w:widowControl w:val="0"/>
        <w:jc w:val="center"/>
        <w:rPr>
          <w:rFonts w:hint="eastAsia" w:asciiTheme="minorEastAsia" w:hAnsiTheme="minorEastAsia" w:eastAsia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bCs/>
          <w:sz w:val="44"/>
          <w:szCs w:val="44"/>
        </w:rPr>
        <w:t>备案企业名录</w:t>
      </w:r>
    </w:p>
    <w:bookmarkEnd w:id="0"/>
    <w:tbl>
      <w:tblPr>
        <w:tblStyle w:val="3"/>
        <w:tblW w:w="73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64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企业名称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福建榕东海峡环保有限公司快安污水处理厂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福建榕东海峡环保有限公司青洲污水处理厂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福建榕东海峡环保有限公司长安污水处理厂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福建中日达金属有限公司</w:t>
            </w: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福州瑞闽铝材彩涂有限公司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中石化福建石油分公司仓储管理中心兴闽油库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中国石油天然气股份有限公司福建销售仓储分公司马尾油库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中石化森美（福建）石油有限公司红山油库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中铝瑞闽股份有限公司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福州万德电气有限公司</w:t>
            </w: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福建华映显示科技有限公司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福州福马金山漆业有限公司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福州钜全金属工业有限公司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14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东联纸业（福州）有限公司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永丰余纸业（福州）有限公司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16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福建省东南造船厂</w:t>
            </w: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17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福人木业（福州）有限公司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福州大通机电有限公司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科立视材料科技有限公司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福州经济技术开发区医院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21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东北理光（福州）印刷设备有限公司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22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福建爱普生有限公司</w:t>
            </w: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23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福州开发区钜联鞋业有限公司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24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福建国光电子科技股份有限公司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25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明鸿（福州）金属工业有限公司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26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福州大川纸品有限公司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27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昇兴集团股份有限公司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28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飞毛腿（福建）电子有限公司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29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福建华骏天行汽车销售服务有限公司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30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福建华骏天元汽车销售服务有限公司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31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福州星之宝汽车销售服务有限公司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32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福州玖玖丰田汽车销售服务有限公司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33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福州中升雷克萨斯汽车销售服务有限公司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34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福州信达诺汽车销售服务有限公司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35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福州金穗汽车有限公司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36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福建永达奥诚汽车销售服务有限公司</w:t>
            </w:r>
          </w:p>
        </w:tc>
      </w:tr>
    </w:tbl>
    <w:p>
      <w:pPr>
        <w:widowControl w:val="0"/>
        <w:spacing w:line="360" w:lineRule="auto"/>
        <w:ind w:firstLine="640" w:firstLineChars="200"/>
        <w:rPr>
          <w:rFonts w:ascii="仿宋_GB2312" w:eastAsia="仿宋_GB2312" w:cs="仿宋_GB2312"/>
          <w:sz w:val="32"/>
          <w:szCs w:val="32"/>
        </w:rPr>
      </w:pPr>
    </w:p>
    <w:p/>
    <w:sectPr>
      <w:pgSz w:w="11906" w:h="16838"/>
      <w:pgMar w:top="1440" w:right="1418" w:bottom="1440" w:left="1418" w:header="737" w:footer="851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960D6"/>
    <w:rsid w:val="4E3960D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2018-10-29T08:26:00Z</dcterms:created>
  <dc:creator>Administrator</dc:creator>
  <cp:lastModifiedBy>Administrator</cp:lastModifiedBy>
  <dcterms:modified xsi:type="dcterms:W3CDTF">2018-10-29T08:27:23Z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