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eastAsia"/>
          <w:b w:val="0"/>
          <w:sz w:val="28"/>
          <w:szCs w:val="28"/>
        </w:rPr>
      </w:pPr>
      <w:bookmarkStart w:id="0" w:name="_Toc420511646"/>
      <w:bookmarkStart w:id="1" w:name="_Toc455153177"/>
      <w:r>
        <w:rPr>
          <w:rFonts w:hint="eastAsia"/>
          <w:b w:val="0"/>
          <w:sz w:val="28"/>
          <w:szCs w:val="28"/>
        </w:rPr>
        <w:t>附件：</w:t>
      </w:r>
    </w:p>
    <w:p>
      <w:pPr>
        <w:pStyle w:val="2"/>
        <w:jc w:val="center"/>
        <w:rPr>
          <w:sz w:val="32"/>
          <w:szCs w:val="32"/>
        </w:rPr>
      </w:pPr>
      <w:r>
        <w:rPr>
          <w:rFonts w:hint="eastAsia"/>
          <w:sz w:val="32"/>
          <w:szCs w:val="32"/>
        </w:rPr>
        <w:t>马尾区空气自动监测站点位运维服务项目采购内容及要求</w:t>
      </w:r>
    </w:p>
    <w:p>
      <w:pPr>
        <w:pStyle w:val="2"/>
        <w:rPr>
          <w:sz w:val="28"/>
          <w:szCs w:val="28"/>
        </w:rPr>
      </w:pPr>
      <w:r>
        <w:rPr>
          <w:rFonts w:hint="eastAsia"/>
          <w:sz w:val="28"/>
          <w:szCs w:val="28"/>
        </w:rPr>
        <w:t>一、项目概述</w:t>
      </w:r>
      <w:bookmarkEnd w:id="0"/>
      <w:bookmarkEnd w:id="1"/>
    </w:p>
    <w:p>
      <w:pPr>
        <w:widowControl/>
        <w:spacing w:line="276" w:lineRule="auto"/>
        <w:ind w:firstLine="420" w:firstLineChars="200"/>
        <w:rPr>
          <w:rFonts w:ascii="宋体" w:cs="方正仿宋_GBK"/>
          <w:szCs w:val="21"/>
        </w:rPr>
      </w:pPr>
      <w:r>
        <w:rPr>
          <w:rFonts w:hint="eastAsia" w:ascii="宋体" w:hAnsi="宋体"/>
          <w:color w:val="393939"/>
          <w:szCs w:val="21"/>
          <w:shd w:val="clear" w:color="auto" w:fill="FFFFFF"/>
        </w:rPr>
        <w:t>本次招标为马尾区医院、亭江镇</w:t>
      </w:r>
      <w:bookmarkStart w:id="23" w:name="_GoBack"/>
      <w:bookmarkEnd w:id="23"/>
      <w:r>
        <w:rPr>
          <w:rFonts w:hint="eastAsia" w:ascii="宋体" w:hAnsi="宋体"/>
          <w:color w:val="393939"/>
          <w:szCs w:val="21"/>
          <w:shd w:val="clear" w:color="auto" w:fill="FFFFFF"/>
          <w:lang w:val="en-US" w:eastAsia="zh-CN"/>
        </w:rPr>
        <w:t>政</w:t>
      </w:r>
      <w:r>
        <w:rPr>
          <w:rFonts w:hint="eastAsia" w:ascii="宋体" w:hAnsi="宋体"/>
          <w:color w:val="393939"/>
          <w:szCs w:val="21"/>
          <w:shd w:val="clear" w:color="auto" w:fill="FFFFFF"/>
        </w:rPr>
        <w:t>府、长安站、快安站、青洲路路边站5个空气站运营维护采购项目。</w:t>
      </w:r>
      <w:r>
        <w:rPr>
          <w:rFonts w:hint="eastAsia" w:ascii="宋体" w:hAnsi="宋体" w:cs="方正仿宋_GBK"/>
          <w:szCs w:val="21"/>
        </w:rPr>
        <w:t>站点主要配置了SO</w:t>
      </w:r>
      <w:r>
        <w:rPr>
          <w:rFonts w:hint="eastAsia" w:ascii="宋体" w:hAnsi="宋体" w:cs="方正仿宋_GBK"/>
          <w:szCs w:val="21"/>
          <w:vertAlign w:val="subscript"/>
        </w:rPr>
        <w:t>2</w:t>
      </w:r>
      <w:r>
        <w:rPr>
          <w:rFonts w:hint="eastAsia" w:ascii="宋体" w:hAnsi="宋体" w:cs="方正仿宋_GBK"/>
          <w:szCs w:val="21"/>
        </w:rPr>
        <w:t>、NO</w:t>
      </w:r>
      <w:r>
        <w:rPr>
          <w:rFonts w:hint="eastAsia" w:ascii="宋体" w:hAnsi="宋体" w:cs="方正仿宋_GBK"/>
          <w:szCs w:val="21"/>
          <w:vertAlign w:val="subscript"/>
        </w:rPr>
        <w:t>2</w:t>
      </w:r>
      <w:r>
        <w:rPr>
          <w:rFonts w:hint="eastAsia" w:ascii="宋体" w:hAnsi="宋体" w:cs="方正仿宋_GBK"/>
          <w:szCs w:val="21"/>
        </w:rPr>
        <w:t>（NO</w:t>
      </w:r>
      <w:r>
        <w:rPr>
          <w:rFonts w:hint="eastAsia" w:ascii="宋体" w:hAnsi="宋体" w:cs="方正仿宋_GBK"/>
          <w:szCs w:val="21"/>
          <w:vertAlign w:val="subscript"/>
        </w:rPr>
        <w:t>X</w:t>
      </w:r>
      <w:r>
        <w:rPr>
          <w:rFonts w:hint="eastAsia" w:ascii="宋体" w:hAnsi="宋体" w:cs="方正仿宋_GBK"/>
          <w:szCs w:val="21"/>
        </w:rPr>
        <w:t>、NO）、CO、O</w:t>
      </w:r>
      <w:r>
        <w:rPr>
          <w:rFonts w:hint="eastAsia" w:ascii="宋体" w:hAnsi="宋体" w:cs="方正仿宋_GBK"/>
          <w:szCs w:val="21"/>
          <w:vertAlign w:val="subscript"/>
        </w:rPr>
        <w:t>3</w:t>
      </w:r>
      <w:r>
        <w:rPr>
          <w:rFonts w:hint="eastAsia" w:ascii="宋体" w:hAnsi="宋体" w:cs="方正仿宋_GBK"/>
          <w:szCs w:val="21"/>
        </w:rPr>
        <w:t>、PM</w:t>
      </w:r>
      <w:r>
        <w:rPr>
          <w:rFonts w:hint="eastAsia" w:ascii="宋体" w:hAnsi="宋体" w:cs="方正仿宋_GBK"/>
          <w:szCs w:val="21"/>
          <w:vertAlign w:val="subscript"/>
        </w:rPr>
        <w:t>10</w:t>
      </w:r>
      <w:r>
        <w:rPr>
          <w:rFonts w:hint="eastAsia" w:ascii="宋体" w:hAnsi="宋体" w:cs="方正仿宋_GBK"/>
          <w:szCs w:val="21"/>
        </w:rPr>
        <w:t>、PM</w:t>
      </w:r>
      <w:r>
        <w:rPr>
          <w:rFonts w:hint="eastAsia" w:ascii="宋体" w:hAnsi="宋体" w:cs="方正仿宋_GBK"/>
          <w:szCs w:val="21"/>
          <w:vertAlign w:val="subscript"/>
        </w:rPr>
        <w:t>2.5</w:t>
      </w:r>
      <w:r>
        <w:rPr>
          <w:rFonts w:hint="eastAsia" w:ascii="宋体" w:hAnsi="宋体" w:cs="方正仿宋_GBK"/>
          <w:szCs w:val="21"/>
        </w:rPr>
        <w:t>六项指标分析仪，零气发生器、动态校准仪、臭氧校准仪和气象系统监测仪等（详见表1），辅助设备包括采样系统、数据采集与传输软硬件、钢瓶气等。</w:t>
      </w:r>
    </w:p>
    <w:p>
      <w:pPr>
        <w:pStyle w:val="10"/>
        <w:spacing w:line="276" w:lineRule="auto"/>
        <w:ind w:left="360" w:firstLine="105" w:firstLineChars="50"/>
        <w:jc w:val="center"/>
        <w:rPr>
          <w:szCs w:val="21"/>
        </w:rPr>
      </w:pPr>
      <w:r>
        <w:rPr>
          <w:rFonts w:hint="eastAsia"/>
          <w:szCs w:val="21"/>
        </w:rPr>
        <w:t>表</w:t>
      </w:r>
      <w:r>
        <w:rPr>
          <w:szCs w:val="21"/>
        </w:rPr>
        <w:t xml:space="preserve">1 </w:t>
      </w:r>
      <w:r>
        <w:rPr>
          <w:rFonts w:hint="eastAsia"/>
          <w:szCs w:val="21"/>
        </w:rPr>
        <w:t>站点仪器配置表</w:t>
      </w:r>
    </w:p>
    <w:tbl>
      <w:tblPr>
        <w:tblStyle w:val="6"/>
        <w:tblW w:w="850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30"/>
        <w:gridCol w:w="1843"/>
        <w:gridCol w:w="4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0"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b/>
                <w:szCs w:val="21"/>
              </w:rPr>
            </w:pPr>
            <w:r>
              <w:rPr>
                <w:rFonts w:hint="eastAsia"/>
                <w:b/>
                <w:szCs w:val="21"/>
              </w:rPr>
              <w:t>站点</w:t>
            </w:r>
          </w:p>
        </w:tc>
        <w:tc>
          <w:tcPr>
            <w:tcW w:w="1843"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b/>
                <w:szCs w:val="21"/>
              </w:rPr>
            </w:pPr>
            <w:r>
              <w:rPr>
                <w:rFonts w:hint="eastAsia"/>
                <w:b/>
                <w:szCs w:val="21"/>
              </w:rPr>
              <w:t>仪器品牌</w:t>
            </w:r>
          </w:p>
        </w:tc>
        <w:tc>
          <w:tcPr>
            <w:tcW w:w="4932"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b/>
                <w:szCs w:val="21"/>
              </w:rPr>
            </w:pPr>
            <w:r>
              <w:rPr>
                <w:rFonts w:hint="eastAsia"/>
                <w:b/>
                <w:szCs w:val="21"/>
              </w:rPr>
              <w:t>监测参数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8" w:hRule="atLeast"/>
        </w:trPr>
        <w:tc>
          <w:tcPr>
            <w:tcW w:w="1730" w:type="dxa"/>
            <w:vMerge w:val="restart"/>
            <w:tcBorders>
              <w:top w:val="single" w:color="auto" w:sz="4" w:space="0"/>
              <w:left w:val="single" w:color="auto" w:sz="4" w:space="0"/>
              <w:bottom w:val="single" w:color="auto" w:sz="4" w:space="0"/>
              <w:right w:val="single" w:color="auto" w:sz="4" w:space="0"/>
            </w:tcBorders>
            <w:vAlign w:val="center"/>
          </w:tcPr>
          <w:p>
            <w:pPr>
              <w:spacing w:line="276" w:lineRule="auto"/>
              <w:rPr>
                <w:bCs/>
                <w:szCs w:val="21"/>
              </w:rPr>
            </w:pPr>
            <w:r>
              <w:rPr>
                <w:rFonts w:hint="eastAsia" w:ascii="宋体" w:hAnsi="宋体"/>
                <w:color w:val="393939"/>
                <w:szCs w:val="21"/>
                <w:shd w:val="clear" w:color="auto" w:fill="FFFFFF"/>
              </w:rPr>
              <w:t>马尾区医院</w:t>
            </w:r>
            <w:r>
              <w:rPr>
                <w:rFonts w:hint="eastAsia"/>
                <w:bCs/>
                <w:szCs w:val="21"/>
              </w:rPr>
              <w:t>站、</w:t>
            </w:r>
            <w:r>
              <w:rPr>
                <w:rFonts w:hint="eastAsia" w:ascii="宋体" w:hAnsi="宋体"/>
                <w:color w:val="393939"/>
                <w:szCs w:val="21"/>
                <w:shd w:val="clear" w:color="auto" w:fill="FFFFFF"/>
              </w:rPr>
              <w:t>亭江镇</w:t>
            </w:r>
            <w:r>
              <w:rPr>
                <w:rFonts w:hint="eastAsia" w:ascii="宋体" w:hAnsi="宋体"/>
                <w:color w:val="393939"/>
                <w:szCs w:val="21"/>
                <w:shd w:val="clear" w:color="auto" w:fill="FFFFFF"/>
                <w:lang w:val="en-US" w:eastAsia="zh-CN"/>
              </w:rPr>
              <w:t>政</w:t>
            </w:r>
            <w:r>
              <w:rPr>
                <w:rFonts w:hint="eastAsia" w:ascii="宋体" w:hAnsi="宋体"/>
                <w:color w:val="393939"/>
                <w:szCs w:val="21"/>
                <w:shd w:val="clear" w:color="auto" w:fill="FFFFFF"/>
              </w:rPr>
              <w:t>府、  快安站</w:t>
            </w:r>
          </w:p>
        </w:tc>
        <w:tc>
          <w:tcPr>
            <w:tcW w:w="1843"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bCs/>
                <w:szCs w:val="21"/>
              </w:rPr>
            </w:pPr>
            <w:r>
              <w:rPr>
                <w:rFonts w:hint="eastAsia"/>
                <w:bCs/>
                <w:szCs w:val="21"/>
              </w:rPr>
              <w:t>美国</w:t>
            </w:r>
            <w:r>
              <w:rPr>
                <w:bCs/>
                <w:szCs w:val="21"/>
              </w:rPr>
              <w:t>Thermo</w:t>
            </w:r>
          </w:p>
        </w:tc>
        <w:tc>
          <w:tcPr>
            <w:tcW w:w="4932" w:type="dxa"/>
            <w:tcBorders>
              <w:top w:val="single" w:color="auto" w:sz="4" w:space="0"/>
              <w:left w:val="single" w:color="auto" w:sz="4" w:space="0"/>
              <w:bottom w:val="single" w:color="auto" w:sz="4" w:space="0"/>
              <w:right w:val="single" w:color="auto" w:sz="4" w:space="0"/>
            </w:tcBorders>
            <w:vAlign w:val="center"/>
          </w:tcPr>
          <w:p>
            <w:pPr>
              <w:spacing w:line="276" w:lineRule="auto"/>
              <w:rPr>
                <w:bCs/>
                <w:szCs w:val="21"/>
              </w:rPr>
            </w:pPr>
            <w:r>
              <w:rPr>
                <w:bCs/>
                <w:szCs w:val="21"/>
              </w:rPr>
              <w:t>SO</w:t>
            </w:r>
            <w:r>
              <w:rPr>
                <w:bCs/>
                <w:szCs w:val="21"/>
                <w:vertAlign w:val="subscript"/>
              </w:rPr>
              <w:t>2</w:t>
            </w:r>
            <w:r>
              <w:rPr>
                <w:rFonts w:hint="eastAsia"/>
                <w:bCs/>
                <w:szCs w:val="21"/>
              </w:rPr>
              <w:t>、</w:t>
            </w:r>
            <w:r>
              <w:rPr>
                <w:bCs/>
                <w:szCs w:val="21"/>
              </w:rPr>
              <w:t>NO-NO</w:t>
            </w:r>
            <w:r>
              <w:rPr>
                <w:bCs/>
                <w:szCs w:val="21"/>
                <w:vertAlign w:val="subscript"/>
              </w:rPr>
              <w:t>2</w:t>
            </w:r>
            <w:r>
              <w:rPr>
                <w:bCs/>
                <w:szCs w:val="21"/>
              </w:rPr>
              <w:t>-NO</w:t>
            </w:r>
            <w:r>
              <w:rPr>
                <w:bCs/>
                <w:szCs w:val="21"/>
                <w:vertAlign w:val="subscript"/>
              </w:rPr>
              <w:t>X</w:t>
            </w:r>
            <w:r>
              <w:rPr>
                <w:rFonts w:hint="eastAsia"/>
                <w:bCs/>
                <w:szCs w:val="21"/>
              </w:rPr>
              <w:t>、</w:t>
            </w:r>
            <w:r>
              <w:rPr>
                <w:bCs/>
                <w:szCs w:val="21"/>
              </w:rPr>
              <w:t>O</w:t>
            </w:r>
            <w:r>
              <w:rPr>
                <w:bCs/>
                <w:szCs w:val="21"/>
                <w:vertAlign w:val="subscript"/>
              </w:rPr>
              <w:t>3</w:t>
            </w:r>
            <w:r>
              <w:rPr>
                <w:rFonts w:hint="eastAsia"/>
                <w:bCs/>
                <w:szCs w:val="21"/>
              </w:rPr>
              <w:t>、</w:t>
            </w:r>
            <w:r>
              <w:rPr>
                <w:bCs/>
                <w:szCs w:val="21"/>
              </w:rPr>
              <w:t>PM</w:t>
            </w:r>
            <w:r>
              <w:rPr>
                <w:bCs/>
                <w:szCs w:val="21"/>
                <w:vertAlign w:val="subscript"/>
              </w:rPr>
              <w:t>10</w:t>
            </w:r>
            <w:r>
              <w:rPr>
                <w:rFonts w:hint="eastAsia"/>
                <w:bCs/>
                <w:szCs w:val="21"/>
              </w:rPr>
              <w:t>、</w:t>
            </w:r>
            <w:r>
              <w:rPr>
                <w:bCs/>
                <w:szCs w:val="21"/>
              </w:rPr>
              <w:t>PM</w:t>
            </w:r>
            <w:r>
              <w:rPr>
                <w:bCs/>
                <w:szCs w:val="21"/>
                <w:vertAlign w:val="subscript"/>
              </w:rPr>
              <w:t>2.5</w:t>
            </w:r>
            <w:r>
              <w:rPr>
                <w:rFonts w:hint="eastAsia"/>
                <w:bCs/>
                <w:szCs w:val="21"/>
              </w:rPr>
              <w:t>、</w:t>
            </w:r>
            <w:r>
              <w:rPr>
                <w:bCs/>
                <w:szCs w:val="21"/>
              </w:rPr>
              <w:t>VOC</w:t>
            </w:r>
            <w:r>
              <w:rPr>
                <w:bCs/>
                <w:szCs w:val="21"/>
                <w:vertAlign w:val="subscript"/>
              </w:rPr>
              <w: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bCs/>
                <w:szCs w:val="21"/>
              </w:rPr>
            </w:pPr>
          </w:p>
        </w:tc>
        <w:tc>
          <w:tcPr>
            <w:tcW w:w="1843"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bCs/>
                <w:szCs w:val="21"/>
              </w:rPr>
            </w:pPr>
            <w:r>
              <w:rPr>
                <w:rFonts w:hint="eastAsia"/>
                <w:bCs/>
                <w:szCs w:val="21"/>
              </w:rPr>
              <w:t>美国</w:t>
            </w:r>
            <w:r>
              <w:rPr>
                <w:bCs/>
                <w:szCs w:val="21"/>
              </w:rPr>
              <w:t>Lufft</w:t>
            </w:r>
          </w:p>
        </w:tc>
        <w:tc>
          <w:tcPr>
            <w:tcW w:w="4932" w:type="dxa"/>
            <w:tcBorders>
              <w:top w:val="single" w:color="auto" w:sz="4" w:space="0"/>
              <w:left w:val="single" w:color="auto" w:sz="4" w:space="0"/>
              <w:bottom w:val="single" w:color="auto" w:sz="4" w:space="0"/>
              <w:right w:val="single" w:color="auto" w:sz="4" w:space="0"/>
            </w:tcBorders>
            <w:vAlign w:val="center"/>
          </w:tcPr>
          <w:p>
            <w:pPr>
              <w:spacing w:line="276" w:lineRule="auto"/>
              <w:rPr>
                <w:szCs w:val="21"/>
              </w:rPr>
            </w:pPr>
            <w:r>
              <w:rPr>
                <w:rFonts w:hint="eastAsia"/>
                <w:bCs/>
                <w:szCs w:val="21"/>
              </w:rPr>
              <w:t>气象五参数（风向、风速、温度、湿度、气压）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59" w:hRule="atLeast"/>
        </w:trPr>
        <w:tc>
          <w:tcPr>
            <w:tcW w:w="1730" w:type="dxa"/>
            <w:vMerge w:val="restart"/>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color w:val="393939"/>
                <w:szCs w:val="21"/>
                <w:shd w:val="clear" w:color="auto" w:fill="FFFFFF"/>
              </w:rPr>
            </w:pPr>
            <w:r>
              <w:rPr>
                <w:rFonts w:hint="eastAsia" w:ascii="宋体" w:hAnsi="宋体"/>
                <w:color w:val="393939"/>
                <w:szCs w:val="21"/>
                <w:shd w:val="clear" w:color="auto" w:fill="FFFFFF"/>
              </w:rPr>
              <w:t>长安站、</w:t>
            </w:r>
          </w:p>
          <w:p>
            <w:pPr>
              <w:spacing w:line="276" w:lineRule="auto"/>
              <w:rPr>
                <w:rFonts w:ascii="宋体"/>
                <w:color w:val="393939"/>
                <w:szCs w:val="21"/>
                <w:shd w:val="clear" w:color="auto" w:fill="FFFFFF"/>
              </w:rPr>
            </w:pPr>
            <w:r>
              <w:rPr>
                <w:rFonts w:hint="eastAsia" w:ascii="宋体" w:hAnsi="宋体"/>
                <w:color w:val="393939"/>
                <w:szCs w:val="21"/>
                <w:shd w:val="clear" w:color="auto" w:fill="FFFFFF"/>
              </w:rPr>
              <w:t xml:space="preserve"> 青洲路边站</w:t>
            </w:r>
          </w:p>
        </w:tc>
        <w:tc>
          <w:tcPr>
            <w:tcW w:w="1843"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bCs/>
                <w:szCs w:val="21"/>
              </w:rPr>
            </w:pPr>
            <w:r>
              <w:rPr>
                <w:rFonts w:hint="eastAsia"/>
                <w:bCs/>
                <w:szCs w:val="21"/>
              </w:rPr>
              <w:t>美国</w:t>
            </w:r>
            <w:r>
              <w:rPr>
                <w:bCs/>
                <w:szCs w:val="21"/>
              </w:rPr>
              <w:t>Thermo</w:t>
            </w:r>
          </w:p>
        </w:tc>
        <w:tc>
          <w:tcPr>
            <w:tcW w:w="4932" w:type="dxa"/>
            <w:tcBorders>
              <w:top w:val="single" w:color="auto" w:sz="4" w:space="0"/>
              <w:left w:val="single" w:color="auto" w:sz="4" w:space="0"/>
              <w:bottom w:val="single" w:color="auto" w:sz="4" w:space="0"/>
              <w:right w:val="single" w:color="auto" w:sz="4" w:space="0"/>
            </w:tcBorders>
            <w:vAlign w:val="center"/>
          </w:tcPr>
          <w:p>
            <w:pPr>
              <w:spacing w:line="276" w:lineRule="auto"/>
              <w:rPr>
                <w:bCs/>
                <w:szCs w:val="21"/>
              </w:rPr>
            </w:pPr>
            <w:r>
              <w:rPr>
                <w:bCs/>
                <w:szCs w:val="21"/>
              </w:rPr>
              <w:t>SO</w:t>
            </w:r>
            <w:r>
              <w:rPr>
                <w:bCs/>
                <w:szCs w:val="21"/>
                <w:vertAlign w:val="subscript"/>
              </w:rPr>
              <w:t>2</w:t>
            </w:r>
            <w:r>
              <w:rPr>
                <w:rFonts w:hint="eastAsia"/>
                <w:bCs/>
                <w:szCs w:val="21"/>
              </w:rPr>
              <w:t>、</w:t>
            </w:r>
            <w:r>
              <w:rPr>
                <w:bCs/>
                <w:szCs w:val="21"/>
              </w:rPr>
              <w:t>NO-NO</w:t>
            </w:r>
            <w:r>
              <w:rPr>
                <w:bCs/>
                <w:szCs w:val="21"/>
                <w:vertAlign w:val="subscript"/>
              </w:rPr>
              <w:t>2</w:t>
            </w:r>
            <w:r>
              <w:rPr>
                <w:bCs/>
                <w:szCs w:val="21"/>
              </w:rPr>
              <w:t>-NO</w:t>
            </w:r>
            <w:r>
              <w:rPr>
                <w:bCs/>
                <w:szCs w:val="21"/>
                <w:vertAlign w:val="subscript"/>
              </w:rPr>
              <w:t>X</w:t>
            </w:r>
            <w:r>
              <w:rPr>
                <w:rFonts w:hint="eastAsia"/>
                <w:bCs/>
                <w:szCs w:val="21"/>
              </w:rPr>
              <w:t>、</w:t>
            </w:r>
            <w:r>
              <w:rPr>
                <w:bCs/>
                <w:szCs w:val="21"/>
              </w:rPr>
              <w:t>O</w:t>
            </w:r>
            <w:r>
              <w:rPr>
                <w:bCs/>
                <w:szCs w:val="21"/>
                <w:vertAlign w:val="subscript"/>
              </w:rPr>
              <w:t>3</w:t>
            </w:r>
            <w:r>
              <w:rPr>
                <w:rFonts w:hint="eastAsia"/>
                <w:bCs/>
                <w:szCs w:val="21"/>
              </w:rPr>
              <w:t>、</w:t>
            </w:r>
            <w:r>
              <w:rPr>
                <w:bCs/>
                <w:szCs w:val="21"/>
              </w:rPr>
              <w:t>PM</w:t>
            </w:r>
            <w:r>
              <w:rPr>
                <w:bCs/>
                <w:szCs w:val="21"/>
                <w:vertAlign w:val="subscript"/>
              </w:rPr>
              <w:t>10</w:t>
            </w:r>
            <w:r>
              <w:rPr>
                <w:rFonts w:hint="eastAsia"/>
                <w:bCs/>
                <w:szCs w:val="21"/>
              </w:rPr>
              <w:t>、</w:t>
            </w:r>
            <w:r>
              <w:rPr>
                <w:bCs/>
                <w:szCs w:val="21"/>
              </w:rPr>
              <w:t>PM</w:t>
            </w:r>
            <w:r>
              <w:rPr>
                <w:bCs/>
                <w:szCs w:val="21"/>
                <w:vertAlign w:val="subscript"/>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olor w:val="393939"/>
                <w:szCs w:val="21"/>
                <w:shd w:val="clear" w:color="auto" w:fill="FFFFFF"/>
              </w:rPr>
            </w:pPr>
          </w:p>
        </w:tc>
        <w:tc>
          <w:tcPr>
            <w:tcW w:w="1843"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bCs/>
                <w:szCs w:val="21"/>
              </w:rPr>
            </w:pPr>
            <w:r>
              <w:rPr>
                <w:rFonts w:hint="eastAsia"/>
                <w:bCs/>
                <w:szCs w:val="21"/>
              </w:rPr>
              <w:t>美国</w:t>
            </w:r>
            <w:r>
              <w:rPr>
                <w:bCs/>
                <w:szCs w:val="21"/>
              </w:rPr>
              <w:t>Lufft</w:t>
            </w:r>
          </w:p>
        </w:tc>
        <w:tc>
          <w:tcPr>
            <w:tcW w:w="4932" w:type="dxa"/>
            <w:tcBorders>
              <w:top w:val="single" w:color="auto" w:sz="4" w:space="0"/>
              <w:left w:val="single" w:color="auto" w:sz="4" w:space="0"/>
              <w:bottom w:val="single" w:color="auto" w:sz="4" w:space="0"/>
              <w:right w:val="single" w:color="auto" w:sz="4" w:space="0"/>
            </w:tcBorders>
            <w:vAlign w:val="center"/>
          </w:tcPr>
          <w:p>
            <w:pPr>
              <w:spacing w:line="276" w:lineRule="auto"/>
              <w:rPr>
                <w:szCs w:val="21"/>
              </w:rPr>
            </w:pPr>
            <w:r>
              <w:rPr>
                <w:rFonts w:hint="eastAsia"/>
                <w:bCs/>
                <w:szCs w:val="21"/>
              </w:rPr>
              <w:t>气象五参数（风向、风速、温度、湿度、气压）</w:t>
            </w:r>
          </w:p>
        </w:tc>
      </w:tr>
    </w:tbl>
    <w:p>
      <w:pPr>
        <w:pStyle w:val="2"/>
        <w:rPr>
          <w:sz w:val="28"/>
          <w:szCs w:val="28"/>
        </w:rPr>
      </w:pPr>
      <w:bookmarkStart w:id="2" w:name="_Toc455153179"/>
      <w:r>
        <w:rPr>
          <w:rFonts w:hint="eastAsia"/>
          <w:sz w:val="28"/>
          <w:szCs w:val="28"/>
        </w:rPr>
        <w:t>二、</w:t>
      </w:r>
      <w:r>
        <w:rPr>
          <w:rFonts w:hint="eastAsia" w:cs="方正仿宋_GBK"/>
          <w:szCs w:val="21"/>
        </w:rPr>
        <w:t>服务期限：2021年5月15日起至2024年5月14日。</w:t>
      </w:r>
    </w:p>
    <w:p>
      <w:pPr>
        <w:pStyle w:val="2"/>
        <w:rPr>
          <w:sz w:val="28"/>
          <w:szCs w:val="28"/>
        </w:rPr>
      </w:pPr>
      <w:r>
        <w:rPr>
          <w:rFonts w:hint="eastAsia"/>
          <w:sz w:val="28"/>
          <w:szCs w:val="28"/>
        </w:rPr>
        <w:t>三、运维管理服务要求</w:t>
      </w:r>
      <w:bookmarkEnd w:id="2"/>
    </w:p>
    <w:p>
      <w:pPr>
        <w:pStyle w:val="3"/>
        <w:rPr>
          <w:rFonts w:ascii="宋体"/>
          <w:sz w:val="21"/>
          <w:szCs w:val="21"/>
        </w:rPr>
      </w:pPr>
      <w:bookmarkStart w:id="3" w:name="_Toc420511649"/>
      <w:bookmarkStart w:id="4" w:name="_Toc455153180"/>
      <w:r>
        <w:rPr>
          <w:rFonts w:hint="eastAsia" w:ascii="宋体" w:hAnsi="宋体"/>
          <w:sz w:val="21"/>
          <w:szCs w:val="21"/>
        </w:rPr>
        <w:t>（一）总体要求</w:t>
      </w:r>
      <w:bookmarkEnd w:id="3"/>
      <w:bookmarkEnd w:id="4"/>
    </w:p>
    <w:p>
      <w:pPr>
        <w:widowControl/>
        <w:spacing w:line="276" w:lineRule="auto"/>
        <w:ind w:firstLine="420" w:firstLineChars="200"/>
        <w:rPr>
          <w:rFonts w:ascii="宋体"/>
          <w:color w:val="393939"/>
          <w:szCs w:val="21"/>
          <w:shd w:val="clear" w:color="auto" w:fill="FFFFFF"/>
        </w:rPr>
      </w:pPr>
      <w:r>
        <w:rPr>
          <w:rFonts w:hint="eastAsia" w:ascii="宋体" w:hAnsi="宋体"/>
          <w:color w:val="393939"/>
          <w:szCs w:val="21"/>
          <w:shd w:val="clear" w:color="auto" w:fill="FFFFFF"/>
        </w:rPr>
        <w:t>（1）环境空气质量自动监测子站（包括马尾区医院、亭江镇</w:t>
      </w:r>
      <w:r>
        <w:rPr>
          <w:rFonts w:hint="eastAsia" w:ascii="宋体" w:hAnsi="宋体"/>
          <w:color w:val="393939"/>
          <w:szCs w:val="21"/>
          <w:shd w:val="clear" w:color="auto" w:fill="FFFFFF"/>
          <w:lang w:val="en-US" w:eastAsia="zh-CN"/>
        </w:rPr>
        <w:t>政府</w:t>
      </w:r>
      <w:r>
        <w:rPr>
          <w:rFonts w:hint="eastAsia" w:ascii="宋体" w:hAnsi="宋体"/>
          <w:color w:val="393939"/>
          <w:szCs w:val="21"/>
          <w:shd w:val="clear" w:color="auto" w:fill="FFFFFF"/>
        </w:rPr>
        <w:t>、长安、快安、青洲路路边站）、气象分析仪、所有相关空气质量监测设备及其它辅助设备（空调、稳压电源等）、电、网络和联网软件系统进行日常运行、维护、维修、质量保证和校准等技术服务工作。</w:t>
      </w:r>
    </w:p>
    <w:p>
      <w:pPr>
        <w:widowControl/>
        <w:spacing w:line="276" w:lineRule="auto"/>
        <w:ind w:firstLine="420" w:firstLineChars="200"/>
        <w:rPr>
          <w:rFonts w:ascii="宋体"/>
          <w:color w:val="393939"/>
          <w:szCs w:val="21"/>
          <w:shd w:val="clear" w:color="auto" w:fill="FFFFFF"/>
        </w:rPr>
      </w:pPr>
      <w:r>
        <w:rPr>
          <w:rFonts w:hint="eastAsia" w:ascii="宋体" w:hAnsi="宋体"/>
          <w:color w:val="393939"/>
          <w:szCs w:val="21"/>
          <w:shd w:val="clear" w:color="auto" w:fill="FFFFFF"/>
        </w:rPr>
        <w:t>（2）提供所有仪器维护及核查报告。</w:t>
      </w:r>
    </w:p>
    <w:p>
      <w:pPr>
        <w:widowControl/>
        <w:spacing w:line="276" w:lineRule="auto"/>
        <w:ind w:firstLine="420" w:firstLineChars="200"/>
        <w:rPr>
          <w:rFonts w:ascii="宋体"/>
          <w:color w:val="393939"/>
          <w:szCs w:val="21"/>
          <w:shd w:val="clear" w:color="auto" w:fill="FFFFFF"/>
        </w:rPr>
      </w:pPr>
      <w:r>
        <w:rPr>
          <w:rFonts w:hint="eastAsia" w:ascii="宋体" w:hAnsi="宋体"/>
          <w:color w:val="393939"/>
          <w:szCs w:val="21"/>
          <w:shd w:val="clear" w:color="auto" w:fill="FFFFFF"/>
        </w:rPr>
        <w:t>（3）提供所有仪器（不限温湿度计、流量计等）检定或校准、校准所需的标气和校准器，以及臭氧量值传递等量值溯源措施。</w:t>
      </w:r>
    </w:p>
    <w:p>
      <w:pPr>
        <w:widowControl/>
        <w:spacing w:line="276" w:lineRule="auto"/>
        <w:ind w:firstLine="420" w:firstLineChars="200"/>
        <w:rPr>
          <w:rFonts w:ascii="宋体"/>
          <w:color w:val="393939"/>
          <w:szCs w:val="21"/>
          <w:shd w:val="clear" w:color="auto" w:fill="FFFFFF"/>
        </w:rPr>
      </w:pPr>
      <w:r>
        <w:rPr>
          <w:rFonts w:hint="eastAsia" w:ascii="宋体" w:hAnsi="宋体"/>
          <w:color w:val="393939"/>
          <w:szCs w:val="21"/>
          <w:shd w:val="clear" w:color="auto" w:fill="FFFFFF"/>
        </w:rPr>
        <w:t>（4）负责省、市环保部门文件要求的运维站每日的数据审核报送、异常情况报备等上报数据的相关工作，对轻度污染以上的</w:t>
      </w:r>
      <w:r>
        <w:rPr>
          <w:rFonts w:hint="eastAsia" w:ascii="宋体" w:hAnsi="宋体"/>
          <w:szCs w:val="21"/>
        </w:rPr>
        <w:t>天气</w:t>
      </w:r>
      <w:r>
        <w:rPr>
          <w:rFonts w:hint="eastAsia" w:ascii="宋体" w:hAnsi="宋体"/>
          <w:color w:val="393939"/>
          <w:szCs w:val="21"/>
          <w:shd w:val="clear" w:color="auto" w:fill="FFFFFF"/>
        </w:rPr>
        <w:t>及时发布预警预报信息</w:t>
      </w:r>
      <w:r>
        <w:rPr>
          <w:rFonts w:hint="eastAsia" w:ascii="宋体"/>
          <w:color w:val="393939"/>
          <w:szCs w:val="21"/>
          <w:shd w:val="clear" w:color="auto" w:fill="FFFFFF"/>
        </w:rPr>
        <w:t>,</w:t>
      </w:r>
      <w:r>
        <w:rPr>
          <w:rFonts w:hint="eastAsia" w:ascii="宋体" w:hAnsi="宋体"/>
          <w:color w:val="393939"/>
          <w:szCs w:val="21"/>
          <w:shd w:val="clear" w:color="auto" w:fill="FFFFFF"/>
        </w:rPr>
        <w:t>分析原因及趋势。（不限于短信、微信和QQ等方式发送）。</w:t>
      </w:r>
    </w:p>
    <w:p>
      <w:pPr>
        <w:widowControl/>
        <w:spacing w:line="276" w:lineRule="auto"/>
        <w:ind w:firstLine="420" w:firstLineChars="200"/>
        <w:rPr>
          <w:rFonts w:ascii="宋体"/>
          <w:color w:val="393939"/>
          <w:szCs w:val="21"/>
          <w:shd w:val="clear" w:color="auto" w:fill="FFFFFF"/>
        </w:rPr>
      </w:pPr>
      <w:r>
        <w:rPr>
          <w:rFonts w:hint="eastAsia" w:ascii="宋体" w:hAnsi="宋体"/>
          <w:color w:val="393939"/>
          <w:szCs w:val="21"/>
          <w:shd w:val="clear" w:color="auto" w:fill="FFFFFF"/>
        </w:rPr>
        <w:t>（5）上级部门下达的颗粒物手工比对和VOCs采样，以及空气监测相关监时任务。</w:t>
      </w:r>
    </w:p>
    <w:p>
      <w:pPr>
        <w:widowControl/>
        <w:spacing w:line="276" w:lineRule="auto"/>
        <w:ind w:firstLine="420" w:firstLineChars="200"/>
        <w:rPr>
          <w:rFonts w:ascii="宋体"/>
          <w:color w:val="393939"/>
          <w:szCs w:val="21"/>
          <w:shd w:val="clear" w:color="auto" w:fill="FFFFFF"/>
        </w:rPr>
      </w:pPr>
      <w:r>
        <w:rPr>
          <w:rFonts w:hint="eastAsia" w:ascii="宋体" w:hAnsi="宋体"/>
          <w:color w:val="393939"/>
          <w:szCs w:val="21"/>
          <w:shd w:val="clear" w:color="auto" w:fill="FFFFFF"/>
        </w:rPr>
        <w:t>（6）各级部门要求环境空气质量指数、综合指数、排名、均值等数据统计和分析报告(不限于周报、月报和年报等)。</w:t>
      </w:r>
    </w:p>
    <w:p>
      <w:pPr>
        <w:widowControl/>
        <w:spacing w:line="276" w:lineRule="auto"/>
        <w:ind w:firstLine="420" w:firstLineChars="200"/>
        <w:rPr>
          <w:rFonts w:ascii="宋体"/>
          <w:color w:val="393939"/>
          <w:szCs w:val="21"/>
          <w:shd w:val="clear" w:color="auto" w:fill="FFFFFF"/>
        </w:rPr>
      </w:pPr>
      <w:r>
        <w:rPr>
          <w:rFonts w:hint="eastAsia" w:ascii="宋体" w:hAnsi="宋体"/>
          <w:color w:val="393939"/>
          <w:szCs w:val="21"/>
          <w:shd w:val="clear" w:color="auto" w:fill="FFFFFF"/>
        </w:rPr>
        <w:t>（7）按《福建省环境空气自动监测质量现场》（2018年版）表进行自行检查。配合上级部门开展的各类环境空气质量飞行检查。</w:t>
      </w:r>
    </w:p>
    <w:p>
      <w:pPr>
        <w:widowControl/>
        <w:spacing w:line="276" w:lineRule="auto"/>
        <w:ind w:firstLine="420" w:firstLineChars="200"/>
        <w:rPr>
          <w:rFonts w:ascii="宋体"/>
          <w:color w:val="393939"/>
          <w:szCs w:val="21"/>
          <w:shd w:val="clear" w:color="auto" w:fill="FFFFFF"/>
        </w:rPr>
      </w:pPr>
      <w:r>
        <w:rPr>
          <w:rFonts w:hint="eastAsia" w:ascii="宋体" w:hAnsi="宋体"/>
          <w:color w:val="393939"/>
          <w:szCs w:val="21"/>
          <w:shd w:val="clear" w:color="auto" w:fill="FFFFFF"/>
        </w:rPr>
        <w:t>（8）</w:t>
      </w:r>
      <w:r>
        <w:rPr>
          <w:rFonts w:ascii="宋体"/>
          <w:color w:val="393939"/>
          <w:szCs w:val="21"/>
          <w:shd w:val="clear" w:color="auto" w:fill="FFFFFF"/>
        </w:rPr>
        <w:t> </w:t>
      </w:r>
      <w:r>
        <w:rPr>
          <w:rFonts w:hint="eastAsia" w:ascii="宋体" w:hAnsi="宋体"/>
          <w:color w:val="393939"/>
          <w:szCs w:val="21"/>
          <w:shd w:val="clear" w:color="auto" w:fill="FFFFFF"/>
        </w:rPr>
        <w:t>对运维站的土建部分（包括站房、电、防雷设施等）进行日常运行管理和维修维保。</w:t>
      </w:r>
    </w:p>
    <w:p>
      <w:pPr>
        <w:widowControl/>
        <w:spacing w:line="276" w:lineRule="auto"/>
        <w:ind w:firstLine="420" w:firstLineChars="200"/>
        <w:rPr>
          <w:rFonts w:ascii="宋体"/>
          <w:b/>
          <w:bCs/>
          <w:color w:val="393939"/>
          <w:szCs w:val="21"/>
          <w:shd w:val="clear" w:color="auto" w:fill="FFFFFF"/>
        </w:rPr>
      </w:pPr>
      <w:r>
        <w:rPr>
          <w:rFonts w:hint="eastAsia" w:ascii="宋体" w:hAnsi="宋体"/>
          <w:color w:val="393939"/>
          <w:szCs w:val="21"/>
          <w:shd w:val="clear" w:color="auto" w:fill="FFFFFF"/>
        </w:rPr>
        <w:t xml:space="preserve">  </w:t>
      </w:r>
      <w:bookmarkStart w:id="5" w:name="_Toc455153181"/>
      <w:bookmarkStart w:id="6" w:name="_Toc420511650"/>
      <w:r>
        <w:rPr>
          <w:rFonts w:hint="eastAsia" w:ascii="宋体" w:hAnsi="宋体"/>
          <w:b/>
          <w:bCs/>
          <w:color w:val="393939"/>
          <w:szCs w:val="21"/>
          <w:shd w:val="clear" w:color="auto" w:fill="FFFFFF"/>
        </w:rPr>
        <w:t>（二）运行维护工作目标</w:t>
      </w:r>
      <w:bookmarkEnd w:id="5"/>
      <w:bookmarkEnd w:id="6"/>
    </w:p>
    <w:p>
      <w:pPr>
        <w:widowControl/>
        <w:spacing w:line="276" w:lineRule="auto"/>
        <w:ind w:firstLine="420" w:firstLineChars="200"/>
        <w:rPr>
          <w:rFonts w:ascii="宋体"/>
          <w:color w:val="393939"/>
          <w:szCs w:val="21"/>
          <w:shd w:val="clear" w:color="auto" w:fill="FFFFFF"/>
        </w:rPr>
      </w:pPr>
      <w:r>
        <w:rPr>
          <w:rFonts w:hint="eastAsia" w:ascii="宋体" w:hAnsi="宋体"/>
          <w:color w:val="393939"/>
          <w:szCs w:val="21"/>
          <w:shd w:val="clear" w:color="auto" w:fill="FFFFFF"/>
        </w:rPr>
        <w:t>运维单位必须建立完善的的运行维护工作规范与质量管理体系，确保提供及时、准确、有效的监测数据，子站的运行质量应达到以下指标：</w:t>
      </w:r>
    </w:p>
    <w:p>
      <w:pPr>
        <w:widowControl/>
        <w:spacing w:line="276" w:lineRule="auto"/>
        <w:ind w:firstLine="420" w:firstLineChars="200"/>
        <w:rPr>
          <w:rFonts w:ascii="宋体"/>
          <w:color w:val="393939"/>
          <w:szCs w:val="21"/>
          <w:shd w:val="clear" w:color="auto" w:fill="FFFFFF"/>
        </w:rPr>
      </w:pPr>
      <w:r>
        <w:rPr>
          <w:rFonts w:hint="eastAsia" w:ascii="宋体" w:hAnsi="宋体"/>
          <w:color w:val="393939"/>
          <w:szCs w:val="21"/>
          <w:shd w:val="clear" w:color="auto" w:fill="FFFFFF"/>
        </w:rPr>
        <w:t>1、所获取的有效监测数据必须满足</w:t>
      </w:r>
      <w:bookmarkStart w:id="7" w:name="OLE_LINK24"/>
      <w:bookmarkStart w:id="8" w:name="OLE_LINK23"/>
      <w:r>
        <w:rPr>
          <w:rFonts w:hint="eastAsia" w:ascii="宋体" w:hAnsi="宋体"/>
          <w:color w:val="393939"/>
          <w:szCs w:val="21"/>
          <w:shd w:val="clear" w:color="auto" w:fill="FFFFFF"/>
        </w:rPr>
        <w:t>国家《环境空气质量标准》（GB 3095-2012）中规定的污染物浓度数据有效性最低要求</w:t>
      </w:r>
      <w:bookmarkEnd w:id="7"/>
      <w:bookmarkEnd w:id="8"/>
      <w:r>
        <w:rPr>
          <w:rFonts w:hint="eastAsia" w:ascii="宋体" w:hAnsi="宋体"/>
          <w:color w:val="393939"/>
          <w:szCs w:val="21"/>
          <w:shd w:val="clear" w:color="auto" w:fill="FFFFFF"/>
        </w:rPr>
        <w:t>。每个空气自动站每天各监测项目有不少于20个有效小时平均值。每站每月每个污染物有不少于27个(2月份25个)有效日均值，每年有不少于12个有效月均值。</w:t>
      </w:r>
    </w:p>
    <w:p>
      <w:pPr>
        <w:widowControl/>
        <w:spacing w:line="276" w:lineRule="auto"/>
        <w:ind w:firstLine="420" w:firstLineChars="200"/>
        <w:rPr>
          <w:rFonts w:ascii="宋体" w:hAnsi="宋体"/>
          <w:color w:val="393939"/>
          <w:szCs w:val="21"/>
          <w:shd w:val="clear" w:color="auto" w:fill="FFFFFF"/>
        </w:rPr>
      </w:pPr>
      <w:r>
        <w:rPr>
          <w:rFonts w:hint="eastAsia" w:ascii="宋体" w:hAnsi="宋体"/>
          <w:color w:val="393939"/>
          <w:szCs w:val="21"/>
          <w:shd w:val="clear" w:color="auto" w:fill="FFFFFF"/>
        </w:rPr>
        <w:t>2、单站设备（SO2、NO2、CO、O3、PM10、PM2.5）全年数据获取率＞90%</w:t>
      </w:r>
      <w:bookmarkStart w:id="9" w:name="_Toc420511651"/>
      <w:bookmarkStart w:id="10" w:name="_Toc455153182"/>
    </w:p>
    <w:p>
      <w:pPr>
        <w:widowControl/>
        <w:spacing w:line="276" w:lineRule="auto"/>
        <w:ind w:firstLine="422" w:firstLineChars="200"/>
        <w:rPr>
          <w:rFonts w:ascii="宋体"/>
          <w:b/>
          <w:bCs/>
          <w:color w:val="393939"/>
          <w:szCs w:val="21"/>
          <w:shd w:val="clear" w:color="auto" w:fill="FFFFFF"/>
        </w:rPr>
      </w:pPr>
      <w:r>
        <w:rPr>
          <w:rFonts w:hint="eastAsia" w:ascii="宋体" w:hAnsi="宋体"/>
          <w:b/>
          <w:bCs/>
          <w:color w:val="393939"/>
          <w:szCs w:val="21"/>
          <w:shd w:val="clear" w:color="auto" w:fill="FFFFFF"/>
        </w:rPr>
        <w:t>（三）运维工作内容</w:t>
      </w:r>
      <w:bookmarkEnd w:id="9"/>
      <w:bookmarkEnd w:id="10"/>
    </w:p>
    <w:p>
      <w:pPr>
        <w:widowControl/>
        <w:spacing w:line="276" w:lineRule="auto"/>
        <w:ind w:firstLine="420" w:firstLineChars="200"/>
        <w:rPr>
          <w:rFonts w:ascii="宋体"/>
          <w:color w:val="393939"/>
          <w:szCs w:val="21"/>
          <w:shd w:val="clear" w:color="auto" w:fill="FFFFFF"/>
        </w:rPr>
      </w:pPr>
      <w:r>
        <w:rPr>
          <w:rFonts w:hint="eastAsia" w:ascii="宋体" w:hAnsi="宋体"/>
          <w:color w:val="393939"/>
          <w:szCs w:val="21"/>
          <w:shd w:val="clear" w:color="auto" w:fill="FFFFFF"/>
        </w:rPr>
        <w:t>运维过程中主要完成以下工作：</w:t>
      </w:r>
    </w:p>
    <w:p>
      <w:pPr>
        <w:widowControl/>
        <w:spacing w:line="276" w:lineRule="auto"/>
        <w:ind w:firstLine="420" w:firstLineChars="200"/>
        <w:rPr>
          <w:rFonts w:ascii="宋体"/>
          <w:color w:val="393939"/>
          <w:szCs w:val="21"/>
          <w:shd w:val="clear" w:color="auto" w:fill="FFFFFF"/>
        </w:rPr>
      </w:pPr>
      <w:r>
        <w:rPr>
          <w:rFonts w:hint="eastAsia" w:ascii="宋体" w:hAnsi="宋体"/>
          <w:color w:val="393939"/>
          <w:szCs w:val="21"/>
          <w:shd w:val="clear" w:color="auto" w:fill="FFFFFF"/>
        </w:rPr>
        <w:t>（1）环境空气监测系统的日常运行维护；</w:t>
      </w:r>
    </w:p>
    <w:p>
      <w:pPr>
        <w:widowControl/>
        <w:spacing w:line="276" w:lineRule="auto"/>
        <w:ind w:firstLine="420" w:firstLineChars="200"/>
        <w:rPr>
          <w:rFonts w:ascii="宋体"/>
          <w:color w:val="393939"/>
          <w:szCs w:val="21"/>
          <w:shd w:val="clear" w:color="auto" w:fill="FFFFFF"/>
        </w:rPr>
      </w:pPr>
      <w:r>
        <w:rPr>
          <w:rFonts w:hint="eastAsia" w:ascii="宋体" w:hAnsi="宋体"/>
          <w:color w:val="393939"/>
          <w:szCs w:val="21"/>
          <w:shd w:val="clear" w:color="auto" w:fill="FFFFFF"/>
        </w:rPr>
        <w:t>（2）环境空气监测系统质量管理；</w:t>
      </w:r>
    </w:p>
    <w:p>
      <w:pPr>
        <w:widowControl/>
        <w:spacing w:line="276" w:lineRule="auto"/>
        <w:ind w:firstLine="420" w:firstLineChars="200"/>
        <w:rPr>
          <w:rFonts w:ascii="宋体"/>
          <w:color w:val="393939"/>
          <w:szCs w:val="21"/>
          <w:shd w:val="clear" w:color="auto" w:fill="FFFFFF"/>
        </w:rPr>
      </w:pPr>
      <w:r>
        <w:rPr>
          <w:rFonts w:hint="eastAsia" w:ascii="宋体" w:hAnsi="宋体"/>
          <w:color w:val="393939"/>
          <w:szCs w:val="21"/>
          <w:shd w:val="clear" w:color="auto" w:fill="FFFFFF"/>
        </w:rPr>
        <w:t>（3）环境空气监测系统的日常安全管理；</w:t>
      </w:r>
    </w:p>
    <w:p>
      <w:pPr>
        <w:widowControl/>
        <w:spacing w:line="276" w:lineRule="auto"/>
        <w:ind w:firstLine="420" w:firstLineChars="200"/>
        <w:rPr>
          <w:rFonts w:ascii="宋体"/>
          <w:color w:val="393939"/>
          <w:szCs w:val="21"/>
          <w:shd w:val="clear" w:color="auto" w:fill="FFFFFF"/>
        </w:rPr>
      </w:pPr>
      <w:r>
        <w:rPr>
          <w:rFonts w:hint="eastAsia" w:ascii="宋体" w:hAnsi="宋体"/>
          <w:color w:val="393939"/>
          <w:szCs w:val="21"/>
          <w:shd w:val="clear" w:color="auto" w:fill="FFFFFF"/>
        </w:rPr>
        <w:t>（4）环境空气监测系统监测数据的日常审核、上报；</w:t>
      </w:r>
    </w:p>
    <w:p>
      <w:pPr>
        <w:widowControl/>
        <w:spacing w:line="276" w:lineRule="auto"/>
        <w:ind w:firstLine="420" w:firstLineChars="200"/>
        <w:rPr>
          <w:rFonts w:ascii="宋体"/>
          <w:color w:val="393939"/>
          <w:szCs w:val="21"/>
          <w:shd w:val="clear" w:color="auto" w:fill="FFFFFF"/>
        </w:rPr>
      </w:pPr>
      <w:r>
        <w:rPr>
          <w:rFonts w:hint="eastAsia" w:ascii="宋体" w:hAnsi="宋体"/>
          <w:color w:val="393939"/>
          <w:szCs w:val="21"/>
          <w:shd w:val="clear" w:color="auto" w:fill="FFFFFF"/>
        </w:rPr>
        <w:t>（5）环境空气监测系统的设备维护保养及维修；</w:t>
      </w:r>
    </w:p>
    <w:p>
      <w:pPr>
        <w:widowControl/>
        <w:spacing w:line="276" w:lineRule="auto"/>
        <w:ind w:firstLine="420" w:firstLineChars="200"/>
        <w:rPr>
          <w:rFonts w:ascii="宋体"/>
          <w:color w:val="393939"/>
          <w:szCs w:val="21"/>
          <w:shd w:val="clear" w:color="auto" w:fill="FFFFFF"/>
        </w:rPr>
      </w:pPr>
      <w:r>
        <w:rPr>
          <w:rFonts w:hint="eastAsia" w:ascii="宋体" w:hAnsi="宋体"/>
          <w:color w:val="393939"/>
          <w:szCs w:val="21"/>
          <w:shd w:val="clear" w:color="auto" w:fill="FFFFFF"/>
        </w:rPr>
        <w:t>（6）环境空气监测系统相关辅助设施的维护、保养、维修。</w:t>
      </w:r>
    </w:p>
    <w:p>
      <w:pPr>
        <w:widowControl/>
        <w:spacing w:line="276" w:lineRule="auto"/>
        <w:ind w:firstLine="420" w:firstLineChars="200"/>
        <w:rPr>
          <w:rFonts w:ascii="宋体"/>
          <w:color w:val="393939"/>
          <w:szCs w:val="21"/>
          <w:shd w:val="clear" w:color="auto" w:fill="FFFFFF"/>
        </w:rPr>
      </w:pPr>
      <w:r>
        <w:rPr>
          <w:rFonts w:hint="eastAsia" w:ascii="宋体" w:hAnsi="宋体"/>
          <w:color w:val="393939"/>
          <w:szCs w:val="21"/>
          <w:shd w:val="clear" w:color="auto" w:fill="FFFFFF"/>
        </w:rPr>
        <w:t>（7）环境空气监测系统数据采集及传输系统的维护及维修。</w:t>
      </w:r>
      <w:bookmarkStart w:id="11" w:name="_Toc420511652"/>
      <w:bookmarkStart w:id="12" w:name="_Toc455153183"/>
    </w:p>
    <w:p>
      <w:pPr>
        <w:widowControl/>
        <w:spacing w:line="276" w:lineRule="auto"/>
        <w:ind w:firstLine="420" w:firstLineChars="200"/>
        <w:rPr>
          <w:rFonts w:ascii="宋体"/>
          <w:color w:val="393939"/>
          <w:szCs w:val="21"/>
          <w:shd w:val="clear" w:color="auto" w:fill="FFFFFF"/>
        </w:rPr>
      </w:pPr>
      <w:r>
        <w:rPr>
          <w:rFonts w:hint="eastAsia" w:ascii="宋体" w:hAnsi="宋体"/>
          <w:color w:val="393939"/>
          <w:szCs w:val="21"/>
          <w:shd w:val="clear" w:color="auto" w:fill="FFFFFF"/>
        </w:rPr>
        <w:t>（四）运维工作要求</w:t>
      </w:r>
      <w:bookmarkEnd w:id="11"/>
      <w:bookmarkEnd w:id="12"/>
    </w:p>
    <w:p>
      <w:pPr>
        <w:widowControl/>
        <w:spacing w:line="276" w:lineRule="auto"/>
        <w:ind w:firstLine="420" w:firstLineChars="200"/>
        <w:rPr>
          <w:rFonts w:ascii="宋体"/>
          <w:color w:val="393939"/>
          <w:szCs w:val="21"/>
          <w:shd w:val="clear" w:color="auto" w:fill="FFFFFF"/>
        </w:rPr>
      </w:pPr>
      <w:r>
        <w:rPr>
          <w:rFonts w:hint="eastAsia" w:ascii="宋体" w:hAnsi="宋体"/>
          <w:color w:val="393939"/>
          <w:szCs w:val="21"/>
          <w:shd w:val="clear" w:color="auto" w:fill="FFFFFF"/>
        </w:rPr>
        <w:t>中标人提供专业的维修、维护保养服务，执行中华人民共和国环境保护行业标准《环境空气气态污染物（SO2、NO2、O3、CO ）连续自动监测系统验收技术规范 HJ193 2013》、《环境空气颗粒物（PM10和PM2.5）连续自动监测系统安装和验收技术规范 HJ655 2013》、《环境空气颗粒物（PM10和PM2.5）连续自动监测系统运行和质控技术规范 HJ817 2018》、《国家环境空气质量监测城市自动监测站运行管理暂行规定》(总站2013版)、《国家环境空气质量监测网城市站运行管理实施细则（试行）》（国家环保部2017年）和《环境空气气态污染物（SO2、NO2、O3、CO ）连续自动监测系统运行和质控技术规范 HJ818 2018》的要求，同时也要执行福建省环保厅、福州市环境监测中心站的相关技术规范要求。在委托运行管理及维修期间本着为采购人负责的精神，依照规范，科学管理，使各空气站系统及仪表运行达到国家及行业颁布的技术标准和考核指标要求；既要及时维修空气站系统和仪表的故障，更要防范和减少故障，使各空气站真正发挥其效能和作用，确保监测数据及时、科学和准确。</w:t>
      </w:r>
    </w:p>
    <w:p>
      <w:pPr>
        <w:widowControl/>
        <w:spacing w:line="276" w:lineRule="auto"/>
        <w:ind w:firstLine="420" w:firstLineChars="200"/>
        <w:rPr>
          <w:rFonts w:ascii="宋体"/>
          <w:color w:val="393939"/>
          <w:szCs w:val="21"/>
          <w:shd w:val="clear" w:color="auto" w:fill="FFFFFF"/>
        </w:rPr>
      </w:pPr>
      <w:r>
        <w:rPr>
          <w:rFonts w:hint="eastAsia" w:ascii="宋体" w:hAnsi="宋体"/>
          <w:color w:val="393939"/>
          <w:szCs w:val="21"/>
          <w:shd w:val="clear" w:color="auto" w:fill="FFFFFF"/>
        </w:rPr>
        <w:t>财产保护：委托运行管理及维修的全部资产（包括全部产权和建筑物、设备及配套设施）属采购人所有。未经采购人同意，中标人不得以任何方式对各类财产进行出售、抵押或转移；同时，在委托运行管理及维修期间，中标人有责任保证上述全部资产的完整、安全并处于良好状态。</w:t>
      </w:r>
    </w:p>
    <w:p>
      <w:pPr>
        <w:widowControl/>
        <w:spacing w:line="276" w:lineRule="auto"/>
        <w:ind w:firstLine="422" w:firstLineChars="200"/>
        <w:rPr>
          <w:rFonts w:ascii="宋体"/>
          <w:b/>
          <w:bCs/>
          <w:color w:val="393939"/>
          <w:szCs w:val="21"/>
          <w:shd w:val="clear" w:color="auto" w:fill="FFFFFF"/>
        </w:rPr>
      </w:pPr>
      <w:bookmarkStart w:id="13" w:name="_Toc420511653"/>
      <w:r>
        <w:rPr>
          <w:rFonts w:hint="eastAsia" w:ascii="宋体" w:hAnsi="宋体"/>
          <w:b/>
          <w:bCs/>
          <w:color w:val="393939"/>
          <w:szCs w:val="21"/>
          <w:shd w:val="clear" w:color="auto" w:fill="FFFFFF"/>
        </w:rPr>
        <w:t>1、每日远程检查</w:t>
      </w:r>
      <w:bookmarkEnd w:id="13"/>
    </w:p>
    <w:p>
      <w:pPr>
        <w:widowControl/>
        <w:spacing w:line="276" w:lineRule="auto"/>
        <w:ind w:firstLine="420" w:firstLineChars="200"/>
        <w:rPr>
          <w:rFonts w:ascii="宋体"/>
          <w:color w:val="393939"/>
          <w:szCs w:val="21"/>
          <w:shd w:val="clear" w:color="auto" w:fill="FFFFFF"/>
        </w:rPr>
      </w:pPr>
      <w:r>
        <w:rPr>
          <w:rFonts w:hint="eastAsia" w:ascii="宋体" w:hAnsi="宋体"/>
          <w:color w:val="393939"/>
          <w:szCs w:val="21"/>
          <w:shd w:val="clear" w:color="auto" w:fill="FFFFFF"/>
        </w:rPr>
        <w:t>8:00-22:00内至少每两小时远程查看一次监测数据，分析监测数据异常情况，对站点运行情况进行远程诊断和运行管理，同时做好记录，内容包括：</w:t>
      </w:r>
    </w:p>
    <w:p>
      <w:pPr>
        <w:widowControl/>
        <w:spacing w:line="276" w:lineRule="auto"/>
        <w:ind w:firstLine="420" w:firstLineChars="200"/>
        <w:rPr>
          <w:rFonts w:ascii="宋体"/>
          <w:color w:val="393939"/>
          <w:szCs w:val="21"/>
          <w:shd w:val="clear" w:color="auto" w:fill="FFFFFF"/>
        </w:rPr>
      </w:pPr>
      <w:r>
        <w:rPr>
          <w:rFonts w:hint="eastAsia" w:ascii="宋体" w:hAnsi="宋体"/>
          <w:color w:val="393939"/>
          <w:szCs w:val="21"/>
          <w:shd w:val="clear" w:color="auto" w:fill="FFFFFF"/>
        </w:rPr>
        <w:t>（1）查看站点数据传输情况；</w:t>
      </w:r>
    </w:p>
    <w:p>
      <w:pPr>
        <w:widowControl/>
        <w:spacing w:line="276" w:lineRule="auto"/>
        <w:ind w:firstLine="420" w:firstLineChars="200"/>
        <w:rPr>
          <w:rFonts w:ascii="宋体"/>
          <w:color w:val="393939"/>
          <w:szCs w:val="21"/>
          <w:shd w:val="clear" w:color="auto" w:fill="FFFFFF"/>
        </w:rPr>
      </w:pPr>
      <w:r>
        <w:rPr>
          <w:rFonts w:hint="eastAsia" w:ascii="宋体" w:hAnsi="宋体"/>
          <w:color w:val="393939"/>
          <w:szCs w:val="21"/>
          <w:shd w:val="clear" w:color="auto" w:fill="FFFFFF"/>
        </w:rPr>
        <w:t>（2）根据仪器运行状态参数判断仪器运行是否正常；</w:t>
      </w:r>
    </w:p>
    <w:p>
      <w:pPr>
        <w:widowControl/>
        <w:spacing w:line="276" w:lineRule="auto"/>
        <w:ind w:firstLine="420" w:firstLineChars="200"/>
        <w:rPr>
          <w:rFonts w:ascii="宋体"/>
          <w:color w:val="393939"/>
          <w:szCs w:val="21"/>
          <w:shd w:val="clear" w:color="auto" w:fill="FFFFFF"/>
        </w:rPr>
      </w:pPr>
      <w:r>
        <w:rPr>
          <w:rFonts w:hint="eastAsia" w:ascii="宋体" w:hAnsi="宋体"/>
          <w:color w:val="393939"/>
          <w:szCs w:val="21"/>
          <w:shd w:val="clear" w:color="auto" w:fill="FFFFFF"/>
        </w:rPr>
        <w:t>（3）发现运行数据有持续异常值时，应立即通知委托方管理人员，并做好相应记录，经共同讨论研判后决定是否派运维人员奔赴现场查看。</w:t>
      </w:r>
    </w:p>
    <w:p>
      <w:pPr>
        <w:widowControl/>
        <w:spacing w:line="276" w:lineRule="auto"/>
        <w:ind w:firstLine="420" w:firstLineChars="200"/>
        <w:rPr>
          <w:rFonts w:ascii="宋体" w:hAnsi="宋体"/>
          <w:color w:val="393939"/>
          <w:szCs w:val="21"/>
          <w:shd w:val="clear" w:color="auto" w:fill="FFFFFF"/>
        </w:rPr>
      </w:pPr>
      <w:r>
        <w:rPr>
          <w:rFonts w:hint="eastAsia" w:ascii="宋体" w:hAnsi="宋体"/>
          <w:color w:val="393939"/>
          <w:szCs w:val="21"/>
          <w:shd w:val="clear" w:color="auto" w:fill="FFFFFF"/>
        </w:rPr>
        <w:t xml:space="preserve">（4） VOCs分析仪应每天远程检查仪器峰窗漂移情况。 </w:t>
      </w:r>
    </w:p>
    <w:p>
      <w:pPr>
        <w:widowControl/>
        <w:spacing w:line="276" w:lineRule="auto"/>
        <w:ind w:firstLine="422" w:firstLineChars="200"/>
        <w:rPr>
          <w:rFonts w:ascii="宋体"/>
          <w:b/>
          <w:bCs/>
          <w:color w:val="393939"/>
          <w:szCs w:val="21"/>
          <w:shd w:val="clear" w:color="auto" w:fill="FFFFFF"/>
        </w:rPr>
      </w:pPr>
      <w:r>
        <w:rPr>
          <w:rFonts w:hint="eastAsia" w:ascii="宋体" w:hAnsi="宋体"/>
          <w:b/>
          <w:bCs/>
          <w:color w:val="393939"/>
          <w:szCs w:val="21"/>
          <w:shd w:val="clear" w:color="auto" w:fill="FFFFFF"/>
        </w:rPr>
        <w:t>2、每周巡检</w:t>
      </w:r>
    </w:p>
    <w:p>
      <w:pPr>
        <w:widowControl/>
        <w:spacing w:line="276" w:lineRule="auto"/>
        <w:ind w:firstLine="420" w:firstLineChars="200"/>
        <w:rPr>
          <w:rFonts w:ascii="宋体"/>
          <w:color w:val="393939"/>
          <w:szCs w:val="21"/>
          <w:shd w:val="clear" w:color="auto" w:fill="FFFFFF"/>
        </w:rPr>
      </w:pPr>
      <w:r>
        <w:rPr>
          <w:rFonts w:hint="eastAsia" w:ascii="宋体" w:hAnsi="宋体"/>
          <w:color w:val="393939"/>
          <w:szCs w:val="21"/>
          <w:shd w:val="clear" w:color="auto" w:fill="FFFFFF"/>
        </w:rPr>
        <w:t>运维人员每周至少巡检空气自动监测站1次，并做好巡查记录，主要工作包括站房基本功能检查、监测仪运行参数检查和维护等、安全检查和卫生打扫。</w:t>
      </w:r>
    </w:p>
    <w:p>
      <w:pPr>
        <w:widowControl/>
        <w:spacing w:line="276" w:lineRule="auto"/>
        <w:ind w:firstLine="420" w:firstLineChars="200"/>
        <w:rPr>
          <w:rFonts w:ascii="宋体"/>
          <w:color w:val="393939"/>
          <w:szCs w:val="21"/>
          <w:shd w:val="clear" w:color="auto" w:fill="FFFFFF"/>
        </w:rPr>
      </w:pPr>
      <w:r>
        <w:rPr>
          <w:rFonts w:hint="eastAsia" w:ascii="宋体" w:hAnsi="宋体"/>
          <w:color w:val="393939"/>
          <w:szCs w:val="21"/>
          <w:shd w:val="clear" w:color="auto" w:fill="FFFFFF"/>
        </w:rPr>
        <w:t>2.1站房基本功能及安全检查</w:t>
      </w:r>
    </w:p>
    <w:p>
      <w:pPr>
        <w:widowControl/>
        <w:spacing w:line="276" w:lineRule="auto"/>
        <w:ind w:firstLine="420" w:firstLineChars="200"/>
        <w:rPr>
          <w:rFonts w:ascii="宋体"/>
          <w:color w:val="393939"/>
          <w:szCs w:val="21"/>
          <w:shd w:val="clear" w:color="auto" w:fill="FFFFFF"/>
        </w:rPr>
      </w:pPr>
      <w:r>
        <w:rPr>
          <w:rFonts w:hint="eastAsia" w:ascii="宋体" w:hAnsi="宋体"/>
          <w:color w:val="393939"/>
          <w:szCs w:val="21"/>
          <w:shd w:val="clear" w:color="auto" w:fill="FFFFFF"/>
        </w:rPr>
        <w:t>运维人员进入站房后，应对站点内外环境及站房基本功能是否正常做出检查，并填写相关记录：</w:t>
      </w:r>
    </w:p>
    <w:p>
      <w:pPr>
        <w:widowControl/>
        <w:spacing w:line="276" w:lineRule="auto"/>
        <w:ind w:firstLine="420" w:firstLineChars="200"/>
        <w:rPr>
          <w:rFonts w:ascii="宋体"/>
          <w:color w:val="393939"/>
          <w:szCs w:val="21"/>
          <w:shd w:val="clear" w:color="auto" w:fill="FFFFFF"/>
        </w:rPr>
      </w:pPr>
      <w:r>
        <w:rPr>
          <w:rFonts w:hint="eastAsia" w:ascii="宋体" w:hAnsi="宋体"/>
          <w:color w:val="393939"/>
          <w:szCs w:val="21"/>
          <w:shd w:val="clear" w:color="auto" w:fill="FFFFFF"/>
        </w:rPr>
        <w:t>(1)门锁是否正常；</w:t>
      </w:r>
    </w:p>
    <w:p>
      <w:pPr>
        <w:widowControl/>
        <w:spacing w:line="276" w:lineRule="auto"/>
        <w:ind w:firstLine="420" w:firstLineChars="200"/>
        <w:rPr>
          <w:rFonts w:ascii="宋体"/>
          <w:color w:val="393939"/>
          <w:szCs w:val="21"/>
          <w:shd w:val="clear" w:color="auto" w:fill="FFFFFF"/>
        </w:rPr>
      </w:pPr>
      <w:r>
        <w:rPr>
          <w:rFonts w:hint="eastAsia" w:ascii="宋体" w:hAnsi="宋体"/>
          <w:color w:val="393939"/>
          <w:szCs w:val="21"/>
          <w:shd w:val="clear" w:color="auto" w:fill="FFFFFF"/>
        </w:rPr>
        <w:t>(2)站房照明系统是否正常；</w:t>
      </w:r>
    </w:p>
    <w:p>
      <w:pPr>
        <w:widowControl/>
        <w:spacing w:line="276" w:lineRule="auto"/>
        <w:ind w:firstLine="420" w:firstLineChars="200"/>
        <w:rPr>
          <w:rFonts w:ascii="宋体"/>
          <w:color w:val="393939"/>
          <w:szCs w:val="21"/>
          <w:shd w:val="clear" w:color="auto" w:fill="FFFFFF"/>
        </w:rPr>
      </w:pPr>
      <w:r>
        <w:rPr>
          <w:rFonts w:hint="eastAsia" w:ascii="宋体" w:hAnsi="宋体"/>
          <w:color w:val="393939"/>
          <w:szCs w:val="21"/>
          <w:shd w:val="clear" w:color="auto" w:fill="FFFFFF"/>
        </w:rPr>
        <w:t>(3)室内温湿度是否正常；</w:t>
      </w:r>
    </w:p>
    <w:p>
      <w:pPr>
        <w:widowControl/>
        <w:spacing w:line="276" w:lineRule="auto"/>
        <w:ind w:firstLine="420" w:firstLineChars="200"/>
        <w:rPr>
          <w:rFonts w:ascii="宋体"/>
          <w:color w:val="393939"/>
          <w:szCs w:val="21"/>
          <w:shd w:val="clear" w:color="auto" w:fill="FFFFFF"/>
        </w:rPr>
      </w:pPr>
      <w:r>
        <w:rPr>
          <w:rFonts w:hint="eastAsia" w:ascii="宋体" w:hAnsi="宋体"/>
          <w:color w:val="393939"/>
          <w:szCs w:val="21"/>
          <w:shd w:val="clear" w:color="auto" w:fill="FFFFFF"/>
        </w:rPr>
        <w:t>(4)站房有无漏水、破损现象；</w:t>
      </w:r>
    </w:p>
    <w:p>
      <w:pPr>
        <w:widowControl/>
        <w:spacing w:line="276" w:lineRule="auto"/>
        <w:ind w:firstLine="420" w:firstLineChars="200"/>
        <w:rPr>
          <w:rFonts w:ascii="宋体"/>
          <w:color w:val="393939"/>
          <w:szCs w:val="21"/>
          <w:shd w:val="clear" w:color="auto" w:fill="FFFFFF"/>
        </w:rPr>
      </w:pPr>
      <w:r>
        <w:rPr>
          <w:rFonts w:hint="eastAsia" w:ascii="宋体" w:hAnsi="宋体"/>
          <w:color w:val="393939"/>
          <w:szCs w:val="21"/>
          <w:shd w:val="clear" w:color="auto" w:fill="FFFFFF"/>
        </w:rPr>
        <w:t>(5)检查供电情况，保证系统的正常运行，并应记录用电度数；</w:t>
      </w:r>
    </w:p>
    <w:p>
      <w:pPr>
        <w:widowControl/>
        <w:spacing w:line="276" w:lineRule="auto"/>
        <w:ind w:firstLine="420" w:firstLineChars="200"/>
        <w:rPr>
          <w:rFonts w:ascii="宋体"/>
          <w:color w:val="393939"/>
          <w:szCs w:val="21"/>
          <w:shd w:val="clear" w:color="auto" w:fill="FFFFFF"/>
        </w:rPr>
      </w:pPr>
      <w:r>
        <w:rPr>
          <w:rFonts w:hint="eastAsia" w:ascii="宋体" w:hAnsi="宋体"/>
          <w:color w:val="393939"/>
          <w:szCs w:val="21"/>
          <w:shd w:val="clear" w:color="auto" w:fill="FFFFFF"/>
        </w:rPr>
        <w:t>(6)检查排气扇是否正常运转、废气排放口管线等是否正常；</w:t>
      </w:r>
    </w:p>
    <w:p>
      <w:pPr>
        <w:widowControl/>
        <w:spacing w:line="276" w:lineRule="auto"/>
        <w:ind w:firstLine="420" w:firstLineChars="200"/>
        <w:rPr>
          <w:rFonts w:ascii="宋体"/>
          <w:color w:val="393939"/>
          <w:szCs w:val="21"/>
          <w:shd w:val="clear" w:color="auto" w:fill="FFFFFF"/>
        </w:rPr>
      </w:pPr>
      <w:r>
        <w:rPr>
          <w:rFonts w:hint="eastAsia" w:ascii="宋体" w:hAnsi="宋体"/>
          <w:color w:val="393939"/>
          <w:szCs w:val="21"/>
          <w:shd w:val="clear" w:color="auto" w:fill="FFFFFF"/>
        </w:rPr>
        <w:t>(7)检查文件（包括维护报表及操作手册）是否归定位；</w:t>
      </w:r>
    </w:p>
    <w:p>
      <w:pPr>
        <w:widowControl/>
        <w:spacing w:line="276" w:lineRule="auto"/>
        <w:ind w:firstLine="420" w:firstLineChars="200"/>
        <w:rPr>
          <w:rFonts w:ascii="宋体"/>
          <w:color w:val="393939"/>
          <w:szCs w:val="21"/>
          <w:shd w:val="clear" w:color="auto" w:fill="FFFFFF"/>
        </w:rPr>
      </w:pPr>
      <w:r>
        <w:rPr>
          <w:rFonts w:hint="eastAsia" w:ascii="宋体" w:hAnsi="宋体"/>
          <w:color w:val="393939"/>
          <w:szCs w:val="21"/>
          <w:shd w:val="clear" w:color="auto" w:fill="FFFFFF"/>
        </w:rPr>
        <w:t>(8)避雷及设备接地系统缆线固定是否牢固；</w:t>
      </w:r>
    </w:p>
    <w:p>
      <w:pPr>
        <w:widowControl/>
        <w:spacing w:line="276" w:lineRule="auto"/>
        <w:ind w:firstLine="420" w:firstLineChars="200"/>
        <w:rPr>
          <w:rFonts w:ascii="宋体"/>
          <w:color w:val="393939"/>
          <w:szCs w:val="21"/>
          <w:shd w:val="clear" w:color="auto" w:fill="FFFFFF"/>
        </w:rPr>
      </w:pPr>
      <w:r>
        <w:rPr>
          <w:rFonts w:hint="eastAsia" w:ascii="宋体" w:hAnsi="宋体"/>
          <w:color w:val="393939"/>
          <w:szCs w:val="21"/>
          <w:shd w:val="clear" w:color="auto" w:fill="FFFFFF"/>
        </w:rPr>
        <w:t>(9)站房外爬梯是否牢固，爬梯护栏有无生锈情况；</w:t>
      </w:r>
    </w:p>
    <w:p>
      <w:pPr>
        <w:widowControl/>
        <w:spacing w:line="276" w:lineRule="auto"/>
        <w:ind w:firstLine="420" w:firstLineChars="200"/>
        <w:rPr>
          <w:rFonts w:ascii="宋体"/>
          <w:color w:val="393939"/>
          <w:szCs w:val="21"/>
          <w:shd w:val="clear" w:color="auto" w:fill="FFFFFF"/>
        </w:rPr>
      </w:pPr>
      <w:r>
        <w:rPr>
          <w:rFonts w:hint="eastAsia" w:ascii="宋体" w:hAnsi="宋体"/>
          <w:color w:val="393939"/>
          <w:szCs w:val="21"/>
          <w:shd w:val="clear" w:color="auto" w:fill="FFFFFF"/>
        </w:rPr>
        <w:t>(10)站点周边有无新增或减少污染源（建筑工地、烟囱等）；</w:t>
      </w:r>
    </w:p>
    <w:p>
      <w:pPr>
        <w:widowControl/>
        <w:spacing w:line="276" w:lineRule="auto"/>
        <w:ind w:firstLine="420" w:firstLineChars="200"/>
        <w:rPr>
          <w:rFonts w:ascii="宋体"/>
          <w:color w:val="393939"/>
          <w:szCs w:val="21"/>
          <w:shd w:val="clear" w:color="auto" w:fill="FFFFFF"/>
        </w:rPr>
      </w:pPr>
      <w:r>
        <w:rPr>
          <w:rFonts w:hint="eastAsia" w:ascii="宋体" w:hAnsi="宋体"/>
          <w:color w:val="393939"/>
          <w:szCs w:val="21"/>
          <w:shd w:val="clear" w:color="auto" w:fill="FFFFFF"/>
        </w:rPr>
        <w:t>(11)灭火器等安全设施是否在有效期内，压力是否正常。</w:t>
      </w:r>
    </w:p>
    <w:p>
      <w:pPr>
        <w:widowControl/>
        <w:spacing w:line="276" w:lineRule="auto"/>
        <w:ind w:firstLine="420" w:firstLineChars="200"/>
        <w:rPr>
          <w:rFonts w:ascii="宋体"/>
          <w:color w:val="393939"/>
          <w:szCs w:val="21"/>
          <w:shd w:val="clear" w:color="auto" w:fill="FFFFFF"/>
        </w:rPr>
      </w:pPr>
      <w:r>
        <w:rPr>
          <w:rFonts w:hint="eastAsia" w:ascii="宋体" w:hAnsi="宋体"/>
          <w:color w:val="393939"/>
          <w:szCs w:val="21"/>
          <w:shd w:val="clear" w:color="auto" w:fill="FFFFFF"/>
        </w:rPr>
        <w:t>2.2仪器设备功能参数检查及维护</w:t>
      </w:r>
    </w:p>
    <w:p>
      <w:pPr>
        <w:widowControl/>
        <w:spacing w:line="276" w:lineRule="auto"/>
        <w:ind w:firstLine="420" w:firstLineChars="200"/>
        <w:rPr>
          <w:rFonts w:ascii="宋体"/>
          <w:color w:val="393939"/>
          <w:szCs w:val="21"/>
          <w:shd w:val="clear" w:color="auto" w:fill="FFFFFF"/>
        </w:rPr>
      </w:pPr>
      <w:r>
        <w:rPr>
          <w:rFonts w:hint="eastAsia" w:ascii="宋体" w:hAnsi="宋体"/>
          <w:color w:val="393939"/>
          <w:szCs w:val="21"/>
          <w:shd w:val="clear" w:color="auto" w:fill="FFFFFF"/>
        </w:rPr>
        <w:t>运维人员应对各仪器设备参数进行检查每周工作内容如下：</w:t>
      </w:r>
    </w:p>
    <w:p>
      <w:pPr>
        <w:widowControl/>
        <w:spacing w:line="276" w:lineRule="auto"/>
        <w:ind w:firstLine="420" w:firstLineChars="200"/>
        <w:rPr>
          <w:rFonts w:ascii="宋体"/>
          <w:color w:val="393939"/>
          <w:szCs w:val="21"/>
          <w:shd w:val="clear" w:color="auto" w:fill="FFFFFF"/>
        </w:rPr>
      </w:pPr>
      <w:r>
        <w:rPr>
          <w:rFonts w:hint="eastAsia" w:ascii="宋体" w:hAnsi="宋体"/>
          <w:color w:val="393939"/>
          <w:szCs w:val="21"/>
          <w:shd w:val="clear" w:color="auto" w:fill="FFFFFF"/>
        </w:rPr>
        <w:t>(1)查看设备是否齐备，是否有丢失和损坏；检查接地线路是否可靠，排风排气装置工作是否正常，标准气钢瓶阀门是否漏气，标准气的消耗情况；检查各仪器的运行状况，保证系统运行顺畅；</w:t>
      </w:r>
    </w:p>
    <w:p>
      <w:pPr>
        <w:widowControl/>
        <w:spacing w:line="276" w:lineRule="auto"/>
        <w:ind w:firstLine="420" w:firstLineChars="200"/>
        <w:rPr>
          <w:rFonts w:ascii="宋体"/>
          <w:color w:val="393939"/>
          <w:szCs w:val="21"/>
          <w:shd w:val="clear" w:color="auto" w:fill="FFFFFF"/>
        </w:rPr>
      </w:pPr>
      <w:r>
        <w:rPr>
          <w:rFonts w:hint="eastAsia" w:ascii="宋体" w:hAnsi="宋体"/>
          <w:color w:val="393939"/>
          <w:szCs w:val="21"/>
          <w:shd w:val="clear" w:color="auto" w:fill="FFFFFF"/>
        </w:rPr>
        <w:t>(2)检查采样和排气管路是否有漏气或堵塞现象，各分析仪器采样流量是否正常；</w:t>
      </w:r>
    </w:p>
    <w:p>
      <w:pPr>
        <w:widowControl/>
        <w:spacing w:line="276" w:lineRule="auto"/>
        <w:ind w:firstLine="420" w:firstLineChars="200"/>
        <w:rPr>
          <w:rFonts w:ascii="宋体"/>
          <w:color w:val="393939"/>
          <w:szCs w:val="21"/>
          <w:shd w:val="clear" w:color="auto" w:fill="FFFFFF"/>
        </w:rPr>
      </w:pPr>
      <w:r>
        <w:rPr>
          <w:rFonts w:hint="eastAsia" w:ascii="宋体" w:hAnsi="宋体"/>
          <w:color w:val="393939"/>
          <w:szCs w:val="21"/>
          <w:shd w:val="clear" w:color="auto" w:fill="FFFFFF"/>
        </w:rPr>
        <w:t>(3)检查站点的通讯系统，保证站点与远程监控中心的连接正常，数据传输正常；</w:t>
      </w:r>
    </w:p>
    <w:p>
      <w:pPr>
        <w:widowControl/>
        <w:spacing w:line="276" w:lineRule="auto"/>
        <w:ind w:firstLine="420" w:firstLineChars="200"/>
        <w:rPr>
          <w:rFonts w:ascii="宋体"/>
          <w:color w:val="393939"/>
          <w:szCs w:val="21"/>
          <w:shd w:val="clear" w:color="auto" w:fill="FFFFFF"/>
        </w:rPr>
      </w:pPr>
      <w:r>
        <w:rPr>
          <w:rFonts w:hint="eastAsia" w:ascii="宋体" w:hAnsi="宋体"/>
          <w:color w:val="393939"/>
          <w:szCs w:val="21"/>
          <w:shd w:val="clear" w:color="auto" w:fill="FFFFFF"/>
        </w:rPr>
        <w:t>(4)检查监测仪器的采样入口与采样支路管线结合部之间安装的过滤膜的污染情况，每周更换滤膜；</w:t>
      </w:r>
    </w:p>
    <w:p>
      <w:pPr>
        <w:widowControl/>
        <w:spacing w:line="276" w:lineRule="auto"/>
        <w:ind w:firstLine="420" w:firstLineChars="200"/>
        <w:rPr>
          <w:rFonts w:ascii="宋体"/>
          <w:color w:val="393939"/>
          <w:szCs w:val="21"/>
          <w:shd w:val="clear" w:color="auto" w:fill="FFFFFF"/>
        </w:rPr>
      </w:pPr>
      <w:r>
        <w:rPr>
          <w:rFonts w:hint="eastAsia" w:ascii="宋体" w:hAnsi="宋体"/>
          <w:color w:val="393939"/>
          <w:szCs w:val="21"/>
          <w:shd w:val="clear" w:color="auto" w:fill="FFFFFF"/>
        </w:rPr>
        <w:t>(5)对颗粒物的采样纸带或滤膜进行检查，如纸带即将用尽，及时进行更换；</w:t>
      </w:r>
    </w:p>
    <w:p>
      <w:pPr>
        <w:widowControl/>
        <w:spacing w:line="276" w:lineRule="auto"/>
        <w:ind w:firstLine="420" w:firstLineChars="200"/>
        <w:rPr>
          <w:rFonts w:ascii="宋体"/>
          <w:color w:val="393939"/>
          <w:szCs w:val="21"/>
          <w:shd w:val="clear" w:color="auto" w:fill="FFFFFF"/>
        </w:rPr>
      </w:pPr>
      <w:r>
        <w:rPr>
          <w:rFonts w:hint="eastAsia" w:ascii="宋体" w:hAnsi="宋体"/>
          <w:color w:val="393939"/>
          <w:szCs w:val="21"/>
          <w:shd w:val="clear" w:color="auto" w:fill="FFFFFF"/>
        </w:rPr>
        <w:t>(6)对二氧化硫、一氧化碳、臭氧、氮氧化物分析仪进行零点及标点检查，如果漂移超过国家相关规范要求，需要进行手工校准；</w:t>
      </w:r>
    </w:p>
    <w:p>
      <w:pPr>
        <w:widowControl/>
        <w:spacing w:line="276" w:lineRule="auto"/>
        <w:ind w:firstLine="420" w:firstLineChars="200"/>
        <w:rPr>
          <w:rFonts w:ascii="宋体"/>
          <w:color w:val="393939"/>
          <w:szCs w:val="21"/>
          <w:shd w:val="clear" w:color="auto" w:fill="FFFFFF"/>
        </w:rPr>
      </w:pPr>
      <w:r>
        <w:rPr>
          <w:rFonts w:hint="eastAsia" w:ascii="宋体" w:hAnsi="宋体"/>
          <w:color w:val="393939"/>
          <w:szCs w:val="21"/>
          <w:shd w:val="clear" w:color="auto" w:fill="FFFFFF"/>
        </w:rPr>
        <w:t>(7)对气象仪器的运行情况进行检查；</w:t>
      </w:r>
    </w:p>
    <w:p>
      <w:pPr>
        <w:widowControl/>
        <w:spacing w:line="276" w:lineRule="auto"/>
        <w:ind w:firstLine="420" w:firstLineChars="200"/>
        <w:rPr>
          <w:rFonts w:ascii="宋体"/>
          <w:color w:val="393939"/>
          <w:szCs w:val="21"/>
          <w:shd w:val="clear" w:color="auto" w:fill="FFFFFF"/>
        </w:rPr>
      </w:pPr>
      <w:r>
        <w:rPr>
          <w:rFonts w:hint="eastAsia" w:ascii="宋体" w:hAnsi="宋体"/>
          <w:color w:val="393939"/>
          <w:szCs w:val="21"/>
          <w:shd w:val="clear" w:color="auto" w:fill="FFFFFF"/>
        </w:rPr>
        <w:t>(8)在冬、夏季节应注意站点房室内外温差，若温差较大，应及时改变站房温度或对采样总管采取适当的控制措施，防止冷凝现象；</w:t>
      </w:r>
    </w:p>
    <w:p>
      <w:pPr>
        <w:widowControl/>
        <w:spacing w:line="276" w:lineRule="auto"/>
        <w:ind w:firstLine="422" w:firstLineChars="200"/>
        <w:rPr>
          <w:rFonts w:ascii="宋体"/>
          <w:b/>
          <w:bCs/>
          <w:color w:val="393939"/>
          <w:szCs w:val="21"/>
          <w:shd w:val="clear" w:color="auto" w:fill="FFFFFF"/>
        </w:rPr>
      </w:pPr>
      <w:r>
        <w:rPr>
          <w:rFonts w:hint="eastAsia" w:ascii="宋体" w:hAnsi="宋体"/>
          <w:b/>
          <w:bCs/>
          <w:color w:val="393939"/>
          <w:szCs w:val="21"/>
          <w:shd w:val="clear" w:color="auto" w:fill="FFFFFF"/>
        </w:rPr>
        <w:t>3、每月工作内容如下：</w:t>
      </w:r>
    </w:p>
    <w:p>
      <w:pPr>
        <w:widowControl/>
        <w:spacing w:line="276" w:lineRule="auto"/>
        <w:ind w:firstLine="420" w:firstLineChars="200"/>
        <w:rPr>
          <w:rFonts w:ascii="宋体"/>
          <w:color w:val="393939"/>
          <w:szCs w:val="21"/>
          <w:shd w:val="clear" w:color="auto" w:fill="FFFFFF"/>
        </w:rPr>
      </w:pPr>
      <w:r>
        <w:rPr>
          <w:rFonts w:hint="eastAsia" w:ascii="宋体" w:hAnsi="宋体"/>
          <w:color w:val="393939"/>
          <w:szCs w:val="21"/>
          <w:shd w:val="clear" w:color="auto" w:fill="FFFFFF"/>
        </w:rPr>
        <w:t>(1)清洗PM10和PM2.5切割器，检查β法颗粒物分析仪仪器分析平台等部件，当出现AQI值大于等于200以上的重污染天气后，应在一周内清洗切割器；</w:t>
      </w:r>
    </w:p>
    <w:p>
      <w:pPr>
        <w:widowControl/>
        <w:spacing w:line="276" w:lineRule="auto"/>
        <w:ind w:firstLine="420" w:firstLineChars="200"/>
        <w:rPr>
          <w:rFonts w:ascii="宋体"/>
          <w:color w:val="393939"/>
          <w:szCs w:val="21"/>
          <w:shd w:val="clear" w:color="auto" w:fill="FFFFFF"/>
        </w:rPr>
      </w:pPr>
      <w:r>
        <w:rPr>
          <w:rFonts w:hint="eastAsia" w:ascii="宋体" w:hAnsi="宋体"/>
          <w:color w:val="393939"/>
          <w:szCs w:val="21"/>
          <w:shd w:val="clear" w:color="auto" w:fill="FFFFFF"/>
        </w:rPr>
        <w:t>(2)检查PM10和PM2.5监测仪、气态分析仪、动态校准仪流量，如果超过国家相关规范要求，需要进行校准，检查仪器是否漏气。校准和检查PM10及PM2.5分析仪的温度、气压和时钟；</w:t>
      </w:r>
    </w:p>
    <w:p>
      <w:pPr>
        <w:widowControl/>
        <w:spacing w:line="276" w:lineRule="auto"/>
        <w:ind w:firstLine="420" w:firstLineChars="200"/>
        <w:rPr>
          <w:rFonts w:ascii="宋体"/>
          <w:color w:val="393939"/>
          <w:szCs w:val="21"/>
          <w:shd w:val="clear" w:color="auto" w:fill="FFFFFF"/>
        </w:rPr>
      </w:pPr>
      <w:r>
        <w:rPr>
          <w:rFonts w:hint="eastAsia" w:ascii="宋体" w:hAnsi="宋体"/>
          <w:color w:val="393939"/>
          <w:szCs w:val="21"/>
          <w:shd w:val="clear" w:color="auto" w:fill="FFFFFF"/>
        </w:rPr>
        <w:t>(3) 使用标准混合气体对VOCs仪器各组分进行单点（工作点）检查与校准，完成氢气发生器、载气、零气发生器性能检查与流量等各项指标检查；</w:t>
      </w:r>
    </w:p>
    <w:p>
      <w:pPr>
        <w:widowControl/>
        <w:spacing w:line="276" w:lineRule="auto"/>
        <w:ind w:firstLine="420" w:firstLineChars="200"/>
        <w:rPr>
          <w:rFonts w:ascii="宋体"/>
          <w:color w:val="393939"/>
          <w:szCs w:val="21"/>
          <w:shd w:val="clear" w:color="auto" w:fill="FFFFFF"/>
        </w:rPr>
      </w:pPr>
      <w:r>
        <w:rPr>
          <w:rFonts w:hint="eastAsia" w:ascii="宋体" w:hAnsi="宋体"/>
          <w:color w:val="393939"/>
          <w:szCs w:val="21"/>
          <w:shd w:val="clear" w:color="auto" w:fill="FFFFFF"/>
        </w:rPr>
        <w:t>(4) 检查仪器显示的数据和采集仪的数据之间的一致性；</w:t>
      </w:r>
    </w:p>
    <w:p>
      <w:pPr>
        <w:widowControl/>
        <w:spacing w:line="276" w:lineRule="auto"/>
        <w:ind w:firstLine="420" w:firstLineChars="200"/>
        <w:rPr>
          <w:rFonts w:ascii="宋体"/>
          <w:color w:val="393939"/>
          <w:szCs w:val="21"/>
          <w:shd w:val="clear" w:color="auto" w:fill="FFFFFF"/>
        </w:rPr>
      </w:pPr>
      <w:r>
        <w:rPr>
          <w:rFonts w:hint="eastAsia" w:ascii="宋体" w:hAnsi="宋体"/>
          <w:color w:val="393939"/>
          <w:szCs w:val="21"/>
          <w:shd w:val="clear" w:color="auto" w:fill="FFFFFF"/>
        </w:rPr>
        <w:t>(5)对数据进行备份；</w:t>
      </w:r>
    </w:p>
    <w:p>
      <w:pPr>
        <w:widowControl/>
        <w:spacing w:line="276" w:lineRule="auto"/>
        <w:ind w:firstLine="420" w:firstLineChars="200"/>
        <w:rPr>
          <w:rFonts w:ascii="宋体"/>
          <w:color w:val="393939"/>
          <w:szCs w:val="21"/>
          <w:shd w:val="clear" w:color="auto" w:fill="FFFFFF"/>
        </w:rPr>
      </w:pPr>
      <w:r>
        <w:rPr>
          <w:rFonts w:hint="eastAsia" w:ascii="宋体" w:hAnsi="宋体"/>
          <w:color w:val="393939"/>
          <w:szCs w:val="21"/>
          <w:shd w:val="clear" w:color="auto" w:fill="FFFFFF"/>
        </w:rPr>
        <w:t>(6)使用指北针或指南针核查气象参数监测仪指北是否无误（偏差超过15°需进行校准）。</w:t>
      </w:r>
    </w:p>
    <w:p>
      <w:pPr>
        <w:widowControl/>
        <w:spacing w:line="276" w:lineRule="auto"/>
        <w:ind w:firstLine="420" w:firstLineChars="200"/>
        <w:rPr>
          <w:rFonts w:ascii="宋体"/>
          <w:color w:val="393939"/>
          <w:szCs w:val="21"/>
          <w:shd w:val="clear" w:color="auto" w:fill="FFFFFF"/>
        </w:rPr>
      </w:pPr>
      <w:r>
        <w:rPr>
          <w:rFonts w:hint="eastAsia" w:ascii="宋体" w:hAnsi="宋体"/>
          <w:color w:val="393939"/>
          <w:szCs w:val="21"/>
          <w:shd w:val="clear" w:color="auto" w:fill="FFFFFF"/>
        </w:rPr>
        <w:t>4、每季度工作内容如下：</w:t>
      </w:r>
    </w:p>
    <w:p>
      <w:pPr>
        <w:widowControl/>
        <w:spacing w:line="276" w:lineRule="auto"/>
        <w:ind w:firstLine="420" w:firstLineChars="200"/>
        <w:rPr>
          <w:rFonts w:ascii="宋体"/>
          <w:color w:val="393939"/>
          <w:szCs w:val="21"/>
          <w:shd w:val="clear" w:color="auto" w:fill="FFFFFF"/>
        </w:rPr>
      </w:pPr>
      <w:r>
        <w:rPr>
          <w:rFonts w:hint="eastAsia" w:ascii="宋体" w:hAnsi="宋体"/>
          <w:color w:val="393939"/>
          <w:szCs w:val="21"/>
          <w:shd w:val="clear" w:color="auto" w:fill="FFFFFF"/>
        </w:rPr>
        <w:t>(1) 至少清洗一次采样总管及采样风机；</w:t>
      </w:r>
    </w:p>
    <w:p>
      <w:pPr>
        <w:widowControl/>
        <w:spacing w:line="276" w:lineRule="auto"/>
        <w:ind w:firstLine="420" w:firstLineChars="200"/>
        <w:rPr>
          <w:rFonts w:ascii="宋体"/>
          <w:color w:val="393939"/>
          <w:szCs w:val="21"/>
          <w:shd w:val="clear" w:color="auto" w:fill="FFFFFF"/>
        </w:rPr>
      </w:pPr>
      <w:r>
        <w:rPr>
          <w:rFonts w:hint="eastAsia" w:ascii="宋体" w:hAnsi="宋体"/>
          <w:color w:val="393939"/>
          <w:szCs w:val="21"/>
          <w:shd w:val="clear" w:color="auto" w:fill="FFFFFF"/>
        </w:rPr>
        <w:t>(2)对气态分析仪进行多点线性检查；</w:t>
      </w:r>
    </w:p>
    <w:p>
      <w:pPr>
        <w:widowControl/>
        <w:spacing w:line="276" w:lineRule="auto"/>
        <w:ind w:firstLine="420" w:firstLineChars="200"/>
        <w:rPr>
          <w:rFonts w:ascii="宋体"/>
          <w:color w:val="393939"/>
          <w:szCs w:val="21"/>
          <w:shd w:val="clear" w:color="auto" w:fill="FFFFFF"/>
        </w:rPr>
      </w:pPr>
      <w:r>
        <w:rPr>
          <w:rFonts w:hint="eastAsia" w:ascii="宋体" w:hAnsi="宋体"/>
          <w:color w:val="393939"/>
          <w:szCs w:val="21"/>
          <w:shd w:val="clear" w:color="auto" w:fill="FFFFFF"/>
        </w:rPr>
        <w:t>(3)对PM10和PM2.5进行标准膜检查和浊度计校零检查，如果超过国家规范或说明书规定的限值，需要进行校准；</w:t>
      </w:r>
    </w:p>
    <w:p>
      <w:pPr>
        <w:widowControl/>
        <w:spacing w:line="276" w:lineRule="auto"/>
        <w:ind w:firstLine="420" w:firstLineChars="200"/>
        <w:rPr>
          <w:rFonts w:ascii="宋体"/>
          <w:color w:val="393939"/>
          <w:szCs w:val="21"/>
          <w:shd w:val="clear" w:color="auto" w:fill="FFFFFF"/>
        </w:rPr>
      </w:pPr>
      <w:r>
        <w:rPr>
          <w:rFonts w:hint="eastAsia" w:ascii="宋体" w:hAnsi="宋体"/>
          <w:color w:val="393939"/>
          <w:szCs w:val="21"/>
          <w:shd w:val="clear" w:color="auto" w:fill="FFFFFF"/>
        </w:rPr>
        <w:t>(4) VOCs仪器开展一次采样管路清洗，并使用标准混合气更新多点校准曲线和峰窗；运行时间2年以下或有渗透管做内标的在线气相色谱，应开展混合气单点标准，计算气体浓度偏差校准和峰窗漂移校准，当标准气单点标准气体浓度偏差大于20%，需重新标定校准曲线；利用外部流量计对仪器采样流量进行检查；辅助设备的耗材应根据实际情况进行更换，如氢气发生器和零气发生器的过滤器和干燥剂更换等</w:t>
      </w:r>
    </w:p>
    <w:p>
      <w:pPr>
        <w:widowControl/>
        <w:spacing w:line="276" w:lineRule="auto"/>
        <w:ind w:firstLine="422" w:firstLineChars="200"/>
        <w:rPr>
          <w:rFonts w:ascii="宋体"/>
          <w:b/>
          <w:bCs/>
          <w:color w:val="393939"/>
          <w:szCs w:val="21"/>
          <w:shd w:val="clear" w:color="auto" w:fill="FFFFFF"/>
        </w:rPr>
      </w:pPr>
      <w:r>
        <w:rPr>
          <w:rFonts w:hint="eastAsia" w:ascii="宋体" w:hAnsi="宋体"/>
          <w:b/>
          <w:bCs/>
          <w:color w:val="393939"/>
          <w:szCs w:val="21"/>
          <w:shd w:val="clear" w:color="auto" w:fill="FFFFFF"/>
        </w:rPr>
        <w:t>5、每半年工作内容如下：</w:t>
      </w:r>
    </w:p>
    <w:p>
      <w:pPr>
        <w:widowControl/>
        <w:spacing w:line="276" w:lineRule="auto"/>
        <w:ind w:firstLine="420" w:firstLineChars="200"/>
        <w:rPr>
          <w:rFonts w:ascii="宋体"/>
          <w:color w:val="393939"/>
          <w:szCs w:val="21"/>
          <w:shd w:val="clear" w:color="auto" w:fill="FFFFFF"/>
        </w:rPr>
      </w:pPr>
      <w:r>
        <w:rPr>
          <w:rFonts w:hint="eastAsia" w:ascii="宋体" w:hAnsi="宋体"/>
          <w:color w:val="393939"/>
          <w:szCs w:val="21"/>
          <w:shd w:val="clear" w:color="auto" w:fill="FFFFFF"/>
        </w:rPr>
        <w:t>(1)检查PM2.5和PM10分析仪相对湿度、温度传感器和动态加热装置是否正常工作；</w:t>
      </w:r>
    </w:p>
    <w:p>
      <w:pPr>
        <w:widowControl/>
        <w:spacing w:line="276" w:lineRule="auto"/>
        <w:ind w:firstLine="420" w:firstLineChars="200"/>
        <w:rPr>
          <w:rFonts w:ascii="宋体"/>
          <w:color w:val="393939"/>
          <w:szCs w:val="21"/>
          <w:shd w:val="clear" w:color="auto" w:fill="FFFFFF"/>
        </w:rPr>
      </w:pPr>
      <w:r>
        <w:rPr>
          <w:rFonts w:hint="eastAsia" w:ascii="宋体" w:hAnsi="宋体"/>
          <w:color w:val="393939"/>
          <w:szCs w:val="21"/>
          <w:shd w:val="clear" w:color="auto" w:fill="FFFFFF"/>
        </w:rPr>
        <w:t>(2)对动态校准仪流量进行10点检查，必要时校准，采用溯源过的臭氧标准仪对站点校准设备进行传递，更换零气源活性炭和氧化剂；</w:t>
      </w:r>
    </w:p>
    <w:p>
      <w:pPr>
        <w:widowControl/>
        <w:spacing w:line="276" w:lineRule="auto"/>
        <w:ind w:firstLine="420" w:firstLineChars="200"/>
        <w:rPr>
          <w:rFonts w:ascii="宋体"/>
          <w:color w:val="393939"/>
          <w:szCs w:val="21"/>
          <w:shd w:val="clear" w:color="auto" w:fill="FFFFFF"/>
        </w:rPr>
      </w:pPr>
      <w:r>
        <w:rPr>
          <w:rFonts w:hint="eastAsia" w:ascii="宋体" w:hAnsi="宋体"/>
          <w:color w:val="393939"/>
          <w:szCs w:val="21"/>
          <w:shd w:val="clear" w:color="auto" w:fill="FFFFFF"/>
        </w:rPr>
        <w:t>(3)检查氮氧化物分析仪钼炉转化率；</w:t>
      </w:r>
    </w:p>
    <w:p>
      <w:pPr>
        <w:widowControl/>
        <w:spacing w:line="276" w:lineRule="auto"/>
        <w:ind w:firstLine="420" w:firstLineChars="200"/>
        <w:rPr>
          <w:rFonts w:ascii="宋体"/>
          <w:color w:val="393939"/>
          <w:szCs w:val="21"/>
          <w:shd w:val="clear" w:color="auto" w:fill="FFFFFF"/>
        </w:rPr>
      </w:pPr>
      <w:r>
        <w:rPr>
          <w:rFonts w:hint="eastAsia" w:ascii="宋体" w:hAnsi="宋体"/>
          <w:color w:val="393939"/>
          <w:szCs w:val="21"/>
          <w:shd w:val="clear" w:color="auto" w:fill="FFFFFF"/>
        </w:rPr>
        <w:t>(4) 每半年开展一次VOCs仪器是多点线性检查，并做一次系统保养，对采样管路、仪器内部进样管路和FID检测器进行清洗等；根据仪器说明书更换必要的耗材与配件。保养后，应对仪器进行全面校准与检查，包括多点校准、仪器重复性、稳定性、方法检出限，以确保仪器在维护前后数据的准确性和可比性。</w:t>
      </w:r>
    </w:p>
    <w:p>
      <w:pPr>
        <w:widowControl/>
        <w:spacing w:line="276" w:lineRule="auto"/>
        <w:ind w:firstLine="420" w:firstLineChars="200"/>
        <w:rPr>
          <w:rFonts w:ascii="宋体"/>
          <w:color w:val="393939"/>
          <w:szCs w:val="21"/>
          <w:shd w:val="clear" w:color="auto" w:fill="FFFFFF"/>
        </w:rPr>
      </w:pPr>
      <w:r>
        <w:rPr>
          <w:rFonts w:hint="eastAsia" w:ascii="宋体" w:hAnsi="宋体"/>
          <w:color w:val="393939"/>
          <w:szCs w:val="21"/>
          <w:shd w:val="clear" w:color="auto" w:fill="FFFFFF"/>
        </w:rPr>
        <w:t>6、紧急维护服务内容</w:t>
      </w:r>
    </w:p>
    <w:p>
      <w:pPr>
        <w:widowControl/>
        <w:spacing w:line="276" w:lineRule="auto"/>
        <w:ind w:firstLine="420" w:firstLineChars="200"/>
        <w:rPr>
          <w:rFonts w:ascii="宋体"/>
          <w:color w:val="393939"/>
          <w:szCs w:val="21"/>
          <w:shd w:val="clear" w:color="auto" w:fill="FFFFFF"/>
        </w:rPr>
      </w:pPr>
      <w:r>
        <w:rPr>
          <w:rFonts w:hint="eastAsia" w:ascii="宋体" w:hAnsi="宋体"/>
          <w:color w:val="393939"/>
          <w:szCs w:val="21"/>
          <w:shd w:val="clear" w:color="auto" w:fill="FFFFFF"/>
        </w:rPr>
        <w:t>除上述需要定期执行的维护工作外，有时当监测子站还会发生仪器故障或测值异常情形，此时便需进行紧急维修。为了尽可能减少系统故障时间，运营公司应设立值班制度，接受监测系统自动发出的各项报警信息，根据实际情况采取紧急维护工作。</w:t>
      </w:r>
    </w:p>
    <w:p>
      <w:pPr>
        <w:widowControl/>
        <w:spacing w:line="276" w:lineRule="auto"/>
        <w:ind w:firstLine="420" w:firstLineChars="200"/>
        <w:rPr>
          <w:rFonts w:ascii="宋体"/>
          <w:color w:val="393939"/>
          <w:szCs w:val="21"/>
          <w:shd w:val="clear" w:color="auto" w:fill="FFFFFF"/>
        </w:rPr>
      </w:pPr>
      <w:r>
        <w:rPr>
          <w:rFonts w:hint="eastAsia" w:ascii="宋体" w:hAnsi="宋体"/>
          <w:color w:val="393939"/>
          <w:szCs w:val="21"/>
          <w:shd w:val="clear" w:color="auto" w:fill="FFFFFF"/>
        </w:rPr>
        <w:t>紧急维修主要针对发生故障的设备，对发生故障的设备进行检修，如果发生零件损坏，必须马上进行替换。如无法进行零件更换，须采取更换备机的措施。</w:t>
      </w:r>
    </w:p>
    <w:p>
      <w:pPr>
        <w:widowControl/>
        <w:spacing w:line="276" w:lineRule="auto"/>
        <w:ind w:firstLine="420" w:firstLineChars="200"/>
        <w:rPr>
          <w:rFonts w:ascii="宋体"/>
          <w:color w:val="393939"/>
          <w:szCs w:val="21"/>
          <w:shd w:val="clear" w:color="auto" w:fill="FFFFFF"/>
        </w:rPr>
      </w:pPr>
      <w:r>
        <w:rPr>
          <w:rFonts w:hint="eastAsia" w:ascii="宋体" w:hAnsi="宋体"/>
          <w:color w:val="393939"/>
          <w:szCs w:val="21"/>
          <w:shd w:val="clear" w:color="auto" w:fill="FFFFFF"/>
        </w:rPr>
        <w:t>当出现大气环境质量中度污染以上水平时，中标方启动加密维护程序，现场维护人员应加大对仪器设备的维护频次和内容。当全市大气环境质量出现重度污染水平时，中标方配合晋安区环境监测站做好相应的应急准备工作，加强子站仪器设备的维护。</w:t>
      </w:r>
    </w:p>
    <w:p>
      <w:pPr>
        <w:widowControl/>
        <w:spacing w:line="276" w:lineRule="auto"/>
        <w:ind w:firstLine="420" w:firstLineChars="200"/>
        <w:rPr>
          <w:rFonts w:ascii="宋体"/>
          <w:color w:val="393939"/>
          <w:szCs w:val="21"/>
          <w:shd w:val="clear" w:color="auto" w:fill="FFFFFF"/>
        </w:rPr>
      </w:pPr>
      <w:r>
        <w:rPr>
          <w:rFonts w:hint="eastAsia" w:ascii="宋体" w:hAnsi="宋体"/>
          <w:color w:val="393939"/>
          <w:szCs w:val="21"/>
          <w:shd w:val="clear" w:color="auto" w:fill="FFFFFF"/>
        </w:rPr>
        <w:t>7、维护服务结束要求</w:t>
      </w:r>
    </w:p>
    <w:p>
      <w:pPr>
        <w:widowControl/>
        <w:spacing w:line="276" w:lineRule="auto"/>
        <w:ind w:firstLine="420" w:firstLineChars="200"/>
        <w:rPr>
          <w:rFonts w:ascii="宋体"/>
          <w:color w:val="393939"/>
          <w:szCs w:val="21"/>
          <w:shd w:val="clear" w:color="auto" w:fill="FFFFFF"/>
        </w:rPr>
      </w:pPr>
      <w:r>
        <w:rPr>
          <w:rFonts w:hint="eastAsia" w:ascii="宋体" w:hAnsi="宋体"/>
          <w:color w:val="393939"/>
          <w:szCs w:val="21"/>
          <w:shd w:val="clear" w:color="auto" w:fill="FFFFFF"/>
        </w:rPr>
        <w:t xml:space="preserve">    合同结束前20日内，提交各监测子站维护状况总结报告。对于未修复的仪器，于计划结束后15日内完成修复，并通过对各子站站房设备和仪器性能的验收，经确认后结案。报告内容包含下列各项：</w:t>
      </w:r>
    </w:p>
    <w:p>
      <w:pPr>
        <w:widowControl/>
        <w:spacing w:line="276" w:lineRule="auto"/>
        <w:ind w:firstLine="420" w:firstLineChars="200"/>
        <w:rPr>
          <w:rFonts w:ascii="宋体"/>
          <w:color w:val="393939"/>
          <w:szCs w:val="21"/>
          <w:shd w:val="clear" w:color="auto" w:fill="FFFFFF"/>
        </w:rPr>
      </w:pPr>
      <w:r>
        <w:rPr>
          <w:rFonts w:hint="eastAsia" w:ascii="宋体" w:hAnsi="宋体"/>
          <w:color w:val="393939"/>
          <w:szCs w:val="21"/>
          <w:shd w:val="clear" w:color="auto" w:fill="FFFFFF"/>
        </w:rPr>
        <w:t>（1）各监测子站仪器运行情况总结。</w:t>
      </w:r>
    </w:p>
    <w:p>
      <w:pPr>
        <w:widowControl/>
        <w:spacing w:line="276" w:lineRule="auto"/>
        <w:ind w:firstLine="420" w:firstLineChars="200"/>
        <w:rPr>
          <w:rFonts w:ascii="宋体"/>
          <w:color w:val="393939"/>
          <w:szCs w:val="21"/>
          <w:shd w:val="clear" w:color="auto" w:fill="FFFFFF"/>
        </w:rPr>
      </w:pPr>
      <w:r>
        <w:rPr>
          <w:rFonts w:hint="eastAsia" w:ascii="宋体" w:hAnsi="宋体"/>
          <w:color w:val="393939"/>
          <w:szCs w:val="21"/>
          <w:shd w:val="clear" w:color="auto" w:fill="FFFFFF"/>
        </w:rPr>
        <w:t>（2）各监测仪器可能潜在的问题及建议。</w:t>
      </w:r>
    </w:p>
    <w:p>
      <w:pPr>
        <w:widowControl/>
        <w:spacing w:line="276" w:lineRule="auto"/>
        <w:ind w:firstLine="420" w:firstLineChars="200"/>
        <w:rPr>
          <w:rFonts w:ascii="宋体"/>
          <w:color w:val="393939"/>
          <w:szCs w:val="21"/>
          <w:shd w:val="clear" w:color="auto" w:fill="FFFFFF"/>
        </w:rPr>
      </w:pPr>
      <w:r>
        <w:rPr>
          <w:rFonts w:hint="eastAsia" w:ascii="宋体" w:hAnsi="宋体"/>
          <w:color w:val="393939"/>
          <w:szCs w:val="21"/>
          <w:shd w:val="clear" w:color="auto" w:fill="FFFFFF"/>
        </w:rPr>
        <w:t>（3）气体使用状况。</w:t>
      </w:r>
    </w:p>
    <w:p>
      <w:pPr>
        <w:widowControl/>
        <w:spacing w:line="276" w:lineRule="auto"/>
        <w:ind w:firstLine="420" w:firstLineChars="200"/>
        <w:rPr>
          <w:rFonts w:ascii="宋体"/>
          <w:color w:val="393939"/>
          <w:szCs w:val="21"/>
          <w:shd w:val="clear" w:color="auto" w:fill="FFFFFF"/>
        </w:rPr>
      </w:pPr>
      <w:r>
        <w:rPr>
          <w:rFonts w:hint="eastAsia" w:ascii="宋体" w:hAnsi="宋体"/>
          <w:color w:val="393939"/>
          <w:szCs w:val="21"/>
          <w:shd w:val="clear" w:color="auto" w:fill="FFFFFF"/>
        </w:rPr>
        <w:t>（4）仪器故障未修复状况。</w:t>
      </w:r>
    </w:p>
    <w:p>
      <w:pPr>
        <w:widowControl/>
        <w:spacing w:line="276" w:lineRule="auto"/>
        <w:ind w:firstLine="420" w:firstLineChars="200"/>
        <w:rPr>
          <w:rFonts w:ascii="宋体"/>
          <w:color w:val="393939"/>
          <w:szCs w:val="21"/>
          <w:shd w:val="clear" w:color="auto" w:fill="FFFFFF"/>
        </w:rPr>
      </w:pPr>
      <w:r>
        <w:rPr>
          <w:rFonts w:hint="eastAsia" w:ascii="宋体" w:hAnsi="宋体"/>
          <w:color w:val="393939"/>
          <w:szCs w:val="21"/>
          <w:shd w:val="clear" w:color="auto" w:fill="FFFFFF"/>
        </w:rPr>
        <w:t>（5）PM10、PM2.5过滤筒、滤膜使用估算及气体采样滤膜使用估算。</w:t>
      </w:r>
    </w:p>
    <w:p>
      <w:pPr>
        <w:widowControl/>
        <w:spacing w:line="276" w:lineRule="auto"/>
        <w:ind w:firstLine="420" w:firstLineChars="200"/>
        <w:rPr>
          <w:rFonts w:ascii="宋体"/>
          <w:color w:val="393939"/>
          <w:szCs w:val="21"/>
          <w:shd w:val="clear" w:color="auto" w:fill="FFFFFF"/>
        </w:rPr>
      </w:pPr>
      <w:r>
        <w:rPr>
          <w:rFonts w:hint="eastAsia" w:ascii="宋体" w:hAnsi="宋体"/>
          <w:color w:val="393939"/>
          <w:szCs w:val="21"/>
          <w:shd w:val="clear" w:color="auto" w:fill="FFFFFF"/>
        </w:rPr>
        <w:t>（6）灭火器有效期限。</w:t>
      </w:r>
    </w:p>
    <w:p>
      <w:pPr>
        <w:widowControl/>
        <w:spacing w:line="276" w:lineRule="auto"/>
        <w:ind w:firstLine="420" w:firstLineChars="200"/>
        <w:rPr>
          <w:rFonts w:ascii="宋体"/>
          <w:color w:val="393939"/>
          <w:szCs w:val="21"/>
          <w:shd w:val="clear" w:color="auto" w:fill="FFFFFF"/>
        </w:rPr>
      </w:pPr>
      <w:r>
        <w:rPr>
          <w:rFonts w:hint="eastAsia" w:ascii="宋体" w:hAnsi="宋体"/>
          <w:color w:val="393939"/>
          <w:szCs w:val="21"/>
          <w:shd w:val="clear" w:color="auto" w:fill="FFFFFF"/>
        </w:rPr>
        <w:t>（7）站房安全危害与改善状况</w:t>
      </w:r>
    </w:p>
    <w:p>
      <w:pPr>
        <w:widowControl/>
        <w:spacing w:line="276" w:lineRule="auto"/>
        <w:ind w:firstLine="420" w:firstLineChars="200"/>
        <w:rPr>
          <w:rFonts w:ascii="宋体"/>
          <w:color w:val="393939"/>
          <w:szCs w:val="21"/>
          <w:shd w:val="clear" w:color="auto" w:fill="FFFFFF"/>
        </w:rPr>
      </w:pPr>
      <w:r>
        <w:rPr>
          <w:rFonts w:hint="eastAsia" w:ascii="宋体" w:hAnsi="宋体"/>
          <w:color w:val="393939"/>
          <w:szCs w:val="21"/>
          <w:shd w:val="clear" w:color="auto" w:fill="FFFFFF"/>
        </w:rPr>
        <w:t>8、其他要求</w:t>
      </w:r>
    </w:p>
    <w:p>
      <w:pPr>
        <w:widowControl/>
        <w:spacing w:line="276" w:lineRule="auto"/>
        <w:ind w:firstLine="420" w:firstLineChars="200"/>
        <w:rPr>
          <w:rFonts w:ascii="宋体"/>
          <w:color w:val="393939"/>
          <w:szCs w:val="21"/>
          <w:shd w:val="clear" w:color="auto" w:fill="FFFFFF"/>
        </w:rPr>
      </w:pPr>
      <w:r>
        <w:rPr>
          <w:rFonts w:hint="eastAsia" w:ascii="宋体" w:hAnsi="宋体"/>
          <w:color w:val="393939"/>
          <w:szCs w:val="21"/>
          <w:shd w:val="clear" w:color="auto" w:fill="FFFFFF"/>
        </w:rPr>
        <w:t>(1)每周所更换的气态污染物分析仪滤膜，材料必须为聚四氟乙烯材质；颗粒物滤带应使用原厂滤带，使用后的滤膜和滤带必须记录更换时间，留存备查。</w:t>
      </w:r>
    </w:p>
    <w:p>
      <w:pPr>
        <w:widowControl/>
        <w:spacing w:line="276" w:lineRule="auto"/>
        <w:ind w:firstLine="420" w:firstLineChars="200"/>
        <w:rPr>
          <w:rFonts w:ascii="宋体"/>
          <w:color w:val="393939"/>
          <w:szCs w:val="21"/>
          <w:shd w:val="clear" w:color="auto" w:fill="FFFFFF"/>
        </w:rPr>
      </w:pPr>
      <w:r>
        <w:rPr>
          <w:rFonts w:hint="eastAsia" w:ascii="宋体" w:hAnsi="宋体"/>
          <w:color w:val="393939"/>
          <w:szCs w:val="21"/>
          <w:shd w:val="clear" w:color="auto" w:fill="FFFFFF"/>
        </w:rPr>
        <w:t>(2)严禁擅自改变采样管路连接方式和更改仪器参数设置。</w:t>
      </w:r>
      <w:bookmarkStart w:id="14" w:name="_Toc420511654"/>
      <w:bookmarkStart w:id="15" w:name="_Toc455153184"/>
    </w:p>
    <w:p>
      <w:pPr>
        <w:widowControl/>
        <w:spacing w:line="276" w:lineRule="auto"/>
        <w:ind w:firstLine="422" w:firstLineChars="200"/>
        <w:rPr>
          <w:rFonts w:ascii="宋体"/>
          <w:b/>
          <w:bCs/>
          <w:color w:val="393939"/>
          <w:szCs w:val="21"/>
          <w:shd w:val="clear" w:color="auto" w:fill="FFFFFF"/>
        </w:rPr>
      </w:pPr>
      <w:r>
        <w:rPr>
          <w:rFonts w:hint="eastAsia" w:ascii="宋体" w:hAnsi="宋体"/>
          <w:b/>
          <w:bCs/>
          <w:color w:val="393939"/>
          <w:szCs w:val="21"/>
          <w:shd w:val="clear" w:color="auto" w:fill="FFFFFF"/>
        </w:rPr>
        <w:t>（五）故障设备维修</w:t>
      </w:r>
      <w:bookmarkEnd w:id="14"/>
      <w:bookmarkEnd w:id="15"/>
    </w:p>
    <w:p>
      <w:pPr>
        <w:widowControl/>
        <w:spacing w:line="276" w:lineRule="auto"/>
        <w:ind w:firstLine="420" w:firstLineChars="200"/>
        <w:rPr>
          <w:rFonts w:ascii="宋体"/>
          <w:color w:val="393939"/>
          <w:szCs w:val="21"/>
          <w:shd w:val="clear" w:color="auto" w:fill="FFFFFF"/>
        </w:rPr>
      </w:pPr>
      <w:r>
        <w:rPr>
          <w:rFonts w:hint="eastAsia" w:ascii="宋体" w:hAnsi="宋体"/>
          <w:color w:val="393939"/>
          <w:szCs w:val="21"/>
          <w:shd w:val="clear" w:color="auto" w:fill="FFFFFF"/>
        </w:rPr>
        <w:t>（1）中标方负责系统所有设备的维护、维修和部件更换，并将维修费用计算在运维报价中。</w:t>
      </w:r>
    </w:p>
    <w:p>
      <w:pPr>
        <w:widowControl/>
        <w:spacing w:line="276" w:lineRule="auto"/>
        <w:ind w:firstLine="420" w:firstLineChars="200"/>
        <w:rPr>
          <w:rFonts w:ascii="宋体"/>
          <w:color w:val="393939"/>
          <w:szCs w:val="21"/>
          <w:shd w:val="clear" w:color="auto" w:fill="FFFFFF"/>
        </w:rPr>
      </w:pPr>
      <w:r>
        <w:rPr>
          <w:rFonts w:hint="eastAsia" w:ascii="宋体" w:hAnsi="宋体"/>
          <w:color w:val="393939"/>
          <w:szCs w:val="21"/>
          <w:shd w:val="clear" w:color="auto" w:fill="FFFFFF"/>
        </w:rPr>
        <w:t>（2）运维投标单位应建立子站的仪器设备档案，记录其运行、维护、维修及更换状况。</w:t>
      </w:r>
    </w:p>
    <w:p>
      <w:pPr>
        <w:widowControl/>
        <w:spacing w:line="276" w:lineRule="auto"/>
        <w:ind w:firstLine="420" w:firstLineChars="200"/>
        <w:rPr>
          <w:rFonts w:ascii="宋体"/>
          <w:color w:val="393939"/>
          <w:szCs w:val="21"/>
          <w:shd w:val="clear" w:color="auto" w:fill="FFFFFF"/>
        </w:rPr>
      </w:pPr>
      <w:r>
        <w:rPr>
          <w:rFonts w:hint="eastAsia" w:ascii="宋体" w:hAnsi="宋体"/>
          <w:color w:val="393939"/>
          <w:szCs w:val="21"/>
          <w:shd w:val="clear" w:color="auto" w:fill="FFFFFF"/>
        </w:rPr>
        <w:t>（3）空气子站常规仪器设备发生故障时，对于在现场能够明确诊断，并可由简单更换零部件解决的问题，如电磁阀控制失灵、泵膜破损、气路堵塞、灯源老化等，应立即在现场进行检修并解决问题。如现场不能修复，必须在故障发现24小时内使用备用设备替换，并对新安装的仪器进行校准，完成监测数据的有效性检查，保证空气子站系统的持续运行及数据的连续性、有效性。详细记录故障现象与发生时段，并及时报告采购方。</w:t>
      </w:r>
    </w:p>
    <w:p>
      <w:pPr>
        <w:widowControl/>
        <w:spacing w:line="276" w:lineRule="auto"/>
        <w:ind w:firstLine="420" w:firstLineChars="200"/>
        <w:rPr>
          <w:rFonts w:ascii="宋体"/>
          <w:color w:val="393939"/>
          <w:szCs w:val="21"/>
          <w:shd w:val="clear" w:color="auto" w:fill="FFFFFF"/>
        </w:rPr>
      </w:pPr>
      <w:r>
        <w:rPr>
          <w:rFonts w:hint="eastAsia" w:ascii="宋体" w:hAnsi="宋体"/>
          <w:color w:val="393939"/>
          <w:szCs w:val="21"/>
          <w:shd w:val="clear" w:color="auto" w:fill="FFFFFF"/>
        </w:rPr>
        <w:t>（4）运维投标单位应建立仪器使用、维护、维修档案，记录仪器使用情况、故障现象、维修过程、更换备件情况等，并填写仪器维护、维修报告。</w:t>
      </w:r>
      <w:bookmarkStart w:id="16" w:name="_Toc455153185"/>
      <w:bookmarkStart w:id="17" w:name="_Toc420511655"/>
    </w:p>
    <w:p>
      <w:pPr>
        <w:widowControl/>
        <w:spacing w:line="276" w:lineRule="auto"/>
        <w:ind w:firstLine="420" w:firstLineChars="200"/>
        <w:rPr>
          <w:rFonts w:ascii="宋体"/>
          <w:color w:val="393939"/>
          <w:szCs w:val="21"/>
          <w:shd w:val="clear" w:color="auto" w:fill="FFFFFF"/>
        </w:rPr>
      </w:pPr>
      <w:r>
        <w:rPr>
          <w:rFonts w:hint="eastAsia" w:ascii="宋体" w:hAnsi="宋体"/>
          <w:color w:val="393939"/>
          <w:szCs w:val="21"/>
          <w:shd w:val="clear" w:color="auto" w:fill="FFFFFF"/>
        </w:rPr>
        <w:t>（六）质量控制与管理要求</w:t>
      </w:r>
      <w:bookmarkEnd w:id="16"/>
      <w:bookmarkEnd w:id="17"/>
    </w:p>
    <w:p>
      <w:pPr>
        <w:widowControl/>
        <w:spacing w:line="276" w:lineRule="auto"/>
        <w:ind w:firstLine="420" w:firstLineChars="200"/>
        <w:rPr>
          <w:rFonts w:ascii="宋体"/>
          <w:color w:val="393939"/>
          <w:szCs w:val="21"/>
          <w:shd w:val="clear" w:color="auto" w:fill="FFFFFF"/>
        </w:rPr>
      </w:pPr>
      <w:r>
        <w:rPr>
          <w:rFonts w:hint="eastAsia" w:ascii="宋体" w:hAnsi="宋体"/>
          <w:color w:val="393939"/>
          <w:szCs w:val="21"/>
          <w:shd w:val="clear" w:color="auto" w:fill="FFFFFF"/>
        </w:rPr>
        <w:t>运维单位需认真落实质量管理制度，做好相应记录。</w:t>
      </w:r>
    </w:p>
    <w:p>
      <w:pPr>
        <w:widowControl/>
        <w:spacing w:line="276" w:lineRule="auto"/>
        <w:ind w:firstLine="420" w:firstLineChars="200"/>
        <w:rPr>
          <w:rFonts w:ascii="宋体"/>
          <w:color w:val="393939"/>
          <w:szCs w:val="21"/>
          <w:shd w:val="clear" w:color="auto" w:fill="FFFFFF"/>
        </w:rPr>
      </w:pPr>
      <w:r>
        <w:rPr>
          <w:rFonts w:hint="eastAsia" w:ascii="宋体" w:hAnsi="宋体"/>
          <w:color w:val="393939"/>
          <w:szCs w:val="21"/>
          <w:shd w:val="clear" w:color="auto" w:fill="FFFFFF"/>
        </w:rPr>
        <w:t>1、量值溯源要求</w:t>
      </w:r>
    </w:p>
    <w:p>
      <w:pPr>
        <w:widowControl/>
        <w:spacing w:line="276" w:lineRule="auto"/>
        <w:ind w:firstLine="420" w:firstLineChars="200"/>
        <w:rPr>
          <w:rFonts w:ascii="宋体"/>
          <w:color w:val="393939"/>
          <w:szCs w:val="21"/>
          <w:shd w:val="clear" w:color="auto" w:fill="FFFFFF"/>
        </w:rPr>
      </w:pPr>
      <w:bookmarkStart w:id="18" w:name="OLE_LINK1"/>
      <w:r>
        <w:rPr>
          <w:rFonts w:hint="eastAsia" w:ascii="宋体" w:hAnsi="宋体"/>
          <w:color w:val="393939"/>
          <w:szCs w:val="21"/>
          <w:shd w:val="clear" w:color="auto" w:fill="FFFFFF"/>
        </w:rPr>
        <w:t>（1）运维单位在每个站点需配备标准气体，所使用的标准气体须为二级或二级以上有证标准物质。另外，当钢瓶压力低于1.5MPa（含）时，标准停止使用。标准气体必须在有效期内使用。</w:t>
      </w:r>
    </w:p>
    <w:p>
      <w:pPr>
        <w:widowControl/>
        <w:spacing w:line="276" w:lineRule="auto"/>
        <w:ind w:firstLine="420" w:firstLineChars="200"/>
        <w:rPr>
          <w:rFonts w:ascii="宋体"/>
          <w:color w:val="393939"/>
          <w:szCs w:val="21"/>
          <w:shd w:val="clear" w:color="auto" w:fill="FFFFFF"/>
        </w:rPr>
      </w:pPr>
      <w:r>
        <w:rPr>
          <w:rFonts w:hint="eastAsia" w:ascii="宋体" w:hAnsi="宋体"/>
          <w:color w:val="393939"/>
          <w:szCs w:val="21"/>
          <w:shd w:val="clear" w:color="auto" w:fill="FFFFFF"/>
        </w:rPr>
        <w:t>（2）运维单位应每半年对站点所用的校准设备进行核查，性能指标应符合要求。运维单位所用的流量检查设备每年应通过技术监督部门的检定。</w:t>
      </w:r>
    </w:p>
    <w:p>
      <w:pPr>
        <w:widowControl/>
        <w:spacing w:line="276" w:lineRule="auto"/>
        <w:ind w:firstLine="420" w:firstLineChars="200"/>
        <w:rPr>
          <w:rFonts w:ascii="宋体"/>
          <w:color w:val="393939"/>
          <w:szCs w:val="21"/>
          <w:shd w:val="clear" w:color="auto" w:fill="FFFFFF"/>
        </w:rPr>
      </w:pPr>
      <w:r>
        <w:rPr>
          <w:rFonts w:hint="eastAsia" w:ascii="宋体" w:hAnsi="宋体"/>
          <w:color w:val="393939"/>
          <w:szCs w:val="21"/>
          <w:shd w:val="clear" w:color="auto" w:fill="FFFFFF"/>
        </w:rPr>
        <w:t>（3）运维单位应配备1台臭氧传递设备，按要求进行溯源，并用此设备每半年向所运维的子站的校准仪传递一次，每次进行不少于6个点的多点传递（包括零点）。</w:t>
      </w:r>
    </w:p>
    <w:p>
      <w:pPr>
        <w:widowControl/>
        <w:spacing w:line="276" w:lineRule="auto"/>
        <w:ind w:firstLine="420" w:firstLineChars="200"/>
        <w:rPr>
          <w:rFonts w:ascii="宋体"/>
          <w:color w:val="393939"/>
          <w:szCs w:val="21"/>
          <w:shd w:val="clear" w:color="auto" w:fill="FFFFFF"/>
        </w:rPr>
      </w:pPr>
      <w:r>
        <w:rPr>
          <w:rFonts w:hint="eastAsia" w:ascii="宋体" w:hAnsi="宋体"/>
          <w:color w:val="393939"/>
          <w:szCs w:val="21"/>
          <w:shd w:val="clear" w:color="auto" w:fill="FFFFFF"/>
        </w:rPr>
        <w:t>（4）站房内所用温、湿度传感器、气压传感器等应与经过计量部门检定的温湿度计，压力计进行比对，偏差超过±2℃或5%应进行校准或更换。</w:t>
      </w:r>
    </w:p>
    <w:bookmarkEnd w:id="18"/>
    <w:p>
      <w:pPr>
        <w:widowControl/>
        <w:spacing w:line="276" w:lineRule="auto"/>
        <w:ind w:firstLine="420" w:firstLineChars="200"/>
        <w:rPr>
          <w:rFonts w:ascii="宋体"/>
          <w:color w:val="393939"/>
          <w:szCs w:val="21"/>
          <w:shd w:val="clear" w:color="auto" w:fill="FFFFFF"/>
        </w:rPr>
      </w:pPr>
      <w:r>
        <w:rPr>
          <w:rFonts w:hint="eastAsia" w:ascii="宋体" w:hAnsi="宋体"/>
          <w:color w:val="393939"/>
          <w:szCs w:val="21"/>
          <w:shd w:val="clear" w:color="auto" w:fill="FFFFFF"/>
        </w:rPr>
        <w:t>2、日常校准要求</w:t>
      </w:r>
    </w:p>
    <w:p>
      <w:pPr>
        <w:widowControl/>
        <w:spacing w:line="276" w:lineRule="auto"/>
        <w:ind w:firstLine="420" w:firstLineChars="200"/>
        <w:rPr>
          <w:rFonts w:ascii="宋体"/>
          <w:color w:val="393939"/>
          <w:szCs w:val="21"/>
          <w:shd w:val="clear" w:color="auto" w:fill="FFFFFF"/>
        </w:rPr>
      </w:pPr>
      <w:r>
        <w:rPr>
          <w:rFonts w:hint="eastAsia" w:ascii="宋体" w:hAnsi="宋体"/>
          <w:color w:val="393939"/>
          <w:szCs w:val="21"/>
          <w:shd w:val="clear" w:color="auto" w:fill="FFFFFF"/>
        </w:rPr>
        <w:t>（1）保证除PM10、PM2.5设备外其余设备每周进行一次零点校准和跨度校准。每月进行一次精密度检查(使用上月平均浓度)，每季度进行一次准确度检查(量程范围内5-6个点)，并做好相关记录</w:t>
      </w:r>
      <w:bookmarkStart w:id="19" w:name="OLE_LINK2"/>
      <w:bookmarkStart w:id="20" w:name="OLE_LINK3"/>
      <w:r>
        <w:rPr>
          <w:rFonts w:hint="eastAsia" w:ascii="宋体" w:hAnsi="宋体"/>
          <w:color w:val="393939"/>
          <w:szCs w:val="21"/>
          <w:shd w:val="clear" w:color="auto" w:fill="FFFFFF"/>
        </w:rPr>
        <w:t>。</w:t>
      </w:r>
      <w:bookmarkEnd w:id="19"/>
      <w:bookmarkEnd w:id="20"/>
    </w:p>
    <w:p>
      <w:pPr>
        <w:widowControl/>
        <w:spacing w:line="276" w:lineRule="auto"/>
        <w:ind w:firstLine="420" w:firstLineChars="200"/>
        <w:rPr>
          <w:rFonts w:ascii="宋体"/>
          <w:color w:val="393939"/>
          <w:szCs w:val="21"/>
          <w:shd w:val="clear" w:color="auto" w:fill="FFFFFF"/>
        </w:rPr>
      </w:pPr>
      <w:r>
        <w:rPr>
          <w:rFonts w:hint="eastAsia" w:ascii="宋体" w:hAnsi="宋体"/>
          <w:color w:val="393939"/>
          <w:szCs w:val="21"/>
          <w:shd w:val="clear" w:color="auto" w:fill="FFFFFF"/>
        </w:rPr>
        <w:t>（2）PM10、PM2.5设备每月进行一次流量校准，每季度进行一次标准膜校准。</w:t>
      </w:r>
    </w:p>
    <w:p>
      <w:pPr>
        <w:widowControl/>
        <w:spacing w:line="276" w:lineRule="auto"/>
        <w:ind w:firstLine="420" w:firstLineChars="200"/>
        <w:rPr>
          <w:rFonts w:ascii="宋体"/>
          <w:color w:val="393939"/>
          <w:szCs w:val="21"/>
          <w:shd w:val="clear" w:color="auto" w:fill="FFFFFF"/>
        </w:rPr>
      </w:pPr>
      <w:r>
        <w:rPr>
          <w:rFonts w:hint="eastAsia" w:ascii="宋体" w:hAnsi="宋体"/>
          <w:color w:val="393939"/>
          <w:szCs w:val="21"/>
          <w:shd w:val="clear" w:color="auto" w:fill="FFFFFF"/>
        </w:rPr>
        <w:t>（3）每季度对仪器设备进行1次多点线性校准，测试数据的线性度应在0.99-1.01之间。</w:t>
      </w:r>
    </w:p>
    <w:p>
      <w:pPr>
        <w:widowControl/>
        <w:spacing w:line="276" w:lineRule="auto"/>
        <w:ind w:firstLine="420" w:firstLineChars="200"/>
        <w:rPr>
          <w:rFonts w:ascii="宋体"/>
          <w:color w:val="393939"/>
          <w:szCs w:val="21"/>
          <w:shd w:val="clear" w:color="auto" w:fill="FFFFFF"/>
        </w:rPr>
      </w:pPr>
      <w:r>
        <w:rPr>
          <w:rFonts w:hint="eastAsia" w:ascii="宋体" w:hAnsi="宋体"/>
          <w:color w:val="393939"/>
          <w:szCs w:val="21"/>
          <w:shd w:val="clear" w:color="auto" w:fill="FFFFFF"/>
        </w:rPr>
        <w:t>3、仪器设备检查</w:t>
      </w:r>
    </w:p>
    <w:p>
      <w:pPr>
        <w:widowControl/>
        <w:spacing w:line="276" w:lineRule="auto"/>
        <w:ind w:firstLine="420" w:firstLineChars="200"/>
        <w:rPr>
          <w:rFonts w:ascii="宋体"/>
          <w:color w:val="393939"/>
          <w:szCs w:val="21"/>
          <w:shd w:val="clear" w:color="auto" w:fill="FFFFFF"/>
        </w:rPr>
      </w:pPr>
      <w:r>
        <w:rPr>
          <w:rFonts w:hint="eastAsia" w:ascii="宋体" w:hAnsi="宋体"/>
          <w:color w:val="393939"/>
          <w:szCs w:val="21"/>
          <w:shd w:val="clear" w:color="auto" w:fill="FFFFFF"/>
        </w:rPr>
        <w:t>每半年对NOx设备钼炉转换率和精密度进行检查，对动态校准设备进行流量、压力检查和检漏检查。</w:t>
      </w:r>
    </w:p>
    <w:p>
      <w:pPr>
        <w:widowControl/>
        <w:spacing w:line="276" w:lineRule="auto"/>
        <w:ind w:firstLine="420" w:firstLineChars="200"/>
        <w:rPr>
          <w:rFonts w:ascii="宋体"/>
          <w:color w:val="393939"/>
          <w:szCs w:val="21"/>
          <w:shd w:val="clear" w:color="auto" w:fill="FFFFFF"/>
        </w:rPr>
      </w:pPr>
      <w:r>
        <w:rPr>
          <w:rFonts w:hint="eastAsia" w:ascii="宋体" w:hAnsi="宋体"/>
          <w:color w:val="393939"/>
          <w:szCs w:val="21"/>
          <w:shd w:val="clear" w:color="auto" w:fill="FFFFFF"/>
        </w:rPr>
        <w:t>4、质控审核</w:t>
      </w:r>
    </w:p>
    <w:p>
      <w:pPr>
        <w:widowControl/>
        <w:spacing w:line="276" w:lineRule="auto"/>
        <w:ind w:firstLine="420" w:firstLineChars="200"/>
        <w:rPr>
          <w:rFonts w:ascii="宋体"/>
          <w:color w:val="393939"/>
          <w:szCs w:val="21"/>
          <w:shd w:val="clear" w:color="auto" w:fill="FFFFFF"/>
        </w:rPr>
      </w:pPr>
      <w:r>
        <w:rPr>
          <w:rFonts w:hint="eastAsia" w:ascii="宋体" w:hAnsi="宋体"/>
          <w:color w:val="393939"/>
          <w:szCs w:val="21"/>
          <w:shd w:val="clear" w:color="auto" w:fill="FFFFFF"/>
        </w:rPr>
        <w:t>每年进行1次质控审核，审核对象包括所有子站在用和备用仪器设备。</w:t>
      </w:r>
    </w:p>
    <w:p>
      <w:pPr>
        <w:widowControl/>
        <w:spacing w:line="276" w:lineRule="auto"/>
        <w:ind w:firstLine="420" w:firstLineChars="200"/>
        <w:rPr>
          <w:rFonts w:ascii="宋体"/>
          <w:color w:val="393939"/>
          <w:szCs w:val="21"/>
          <w:shd w:val="clear" w:color="auto" w:fill="FFFFFF"/>
        </w:rPr>
      </w:pPr>
      <w:r>
        <w:rPr>
          <w:rFonts w:hint="eastAsia" w:ascii="宋体" w:hAnsi="宋体"/>
          <w:color w:val="393939"/>
          <w:szCs w:val="21"/>
          <w:shd w:val="clear" w:color="auto" w:fill="FFFFFF"/>
        </w:rPr>
        <w:t>5、记录上报</w:t>
      </w:r>
    </w:p>
    <w:p>
      <w:pPr>
        <w:widowControl/>
        <w:spacing w:line="276" w:lineRule="auto"/>
        <w:ind w:firstLine="420" w:firstLineChars="200"/>
        <w:rPr>
          <w:rFonts w:ascii="宋体"/>
          <w:color w:val="393939"/>
          <w:szCs w:val="21"/>
          <w:shd w:val="clear" w:color="auto" w:fill="FFFFFF"/>
        </w:rPr>
      </w:pPr>
      <w:r>
        <w:rPr>
          <w:rFonts w:hint="eastAsia" w:ascii="宋体" w:hAnsi="宋体"/>
          <w:color w:val="393939"/>
          <w:szCs w:val="21"/>
          <w:shd w:val="clear" w:color="auto" w:fill="FFFFFF"/>
        </w:rPr>
        <w:t>各种技术与质量文件均保持现行有效，可根据管理需要进行调整或修订，巡检记录、维修记录、日常检查与监督抽查等质量保证与质量控制记录均须按要求进行填写，每年进行整理归档，上报采购方。</w:t>
      </w:r>
    </w:p>
    <w:p>
      <w:pPr>
        <w:widowControl/>
        <w:spacing w:line="276" w:lineRule="auto"/>
        <w:ind w:firstLine="420" w:firstLineChars="200"/>
        <w:rPr>
          <w:rFonts w:ascii="宋体"/>
          <w:color w:val="393939"/>
          <w:szCs w:val="21"/>
          <w:shd w:val="clear" w:color="auto" w:fill="FFFFFF"/>
        </w:rPr>
      </w:pPr>
      <w:bookmarkStart w:id="21" w:name="_Toc420511656"/>
      <w:bookmarkStart w:id="22" w:name="_Toc455153186"/>
      <w:r>
        <w:rPr>
          <w:rFonts w:hint="eastAsia" w:ascii="宋体" w:hAnsi="宋体"/>
          <w:color w:val="393939"/>
          <w:szCs w:val="21"/>
          <w:shd w:val="clear" w:color="auto" w:fill="FFFFFF"/>
        </w:rPr>
        <w:t>（七）监督考核要求</w:t>
      </w:r>
      <w:bookmarkEnd w:id="21"/>
      <w:bookmarkEnd w:id="22"/>
      <w:r>
        <w:rPr>
          <w:rFonts w:hint="eastAsia" w:ascii="宋体" w:hAnsi="宋体"/>
          <w:color w:val="393939"/>
          <w:szCs w:val="21"/>
          <w:shd w:val="clear" w:color="auto" w:fill="FFFFFF"/>
        </w:rPr>
        <w:t>及支付方式</w:t>
      </w:r>
    </w:p>
    <w:p>
      <w:pPr>
        <w:widowControl/>
        <w:spacing w:line="276" w:lineRule="auto"/>
        <w:ind w:firstLine="420" w:firstLineChars="200"/>
        <w:rPr>
          <w:rFonts w:ascii="宋体"/>
          <w:color w:val="393939"/>
          <w:szCs w:val="21"/>
          <w:shd w:val="clear" w:color="auto" w:fill="FFFFFF"/>
        </w:rPr>
      </w:pPr>
      <w:r>
        <w:rPr>
          <w:rFonts w:hint="eastAsia" w:ascii="宋体" w:hAnsi="宋体"/>
          <w:color w:val="393939"/>
          <w:szCs w:val="21"/>
          <w:shd w:val="clear" w:color="auto" w:fill="FFFFFF"/>
        </w:rPr>
        <w:t>1、监督管理</w:t>
      </w:r>
    </w:p>
    <w:p>
      <w:pPr>
        <w:widowControl/>
        <w:spacing w:line="276" w:lineRule="auto"/>
        <w:ind w:firstLine="420" w:firstLineChars="200"/>
        <w:rPr>
          <w:rFonts w:ascii="宋体"/>
          <w:color w:val="393939"/>
          <w:szCs w:val="21"/>
          <w:shd w:val="clear" w:color="auto" w:fill="FFFFFF"/>
        </w:rPr>
      </w:pPr>
      <w:r>
        <w:rPr>
          <w:rFonts w:hint="eastAsia" w:ascii="宋体" w:hAnsi="宋体"/>
          <w:color w:val="393939"/>
          <w:szCs w:val="21"/>
          <w:shd w:val="clear" w:color="auto" w:fill="FFFFFF"/>
        </w:rPr>
        <w:t>（1）投标人应承担监测数据的保密责任（签订保密协议），不得利用本项目的数据、档案或有关资料对外开展技术交流、业务联系、数据交换等。</w:t>
      </w:r>
    </w:p>
    <w:p>
      <w:pPr>
        <w:widowControl/>
        <w:spacing w:line="276" w:lineRule="auto"/>
        <w:ind w:firstLine="420" w:firstLineChars="200"/>
        <w:rPr>
          <w:rFonts w:ascii="宋体"/>
          <w:color w:val="393939"/>
          <w:szCs w:val="21"/>
          <w:shd w:val="clear" w:color="auto" w:fill="FFFFFF"/>
        </w:rPr>
      </w:pPr>
      <w:r>
        <w:rPr>
          <w:rFonts w:hint="eastAsia" w:ascii="宋体" w:hAnsi="宋体"/>
          <w:color w:val="393939"/>
          <w:szCs w:val="21"/>
          <w:shd w:val="clear" w:color="auto" w:fill="FFFFFF"/>
        </w:rPr>
        <w:t>（2）运维期间出现调整数据、修改参数、改动设备、质控结果与平台采集结果不一致、弄虚作假等违规行为的，一经查实采购方有权终止运维合同。</w:t>
      </w:r>
    </w:p>
    <w:p>
      <w:pPr>
        <w:widowControl/>
        <w:spacing w:line="276" w:lineRule="auto"/>
        <w:ind w:firstLine="420" w:firstLineChars="200"/>
        <w:rPr>
          <w:rFonts w:ascii="宋体"/>
          <w:color w:val="393939"/>
          <w:szCs w:val="21"/>
          <w:shd w:val="clear" w:color="auto" w:fill="FFFFFF"/>
        </w:rPr>
      </w:pPr>
      <w:r>
        <w:rPr>
          <w:rFonts w:hint="eastAsia" w:ascii="宋体" w:hAnsi="宋体"/>
          <w:color w:val="393939"/>
          <w:szCs w:val="21"/>
          <w:shd w:val="clear" w:color="auto" w:fill="FFFFFF"/>
        </w:rPr>
        <w:t>（3）采购方定期组织开展运维管理和质控考核，对达不到运维要求或违规操作的，可以扣减相应的运维经费，并有权终止运维合同。</w:t>
      </w:r>
    </w:p>
    <w:p>
      <w:pPr>
        <w:rPr>
          <w:rFonts w:ascii="宋体"/>
          <w:b/>
          <w:bCs/>
          <w:szCs w:val="21"/>
        </w:rPr>
      </w:pPr>
      <w:r>
        <w:rPr>
          <w:rFonts w:hint="eastAsia" w:ascii="宋体" w:hAnsi="宋体" w:cs="宋体"/>
          <w:b/>
          <w:bCs/>
          <w:szCs w:val="21"/>
        </w:rPr>
        <w:t>2、支付方式数据表格</w:t>
      </w:r>
    </w:p>
    <w:tbl>
      <w:tblPr>
        <w:tblStyle w:val="6"/>
        <w:tblW w:w="5000" w:type="pct"/>
        <w:tblInd w:w="8"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1664"/>
        <w:gridCol w:w="1664"/>
        <w:gridCol w:w="4994"/>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Header/>
        </w:trPr>
        <w:tc>
          <w:tcPr>
            <w:tcW w:w="1000" w:type="pct"/>
            <w:tcBorders>
              <w:top w:val="outset" w:color="auto" w:sz="6" w:space="0"/>
              <w:left w:val="outset" w:color="auto" w:sz="6" w:space="0"/>
              <w:bottom w:val="outset" w:color="auto" w:sz="6" w:space="0"/>
              <w:right w:val="outset" w:color="auto" w:sz="6" w:space="0"/>
            </w:tcBorders>
            <w:vAlign w:val="center"/>
          </w:tcPr>
          <w:p>
            <w:pPr>
              <w:rPr>
                <w:rFonts w:ascii="宋体"/>
                <w:szCs w:val="21"/>
              </w:rPr>
            </w:pPr>
            <w:r>
              <w:rPr>
                <w:rFonts w:hint="eastAsia" w:ascii="宋体" w:hAnsi="宋体" w:cs="宋体"/>
                <w:szCs w:val="21"/>
              </w:rPr>
              <w:t>支付期次</w:t>
            </w:r>
          </w:p>
        </w:tc>
        <w:tc>
          <w:tcPr>
            <w:tcW w:w="1000" w:type="pct"/>
            <w:tcBorders>
              <w:top w:val="outset" w:color="auto" w:sz="6" w:space="0"/>
              <w:left w:val="outset" w:color="auto" w:sz="6" w:space="0"/>
              <w:bottom w:val="outset" w:color="auto" w:sz="6" w:space="0"/>
              <w:right w:val="outset" w:color="auto" w:sz="6" w:space="0"/>
            </w:tcBorders>
            <w:vAlign w:val="center"/>
          </w:tcPr>
          <w:p>
            <w:pPr>
              <w:rPr>
                <w:rFonts w:ascii="宋体" w:hAnsi="宋体"/>
                <w:szCs w:val="21"/>
              </w:rPr>
            </w:pPr>
            <w:r>
              <w:rPr>
                <w:rFonts w:hint="eastAsia" w:ascii="宋体" w:hAnsi="宋体" w:cs="宋体"/>
                <w:szCs w:val="21"/>
              </w:rPr>
              <w:t>支付比例</w:t>
            </w:r>
            <w:r>
              <w:rPr>
                <w:rFonts w:hint="eastAsia" w:ascii="宋体" w:hAnsi="宋体"/>
                <w:szCs w:val="21"/>
              </w:rPr>
              <w:t>(%)</w:t>
            </w:r>
          </w:p>
        </w:tc>
        <w:tc>
          <w:tcPr>
            <w:tcW w:w="3000" w:type="pct"/>
            <w:tcBorders>
              <w:top w:val="outset" w:color="auto" w:sz="6" w:space="0"/>
              <w:left w:val="outset" w:color="auto" w:sz="6" w:space="0"/>
              <w:bottom w:val="outset" w:color="auto" w:sz="6" w:space="0"/>
              <w:right w:val="outset" w:color="auto" w:sz="6" w:space="0"/>
            </w:tcBorders>
            <w:vAlign w:val="center"/>
          </w:tcPr>
          <w:p>
            <w:pPr>
              <w:rPr>
                <w:rFonts w:ascii="宋体"/>
                <w:szCs w:val="21"/>
              </w:rPr>
            </w:pPr>
            <w:r>
              <w:rPr>
                <w:rFonts w:hint="eastAsia" w:ascii="宋体" w:hAnsi="宋体" w:cs="宋体"/>
                <w:szCs w:val="21"/>
              </w:rPr>
              <w:t>支付期次说明</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0" w:type="auto"/>
            <w:tcBorders>
              <w:top w:val="outset" w:color="auto" w:sz="6" w:space="0"/>
              <w:left w:val="outset" w:color="auto" w:sz="6" w:space="0"/>
              <w:bottom w:val="outset" w:color="auto" w:sz="6" w:space="0"/>
              <w:right w:val="outset" w:color="auto" w:sz="6" w:space="0"/>
            </w:tcBorders>
            <w:vAlign w:val="center"/>
          </w:tcPr>
          <w:p>
            <w:pPr>
              <w:rPr>
                <w:rFonts w:ascii="宋体"/>
                <w:szCs w:val="21"/>
              </w:rPr>
            </w:pPr>
            <w:r>
              <w:rPr>
                <w:rFonts w:hint="eastAsia" w:ascii="宋体" w:hAnsi="宋体"/>
                <w:szCs w:val="21"/>
              </w:rPr>
              <w:t>1</w:t>
            </w:r>
          </w:p>
        </w:tc>
        <w:tc>
          <w:tcPr>
            <w:tcW w:w="0" w:type="auto"/>
            <w:tcBorders>
              <w:top w:val="outset" w:color="auto" w:sz="6" w:space="0"/>
              <w:left w:val="outset" w:color="auto" w:sz="6" w:space="0"/>
              <w:bottom w:val="outset" w:color="auto" w:sz="6" w:space="0"/>
              <w:right w:val="outset" w:color="auto" w:sz="6" w:space="0"/>
            </w:tcBorders>
            <w:vAlign w:val="center"/>
          </w:tcPr>
          <w:p>
            <w:pPr>
              <w:rPr>
                <w:rFonts w:ascii="宋体"/>
                <w:szCs w:val="21"/>
              </w:rPr>
            </w:pPr>
            <w:r>
              <w:rPr>
                <w:rFonts w:hint="eastAsia" w:ascii="宋体" w:hAnsi="宋体"/>
                <w:szCs w:val="21"/>
              </w:rPr>
              <w:t>16.66</w:t>
            </w:r>
          </w:p>
        </w:tc>
        <w:tc>
          <w:tcPr>
            <w:tcW w:w="0" w:type="auto"/>
            <w:tcBorders>
              <w:top w:val="outset" w:color="auto" w:sz="6" w:space="0"/>
              <w:left w:val="outset" w:color="auto" w:sz="6" w:space="0"/>
              <w:bottom w:val="outset" w:color="auto" w:sz="6" w:space="0"/>
              <w:right w:val="outset" w:color="auto" w:sz="6" w:space="0"/>
            </w:tcBorders>
            <w:vAlign w:val="center"/>
          </w:tcPr>
          <w:p>
            <w:pPr>
              <w:rPr>
                <w:rFonts w:ascii="宋体"/>
                <w:szCs w:val="21"/>
              </w:rPr>
            </w:pPr>
            <w:r>
              <w:rPr>
                <w:rFonts w:hint="eastAsia" w:ascii="宋体" w:hAnsi="宋体" w:cs="宋体"/>
                <w:szCs w:val="21"/>
              </w:rPr>
              <w:t>每半年付一次运营款</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0" w:type="auto"/>
            <w:tcBorders>
              <w:top w:val="outset" w:color="auto" w:sz="6" w:space="0"/>
              <w:left w:val="outset" w:color="auto" w:sz="6" w:space="0"/>
              <w:bottom w:val="outset" w:color="auto" w:sz="6" w:space="0"/>
              <w:right w:val="outset" w:color="auto" w:sz="6" w:space="0"/>
            </w:tcBorders>
            <w:vAlign w:val="center"/>
          </w:tcPr>
          <w:p>
            <w:pPr>
              <w:rPr>
                <w:rFonts w:ascii="宋体"/>
                <w:szCs w:val="21"/>
              </w:rPr>
            </w:pPr>
            <w:r>
              <w:rPr>
                <w:rFonts w:hint="eastAsia" w:ascii="宋体" w:hAnsi="宋体"/>
                <w:szCs w:val="21"/>
              </w:rPr>
              <w:t>2</w:t>
            </w:r>
          </w:p>
        </w:tc>
        <w:tc>
          <w:tcPr>
            <w:tcW w:w="0" w:type="auto"/>
            <w:tcBorders>
              <w:top w:val="outset" w:color="auto" w:sz="6" w:space="0"/>
              <w:left w:val="outset" w:color="auto" w:sz="6" w:space="0"/>
              <w:bottom w:val="outset" w:color="auto" w:sz="6" w:space="0"/>
              <w:right w:val="outset" w:color="auto" w:sz="6" w:space="0"/>
            </w:tcBorders>
            <w:vAlign w:val="center"/>
          </w:tcPr>
          <w:p>
            <w:pPr>
              <w:rPr>
                <w:rFonts w:ascii="宋体"/>
                <w:szCs w:val="21"/>
              </w:rPr>
            </w:pPr>
            <w:r>
              <w:rPr>
                <w:rFonts w:hint="eastAsia" w:ascii="宋体" w:hAnsi="宋体"/>
                <w:szCs w:val="21"/>
              </w:rPr>
              <w:t>16.66</w:t>
            </w:r>
          </w:p>
        </w:tc>
        <w:tc>
          <w:tcPr>
            <w:tcW w:w="0" w:type="auto"/>
            <w:tcBorders>
              <w:top w:val="outset" w:color="auto" w:sz="6" w:space="0"/>
              <w:left w:val="outset" w:color="auto" w:sz="6" w:space="0"/>
              <w:bottom w:val="outset" w:color="auto" w:sz="6" w:space="0"/>
              <w:right w:val="outset" w:color="auto" w:sz="6" w:space="0"/>
            </w:tcBorders>
            <w:vAlign w:val="center"/>
          </w:tcPr>
          <w:p>
            <w:pPr>
              <w:rPr>
                <w:rFonts w:ascii="宋体"/>
                <w:szCs w:val="21"/>
              </w:rPr>
            </w:pPr>
            <w:r>
              <w:rPr>
                <w:rFonts w:hint="eastAsia" w:ascii="宋体" w:hAnsi="宋体" w:cs="宋体"/>
                <w:szCs w:val="21"/>
              </w:rPr>
              <w:t>每半年付一次运营款</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0" w:type="auto"/>
            <w:tcBorders>
              <w:top w:val="outset" w:color="auto" w:sz="6" w:space="0"/>
              <w:left w:val="outset" w:color="auto" w:sz="6" w:space="0"/>
              <w:bottom w:val="outset" w:color="auto" w:sz="6" w:space="0"/>
              <w:right w:val="outset" w:color="auto" w:sz="6" w:space="0"/>
            </w:tcBorders>
            <w:vAlign w:val="center"/>
          </w:tcPr>
          <w:p>
            <w:pPr>
              <w:rPr>
                <w:rFonts w:ascii="宋体"/>
                <w:szCs w:val="21"/>
              </w:rPr>
            </w:pPr>
            <w:r>
              <w:rPr>
                <w:rFonts w:hint="eastAsia" w:ascii="宋体" w:hAnsi="宋体"/>
                <w:szCs w:val="21"/>
              </w:rPr>
              <w:t>3</w:t>
            </w:r>
          </w:p>
        </w:tc>
        <w:tc>
          <w:tcPr>
            <w:tcW w:w="0" w:type="auto"/>
            <w:tcBorders>
              <w:top w:val="outset" w:color="auto" w:sz="6" w:space="0"/>
              <w:left w:val="outset" w:color="auto" w:sz="6" w:space="0"/>
              <w:bottom w:val="outset" w:color="auto" w:sz="6" w:space="0"/>
              <w:right w:val="outset" w:color="auto" w:sz="6" w:space="0"/>
            </w:tcBorders>
            <w:vAlign w:val="center"/>
          </w:tcPr>
          <w:p>
            <w:pPr>
              <w:rPr>
                <w:rFonts w:ascii="宋体"/>
                <w:szCs w:val="21"/>
              </w:rPr>
            </w:pPr>
            <w:r>
              <w:rPr>
                <w:rFonts w:hint="eastAsia" w:ascii="宋体" w:hAnsi="宋体"/>
                <w:szCs w:val="21"/>
              </w:rPr>
              <w:t>16.66</w:t>
            </w:r>
          </w:p>
        </w:tc>
        <w:tc>
          <w:tcPr>
            <w:tcW w:w="0" w:type="auto"/>
            <w:tcBorders>
              <w:top w:val="outset" w:color="auto" w:sz="6" w:space="0"/>
              <w:left w:val="outset" w:color="auto" w:sz="6" w:space="0"/>
              <w:bottom w:val="outset" w:color="auto" w:sz="6" w:space="0"/>
              <w:right w:val="outset" w:color="auto" w:sz="6" w:space="0"/>
            </w:tcBorders>
            <w:vAlign w:val="center"/>
          </w:tcPr>
          <w:p>
            <w:pPr>
              <w:rPr>
                <w:rFonts w:ascii="宋体"/>
                <w:szCs w:val="21"/>
              </w:rPr>
            </w:pPr>
            <w:r>
              <w:rPr>
                <w:rFonts w:hint="eastAsia" w:ascii="宋体" w:hAnsi="宋体" w:cs="宋体"/>
                <w:szCs w:val="21"/>
              </w:rPr>
              <w:t>每半年付一次运营款</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0" w:type="auto"/>
            <w:tcBorders>
              <w:top w:val="outset" w:color="auto" w:sz="6" w:space="0"/>
              <w:left w:val="outset" w:color="auto" w:sz="6" w:space="0"/>
              <w:bottom w:val="outset" w:color="auto" w:sz="6" w:space="0"/>
              <w:right w:val="outset" w:color="auto" w:sz="6" w:space="0"/>
            </w:tcBorders>
            <w:vAlign w:val="center"/>
          </w:tcPr>
          <w:p>
            <w:pPr>
              <w:rPr>
                <w:rFonts w:ascii="宋体"/>
                <w:szCs w:val="21"/>
              </w:rPr>
            </w:pPr>
            <w:r>
              <w:rPr>
                <w:rFonts w:hint="eastAsia" w:ascii="宋体" w:hAnsi="宋体"/>
                <w:szCs w:val="21"/>
              </w:rPr>
              <w:t>4</w:t>
            </w:r>
          </w:p>
        </w:tc>
        <w:tc>
          <w:tcPr>
            <w:tcW w:w="0" w:type="auto"/>
            <w:tcBorders>
              <w:top w:val="outset" w:color="auto" w:sz="6" w:space="0"/>
              <w:left w:val="outset" w:color="auto" w:sz="6" w:space="0"/>
              <w:bottom w:val="outset" w:color="auto" w:sz="6" w:space="0"/>
              <w:right w:val="outset" w:color="auto" w:sz="6" w:space="0"/>
            </w:tcBorders>
            <w:vAlign w:val="center"/>
          </w:tcPr>
          <w:p>
            <w:pPr>
              <w:rPr>
                <w:rFonts w:ascii="宋体"/>
                <w:szCs w:val="21"/>
              </w:rPr>
            </w:pPr>
            <w:r>
              <w:rPr>
                <w:rFonts w:hint="eastAsia" w:ascii="宋体" w:hAnsi="宋体"/>
                <w:szCs w:val="21"/>
              </w:rPr>
              <w:t>16.66</w:t>
            </w:r>
          </w:p>
        </w:tc>
        <w:tc>
          <w:tcPr>
            <w:tcW w:w="0" w:type="auto"/>
            <w:tcBorders>
              <w:top w:val="outset" w:color="auto" w:sz="6" w:space="0"/>
              <w:left w:val="outset" w:color="auto" w:sz="6" w:space="0"/>
              <w:bottom w:val="outset" w:color="auto" w:sz="6" w:space="0"/>
              <w:right w:val="outset" w:color="auto" w:sz="6" w:space="0"/>
            </w:tcBorders>
            <w:vAlign w:val="center"/>
          </w:tcPr>
          <w:p>
            <w:pPr>
              <w:rPr>
                <w:rFonts w:ascii="宋体"/>
                <w:szCs w:val="21"/>
              </w:rPr>
            </w:pPr>
            <w:r>
              <w:rPr>
                <w:rFonts w:hint="eastAsia" w:ascii="宋体" w:hAnsi="宋体" w:cs="宋体"/>
                <w:szCs w:val="21"/>
              </w:rPr>
              <w:t>每半年付一次运营款</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0" w:type="auto"/>
            <w:tcBorders>
              <w:top w:val="outset" w:color="auto" w:sz="6" w:space="0"/>
              <w:left w:val="outset" w:color="auto" w:sz="6" w:space="0"/>
              <w:bottom w:val="outset" w:color="auto" w:sz="6" w:space="0"/>
              <w:right w:val="outset" w:color="auto" w:sz="6" w:space="0"/>
            </w:tcBorders>
            <w:vAlign w:val="center"/>
          </w:tcPr>
          <w:p>
            <w:pPr>
              <w:rPr>
                <w:rFonts w:ascii="宋体"/>
                <w:szCs w:val="21"/>
              </w:rPr>
            </w:pPr>
            <w:r>
              <w:rPr>
                <w:rFonts w:hint="eastAsia" w:ascii="宋体" w:hAnsi="宋体"/>
                <w:szCs w:val="21"/>
              </w:rPr>
              <w:t>5</w:t>
            </w:r>
          </w:p>
        </w:tc>
        <w:tc>
          <w:tcPr>
            <w:tcW w:w="0" w:type="auto"/>
            <w:tcBorders>
              <w:top w:val="outset" w:color="auto" w:sz="6" w:space="0"/>
              <w:left w:val="outset" w:color="auto" w:sz="6" w:space="0"/>
              <w:bottom w:val="outset" w:color="auto" w:sz="6" w:space="0"/>
              <w:right w:val="outset" w:color="auto" w:sz="6" w:space="0"/>
            </w:tcBorders>
            <w:vAlign w:val="center"/>
          </w:tcPr>
          <w:p>
            <w:pPr>
              <w:rPr>
                <w:rFonts w:ascii="宋体"/>
                <w:szCs w:val="21"/>
              </w:rPr>
            </w:pPr>
            <w:r>
              <w:rPr>
                <w:rFonts w:hint="eastAsia" w:ascii="宋体" w:hAnsi="宋体"/>
                <w:szCs w:val="21"/>
              </w:rPr>
              <w:t>16.66</w:t>
            </w:r>
          </w:p>
        </w:tc>
        <w:tc>
          <w:tcPr>
            <w:tcW w:w="0" w:type="auto"/>
            <w:tcBorders>
              <w:top w:val="outset" w:color="auto" w:sz="6" w:space="0"/>
              <w:left w:val="outset" w:color="auto" w:sz="6" w:space="0"/>
              <w:bottom w:val="outset" w:color="auto" w:sz="6" w:space="0"/>
              <w:right w:val="outset" w:color="auto" w:sz="6" w:space="0"/>
            </w:tcBorders>
            <w:vAlign w:val="center"/>
          </w:tcPr>
          <w:p>
            <w:pPr>
              <w:rPr>
                <w:rFonts w:ascii="宋体"/>
                <w:szCs w:val="21"/>
              </w:rPr>
            </w:pPr>
            <w:r>
              <w:rPr>
                <w:rFonts w:hint="eastAsia" w:ascii="宋体" w:hAnsi="宋体" w:cs="宋体"/>
                <w:szCs w:val="21"/>
              </w:rPr>
              <w:t>每半年付一次运营款</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0" w:type="auto"/>
            <w:tcBorders>
              <w:top w:val="outset" w:color="auto" w:sz="6" w:space="0"/>
              <w:left w:val="outset" w:color="auto" w:sz="6" w:space="0"/>
              <w:bottom w:val="outset" w:color="auto" w:sz="6" w:space="0"/>
              <w:right w:val="outset" w:color="auto" w:sz="6" w:space="0"/>
            </w:tcBorders>
            <w:vAlign w:val="center"/>
          </w:tcPr>
          <w:p>
            <w:pPr>
              <w:rPr>
                <w:rFonts w:ascii="宋体"/>
                <w:szCs w:val="21"/>
              </w:rPr>
            </w:pPr>
            <w:r>
              <w:rPr>
                <w:rFonts w:hint="eastAsia" w:ascii="宋体" w:hAnsi="宋体"/>
                <w:szCs w:val="21"/>
              </w:rPr>
              <w:t>6</w:t>
            </w:r>
          </w:p>
        </w:tc>
        <w:tc>
          <w:tcPr>
            <w:tcW w:w="0" w:type="auto"/>
            <w:tcBorders>
              <w:top w:val="outset" w:color="auto" w:sz="6" w:space="0"/>
              <w:left w:val="outset" w:color="auto" w:sz="6" w:space="0"/>
              <w:bottom w:val="outset" w:color="auto" w:sz="6" w:space="0"/>
              <w:right w:val="outset" w:color="auto" w:sz="6" w:space="0"/>
            </w:tcBorders>
            <w:vAlign w:val="center"/>
          </w:tcPr>
          <w:p>
            <w:pPr>
              <w:rPr>
                <w:rFonts w:ascii="宋体"/>
                <w:szCs w:val="21"/>
              </w:rPr>
            </w:pPr>
            <w:r>
              <w:rPr>
                <w:rFonts w:hint="eastAsia" w:ascii="宋体" w:hAnsi="宋体"/>
                <w:szCs w:val="21"/>
              </w:rPr>
              <w:t>16.70</w:t>
            </w:r>
          </w:p>
        </w:tc>
        <w:tc>
          <w:tcPr>
            <w:tcW w:w="0" w:type="auto"/>
            <w:tcBorders>
              <w:top w:val="outset" w:color="auto" w:sz="6" w:space="0"/>
              <w:left w:val="outset" w:color="auto" w:sz="6" w:space="0"/>
              <w:bottom w:val="outset" w:color="auto" w:sz="6" w:space="0"/>
              <w:right w:val="outset" w:color="auto" w:sz="6" w:space="0"/>
            </w:tcBorders>
            <w:vAlign w:val="center"/>
          </w:tcPr>
          <w:p>
            <w:pPr>
              <w:rPr>
                <w:rFonts w:ascii="宋体"/>
                <w:szCs w:val="21"/>
              </w:rPr>
            </w:pPr>
            <w:r>
              <w:rPr>
                <w:rFonts w:hint="eastAsia" w:ascii="宋体" w:hAnsi="宋体" w:cs="宋体"/>
                <w:szCs w:val="21"/>
              </w:rPr>
              <w:t>每半年付一次运营款</w:t>
            </w:r>
          </w:p>
        </w:tc>
      </w:tr>
    </w:tbl>
    <w:p>
      <w:pPr>
        <w:spacing w:before="300" w:after="150"/>
        <w:ind w:firstLine="480"/>
        <w:outlineLvl w:val="1"/>
        <w:rPr>
          <w:rFonts w:ascii="宋体"/>
          <w:b/>
          <w:bCs/>
          <w:szCs w:val="21"/>
        </w:rPr>
      </w:pPr>
      <w:r>
        <w:rPr>
          <w:rFonts w:hint="eastAsia" w:ascii="宋体" w:hAnsi="宋体"/>
          <w:b/>
          <w:szCs w:val="21"/>
        </w:rPr>
        <w:t>3、报价要求</w:t>
      </w:r>
    </w:p>
    <w:p>
      <w:pPr>
        <w:widowControl/>
        <w:spacing w:line="276" w:lineRule="auto"/>
        <w:ind w:firstLine="420" w:firstLineChars="200"/>
        <w:rPr>
          <w:rFonts w:ascii="宋体"/>
          <w:color w:val="393939"/>
          <w:szCs w:val="21"/>
          <w:shd w:val="clear" w:color="auto" w:fill="FFFFFF"/>
        </w:rPr>
      </w:pPr>
      <w:r>
        <w:rPr>
          <w:rFonts w:hint="eastAsia" w:ascii="宋体" w:hAnsi="宋体"/>
          <w:color w:val="393939"/>
          <w:szCs w:val="21"/>
          <w:shd w:val="clear" w:color="auto" w:fill="FFFFFF"/>
        </w:rPr>
        <w:t>（1）本次招标为整体招标，投标人必须对招标项目的所有内容进行报价响应。</w:t>
      </w:r>
    </w:p>
    <w:p>
      <w:pPr>
        <w:widowControl/>
        <w:spacing w:line="276" w:lineRule="auto"/>
        <w:ind w:firstLine="420" w:firstLineChars="200"/>
        <w:rPr>
          <w:rFonts w:ascii="宋体"/>
          <w:color w:val="393939"/>
          <w:szCs w:val="21"/>
          <w:shd w:val="clear" w:color="auto" w:fill="FFFFFF"/>
        </w:rPr>
      </w:pPr>
      <w:r>
        <w:rPr>
          <w:rFonts w:hint="eastAsia" w:ascii="宋体" w:hAnsi="宋体"/>
          <w:color w:val="393939"/>
          <w:szCs w:val="21"/>
          <w:shd w:val="clear" w:color="auto" w:fill="FFFFFF"/>
        </w:rPr>
        <w:t>（2）投标人的投标报价只能有一个，招标采购单位不接受有选择的报价。</w:t>
      </w:r>
    </w:p>
    <w:p>
      <w:pPr>
        <w:widowControl/>
        <w:spacing w:before="100" w:beforeAutospacing="1" w:after="100" w:afterAutospacing="1" w:line="276" w:lineRule="auto"/>
        <w:ind w:right="-1" w:firstLine="480"/>
        <w:jc w:val="left"/>
        <w:rPr>
          <w:rFonts w:ascii="宋体" w:hAnsi="宋体"/>
          <w:color w:val="393939"/>
          <w:szCs w:val="21"/>
          <w:shd w:val="clear" w:color="auto" w:fill="FFFFFF"/>
        </w:rPr>
      </w:pPr>
      <w:r>
        <w:rPr>
          <w:rFonts w:hint="eastAsia" w:ascii="宋体" w:hAnsi="宋体"/>
          <w:color w:val="393939"/>
          <w:szCs w:val="21"/>
          <w:shd w:val="clear" w:color="auto" w:fill="FFFFFF"/>
        </w:rPr>
        <w:t>（3）报价包括车辆及维修工具使用费、人员成本和管理费用三部分。投标总报价为投标项目运营维护过程中所有可能发生的费用，包括但不限于耗材、易耗件、备品备件、交通费、维修费、管理费、人工费、站点运维的水电费、网络费、场地费，年度手工颗粒物比对检测费以及站房防雷检测费等所有与完成本项目有关的费用。</w:t>
      </w:r>
    </w:p>
    <w:p>
      <w:pPr>
        <w:widowControl/>
        <w:spacing w:line="276" w:lineRule="auto"/>
        <w:ind w:firstLine="420" w:firstLineChars="200"/>
        <w:rPr>
          <w:rFonts w:ascii="宋体" w:hAnsi="宋体"/>
          <w:color w:val="393939"/>
          <w:szCs w:val="21"/>
          <w:shd w:val="clear" w:color="auto" w:fill="FFFFFF"/>
        </w:rPr>
      </w:pPr>
    </w:p>
    <w:p>
      <w:pPr>
        <w:widowControl/>
        <w:spacing w:line="276" w:lineRule="auto"/>
        <w:ind w:firstLine="420" w:firstLineChars="200"/>
        <w:rPr>
          <w:rFonts w:ascii="宋体"/>
          <w:color w:val="393939"/>
          <w:szCs w:val="21"/>
          <w:shd w:val="clear" w:color="auto" w:fill="FFFFFF"/>
        </w:rPr>
      </w:pPr>
    </w:p>
    <w:p>
      <w:pPr>
        <w:spacing w:after="150" w:line="300" w:lineRule="atLeast"/>
        <w:rPr>
          <w:rFonts w:ascii="宋体"/>
          <w:b/>
          <w:szCs w:val="21"/>
        </w:rPr>
      </w:pPr>
      <w:r>
        <w:rPr>
          <w:rFonts w:hint="eastAsia" w:ascii="宋体" w:hAnsi="宋体"/>
          <w:b/>
          <w:szCs w:val="21"/>
        </w:rPr>
        <w:t>4、付款条件</w:t>
      </w:r>
    </w:p>
    <w:p>
      <w:pPr>
        <w:widowControl/>
        <w:spacing w:line="276" w:lineRule="auto"/>
        <w:ind w:firstLine="420" w:firstLineChars="200"/>
        <w:rPr>
          <w:rFonts w:ascii="宋体"/>
          <w:color w:val="393939"/>
          <w:szCs w:val="21"/>
          <w:shd w:val="clear" w:color="auto" w:fill="FFFFFF"/>
        </w:rPr>
      </w:pPr>
      <w:r>
        <w:rPr>
          <w:rFonts w:hint="eastAsia" w:ascii="宋体" w:hAnsi="宋体"/>
          <w:color w:val="393939"/>
          <w:szCs w:val="21"/>
          <w:shd w:val="clear" w:color="auto" w:fill="FFFFFF"/>
        </w:rPr>
        <w:t>（1）本项目的服务期限为三年。每年按照各空气站半年考核意见汇总情况，分2次支付给受托费用。在每个半年开始的15个工作日内支付上半年的运行管理费及维修费。</w:t>
      </w:r>
    </w:p>
    <w:p>
      <w:pPr>
        <w:widowControl/>
        <w:spacing w:line="276" w:lineRule="auto"/>
        <w:ind w:firstLine="420" w:firstLineChars="200"/>
        <w:rPr>
          <w:rFonts w:ascii="宋体"/>
          <w:color w:val="393939"/>
          <w:szCs w:val="21"/>
          <w:shd w:val="clear" w:color="auto" w:fill="FFFFFF"/>
        </w:rPr>
      </w:pPr>
      <w:r>
        <w:rPr>
          <w:rFonts w:hint="eastAsia" w:ascii="宋体" w:hAnsi="宋体"/>
          <w:color w:val="393939"/>
          <w:szCs w:val="21"/>
          <w:shd w:val="clear" w:color="auto" w:fill="FFFFFF"/>
        </w:rPr>
        <w:t>（2）各站点考评按站按月分别考核，采购人按月考核结果统计评分后付款。考核总分为100分，其中考核85分及以上为优秀，按照年度服务费（中标金额的1/3）折算为每月的100%比例支付；75-84分为良好，按照年度服务费（中标金额的1/3）折算为每月的95%比例支付；60-74分为合格，按照年度服务费（中标金额的1/3）折算为每月的85%比例支付；60分以下为不合格，不支付该月该站运维经费。连续两个月60分以下取消运维合同。</w:t>
      </w:r>
    </w:p>
    <w:p>
      <w:pPr>
        <w:widowControl/>
        <w:spacing w:line="276" w:lineRule="auto"/>
        <w:ind w:firstLine="420" w:firstLineChars="200"/>
        <w:rPr>
          <w:rFonts w:ascii="宋体"/>
          <w:color w:val="393939"/>
          <w:szCs w:val="21"/>
          <w:shd w:val="clear" w:color="auto" w:fill="FFFFFF"/>
        </w:rPr>
      </w:pPr>
      <w:r>
        <w:rPr>
          <w:rFonts w:hint="eastAsia" w:ascii="宋体" w:hAnsi="宋体"/>
          <w:color w:val="393939"/>
          <w:szCs w:val="21"/>
          <w:shd w:val="clear" w:color="auto" w:fill="FFFFFF"/>
        </w:rPr>
        <w:t>（3）每半年维护结束后15日内，中标方根据附表一《环境自动监测系统运行管理检查综合评议表》，提交空气站的运行情况、维护情况、数据获取率，数据缺失及原因、突发情况汇总、仪器维修情况、校准情况、各子站站房设备和仪器性能进行评估、监测仪器可能潜在的问题提出改善建议的报告。</w:t>
      </w:r>
    </w:p>
    <w:p>
      <w:pPr>
        <w:widowControl/>
        <w:spacing w:line="276" w:lineRule="auto"/>
        <w:ind w:firstLine="420" w:firstLineChars="200"/>
        <w:rPr>
          <w:rFonts w:ascii="宋体"/>
          <w:color w:val="393939"/>
          <w:szCs w:val="21"/>
          <w:shd w:val="clear" w:color="auto" w:fill="FFFFFF"/>
        </w:rPr>
      </w:pPr>
      <w:r>
        <w:rPr>
          <w:rFonts w:hint="eastAsia" w:ascii="宋体" w:hAnsi="宋体"/>
          <w:color w:val="393939"/>
          <w:szCs w:val="21"/>
          <w:shd w:val="clear" w:color="auto" w:fill="FFFFFF"/>
        </w:rPr>
        <w:t>（4）中标方根据附表一《环境自动监测系统运行管理检查综合评议表》每月进行自评分，采购方进行复核。</w:t>
      </w:r>
    </w:p>
    <w:p>
      <w:pPr>
        <w:widowControl/>
        <w:spacing w:line="276" w:lineRule="auto"/>
        <w:ind w:firstLine="420" w:firstLineChars="200"/>
        <w:rPr>
          <w:rFonts w:ascii="宋体"/>
          <w:color w:val="393939"/>
          <w:szCs w:val="21"/>
          <w:shd w:val="clear" w:color="auto" w:fill="FFFFFF"/>
        </w:rPr>
      </w:pPr>
      <w:r>
        <w:rPr>
          <w:rFonts w:hint="eastAsia" w:ascii="宋体" w:hAnsi="宋体"/>
          <w:color w:val="393939"/>
          <w:szCs w:val="21"/>
          <w:shd w:val="clear" w:color="auto" w:fill="FFFFFF"/>
        </w:rPr>
        <w:t>（5）中标人承担的有关费用。中标人所提供的运营服务费用应包括日常运营工作所需要的全部费用，包括且不限于耗材、易耗件、备品备件、交通费、维修费、保险费、保险费、人工费等。</w:t>
      </w:r>
    </w:p>
    <w:p>
      <w:pPr>
        <w:spacing w:after="150" w:line="495" w:lineRule="atLeast"/>
        <w:ind w:firstLine="480"/>
        <w:rPr>
          <w:rFonts w:ascii="宋体"/>
          <w:szCs w:val="21"/>
        </w:rPr>
      </w:pPr>
      <w:r>
        <w:rPr>
          <w:rFonts w:hint="eastAsia" w:ascii="宋体" w:hAnsi="宋体"/>
          <w:b/>
          <w:szCs w:val="21"/>
        </w:rPr>
        <w:t>5、 管理与考核</w:t>
      </w:r>
    </w:p>
    <w:p>
      <w:pPr>
        <w:widowControl/>
        <w:spacing w:line="276" w:lineRule="auto"/>
        <w:ind w:firstLine="420" w:firstLineChars="200"/>
        <w:rPr>
          <w:rFonts w:ascii="宋体"/>
          <w:color w:val="393939"/>
          <w:szCs w:val="21"/>
          <w:shd w:val="clear" w:color="auto" w:fill="FFFFFF"/>
        </w:rPr>
      </w:pPr>
      <w:r>
        <w:rPr>
          <w:rFonts w:hint="eastAsia" w:ascii="宋体" w:hAnsi="宋体"/>
          <w:color w:val="393939"/>
          <w:szCs w:val="21"/>
          <w:shd w:val="clear" w:color="auto" w:fill="FFFFFF"/>
        </w:rPr>
        <w:t>（1） 考核由采购人组织实施，在中标人提交服务报告后，采购人在两周内完成考核复核。</w:t>
      </w:r>
    </w:p>
    <w:p>
      <w:pPr>
        <w:widowControl/>
        <w:spacing w:line="276" w:lineRule="auto"/>
        <w:ind w:firstLine="420" w:firstLineChars="200"/>
        <w:rPr>
          <w:rFonts w:ascii="宋体"/>
          <w:color w:val="393939"/>
          <w:szCs w:val="21"/>
          <w:shd w:val="clear" w:color="auto" w:fill="FFFFFF"/>
        </w:rPr>
      </w:pPr>
      <w:r>
        <w:rPr>
          <w:rFonts w:hint="eastAsia" w:ascii="宋体" w:hAnsi="宋体"/>
          <w:color w:val="393939"/>
          <w:szCs w:val="21"/>
          <w:shd w:val="clear" w:color="auto" w:fill="FFFFFF"/>
        </w:rPr>
        <w:t>（2） 服务考核主要针对各站分别按照维护现场完成情况、标气考核、系统维护报告完整性完成情况和服务承诺等进行考评（各站点考评按站月分别考核，然后按站按月考核结果每半年付款一次）。</w:t>
      </w:r>
    </w:p>
    <w:p>
      <w:pPr>
        <w:widowControl/>
        <w:spacing w:line="276" w:lineRule="auto"/>
        <w:ind w:firstLine="420" w:firstLineChars="200"/>
        <w:rPr>
          <w:rFonts w:ascii="宋体"/>
          <w:color w:val="393939"/>
          <w:szCs w:val="21"/>
          <w:shd w:val="clear" w:color="auto" w:fill="FFFFFF"/>
        </w:rPr>
      </w:pPr>
      <w:r>
        <w:rPr>
          <w:rFonts w:ascii="宋体"/>
          <w:color w:val="393939"/>
          <w:szCs w:val="21"/>
          <w:shd w:val="clear" w:color="auto" w:fill="FFFFFF"/>
        </w:rPr>
        <w:t> </w:t>
      </w:r>
    </w:p>
    <w:p>
      <w:pPr>
        <w:widowControl/>
        <w:spacing w:line="276" w:lineRule="auto"/>
        <w:ind w:firstLine="420" w:firstLineChars="200"/>
        <w:rPr>
          <w:rFonts w:ascii="宋体"/>
          <w:color w:val="393939"/>
          <w:szCs w:val="21"/>
          <w:shd w:val="clear" w:color="auto" w:fill="FFFFFF"/>
        </w:rPr>
      </w:pPr>
    </w:p>
    <w:p>
      <w:pPr>
        <w:widowControl/>
        <w:spacing w:line="276" w:lineRule="auto"/>
        <w:ind w:firstLine="420" w:firstLineChars="200"/>
        <w:rPr>
          <w:rFonts w:ascii="宋体"/>
          <w:color w:val="393939"/>
          <w:szCs w:val="21"/>
          <w:shd w:val="clear" w:color="auto" w:fill="FFFFFF"/>
        </w:rPr>
      </w:pPr>
    </w:p>
    <w:p>
      <w:pPr>
        <w:widowControl/>
        <w:spacing w:line="276" w:lineRule="auto"/>
        <w:ind w:firstLine="420" w:firstLineChars="200"/>
        <w:rPr>
          <w:rFonts w:ascii="宋体"/>
          <w:color w:val="393939"/>
          <w:szCs w:val="21"/>
          <w:shd w:val="clear" w:color="auto" w:fill="FFFFFF"/>
        </w:rPr>
      </w:pPr>
    </w:p>
    <w:p>
      <w:pPr>
        <w:widowControl/>
        <w:spacing w:line="276" w:lineRule="auto"/>
        <w:ind w:firstLine="420" w:firstLineChars="200"/>
        <w:rPr>
          <w:rFonts w:ascii="宋体"/>
          <w:color w:val="393939"/>
          <w:szCs w:val="21"/>
          <w:shd w:val="clear" w:color="auto" w:fill="FFFFFF"/>
        </w:rPr>
      </w:pPr>
    </w:p>
    <w:p>
      <w:pPr>
        <w:widowControl/>
        <w:spacing w:line="276" w:lineRule="auto"/>
        <w:ind w:firstLine="420" w:firstLineChars="200"/>
        <w:rPr>
          <w:rFonts w:ascii="宋体"/>
          <w:color w:val="393939"/>
          <w:szCs w:val="21"/>
          <w:shd w:val="clear" w:color="auto" w:fill="FFFFFF"/>
        </w:rPr>
      </w:pPr>
    </w:p>
    <w:p>
      <w:pPr>
        <w:widowControl/>
        <w:spacing w:line="276" w:lineRule="auto"/>
        <w:ind w:firstLine="420" w:firstLineChars="200"/>
        <w:rPr>
          <w:rFonts w:ascii="宋体"/>
          <w:color w:val="393939"/>
          <w:szCs w:val="21"/>
          <w:shd w:val="clear" w:color="auto" w:fill="FFFFFF"/>
        </w:rPr>
      </w:pPr>
    </w:p>
    <w:p>
      <w:pPr>
        <w:widowControl/>
        <w:spacing w:line="276" w:lineRule="auto"/>
        <w:ind w:firstLine="420" w:firstLineChars="200"/>
        <w:rPr>
          <w:rFonts w:ascii="宋体"/>
          <w:color w:val="393939"/>
          <w:szCs w:val="21"/>
          <w:shd w:val="clear" w:color="auto" w:fill="FFFFFF"/>
        </w:rPr>
      </w:pPr>
    </w:p>
    <w:p>
      <w:pPr>
        <w:widowControl/>
        <w:spacing w:line="276" w:lineRule="auto"/>
        <w:ind w:firstLine="420" w:firstLineChars="200"/>
        <w:rPr>
          <w:rFonts w:ascii="宋体"/>
          <w:color w:val="393939"/>
          <w:szCs w:val="21"/>
          <w:shd w:val="clear" w:color="auto" w:fill="FFFFFF"/>
        </w:rPr>
      </w:pPr>
    </w:p>
    <w:p>
      <w:pPr>
        <w:widowControl/>
        <w:spacing w:line="276" w:lineRule="auto"/>
        <w:ind w:firstLine="420" w:firstLineChars="200"/>
        <w:rPr>
          <w:rFonts w:ascii="宋体"/>
          <w:szCs w:val="21"/>
        </w:rPr>
      </w:pPr>
      <w:r>
        <w:rPr>
          <w:rFonts w:hint="eastAsia" w:ascii="宋体" w:hAnsi="宋体"/>
          <w:szCs w:val="21"/>
        </w:rPr>
        <w:t>附表一：</w:t>
      </w:r>
    </w:p>
    <w:p>
      <w:pPr>
        <w:spacing w:after="150" w:line="375" w:lineRule="atLeast"/>
        <w:jc w:val="center"/>
        <w:rPr>
          <w:rFonts w:ascii="宋体"/>
          <w:b/>
          <w:sz w:val="32"/>
          <w:szCs w:val="32"/>
        </w:rPr>
      </w:pPr>
      <w:r>
        <w:rPr>
          <w:rFonts w:hint="eastAsia" w:ascii="宋体" w:hAnsi="宋体"/>
          <w:b/>
          <w:sz w:val="32"/>
          <w:szCs w:val="32"/>
        </w:rPr>
        <w:t>环境自动监测系统运行管理检查综合评议表</w:t>
      </w:r>
    </w:p>
    <w:p>
      <w:pPr>
        <w:spacing w:after="150" w:line="375" w:lineRule="atLeast"/>
        <w:ind w:firstLine="210"/>
        <w:rPr>
          <w:rFonts w:ascii="宋体"/>
          <w:szCs w:val="21"/>
        </w:rPr>
      </w:pPr>
      <w:r>
        <w:rPr>
          <w:rFonts w:hint="eastAsia" w:ascii="宋体" w:hAnsi="宋体"/>
          <w:szCs w:val="21"/>
        </w:rPr>
        <w:t>考核站位</w:t>
      </w:r>
      <w:r>
        <w:rPr>
          <w:rFonts w:ascii="宋体"/>
          <w:szCs w:val="21"/>
        </w:rPr>
        <w:t>           </w:t>
      </w:r>
      <w:r>
        <w:rPr>
          <w:rFonts w:hint="eastAsia" w:ascii="宋体" w:hAnsi="宋体"/>
          <w:szCs w:val="21"/>
        </w:rPr>
        <w:t>时间：</w:t>
      </w:r>
      <w:r>
        <w:rPr>
          <w:rFonts w:ascii="宋体"/>
          <w:szCs w:val="21"/>
        </w:rPr>
        <w:t>              </w:t>
      </w:r>
      <w:r>
        <w:rPr>
          <w:rFonts w:hint="eastAsia" w:ascii="宋体" w:hAnsi="宋体"/>
          <w:szCs w:val="21"/>
        </w:rPr>
        <w:t>总分：</w:t>
      </w:r>
      <w:r>
        <w:rPr>
          <w:rFonts w:ascii="宋体"/>
          <w:szCs w:val="21"/>
        </w:rPr>
        <w:t> </w:t>
      </w:r>
    </w:p>
    <w:tbl>
      <w:tblPr>
        <w:tblStyle w:val="6"/>
        <w:tblW w:w="9405"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108" w:type="dxa"/>
          <w:bottom w:w="0" w:type="dxa"/>
          <w:right w:w="108" w:type="dxa"/>
        </w:tblCellMar>
      </w:tblPr>
      <w:tblGrid>
        <w:gridCol w:w="1425"/>
        <w:gridCol w:w="3570"/>
        <w:gridCol w:w="705"/>
        <w:gridCol w:w="570"/>
        <w:gridCol w:w="3135"/>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425" w:type="dxa"/>
            <w:tcBorders>
              <w:top w:val="outset" w:color="auto" w:sz="6" w:space="0"/>
              <w:left w:val="outset" w:color="auto" w:sz="6" w:space="0"/>
              <w:bottom w:val="outset" w:color="auto" w:sz="6" w:space="0"/>
              <w:right w:val="outset" w:color="auto" w:sz="6" w:space="0"/>
            </w:tcBorders>
            <w:shd w:val="clear" w:color="auto" w:fill="FFFFFF"/>
            <w:tcMar>
              <w:top w:w="0" w:type="dxa"/>
              <w:left w:w="105" w:type="dxa"/>
              <w:bottom w:w="0" w:type="dxa"/>
              <w:right w:w="105" w:type="dxa"/>
            </w:tcMar>
            <w:vAlign w:val="center"/>
          </w:tcPr>
          <w:p>
            <w:pPr>
              <w:spacing w:after="150" w:line="345" w:lineRule="atLeast"/>
              <w:jc w:val="center"/>
              <w:rPr>
                <w:rFonts w:ascii="宋体"/>
                <w:szCs w:val="21"/>
              </w:rPr>
            </w:pPr>
            <w:r>
              <w:rPr>
                <w:rFonts w:hint="eastAsia" w:ascii="宋体" w:hAnsi="宋体"/>
                <w:szCs w:val="21"/>
              </w:rPr>
              <w:t>检查内容</w:t>
            </w:r>
          </w:p>
        </w:tc>
        <w:tc>
          <w:tcPr>
            <w:tcW w:w="3570" w:type="dxa"/>
            <w:tcBorders>
              <w:top w:val="outset" w:color="auto" w:sz="6" w:space="0"/>
              <w:left w:val="nil"/>
              <w:bottom w:val="outset" w:color="auto" w:sz="6" w:space="0"/>
              <w:right w:val="outset" w:color="auto" w:sz="6" w:space="0"/>
            </w:tcBorders>
            <w:shd w:val="clear" w:color="auto" w:fill="FFFFFF"/>
            <w:tcMar>
              <w:top w:w="0" w:type="dxa"/>
              <w:left w:w="105" w:type="dxa"/>
              <w:bottom w:w="0" w:type="dxa"/>
              <w:right w:w="105" w:type="dxa"/>
            </w:tcMar>
            <w:vAlign w:val="center"/>
          </w:tcPr>
          <w:p>
            <w:pPr>
              <w:spacing w:after="150" w:line="345" w:lineRule="atLeast"/>
              <w:ind w:firstLine="180"/>
              <w:jc w:val="center"/>
              <w:rPr>
                <w:rFonts w:ascii="宋体"/>
                <w:szCs w:val="21"/>
              </w:rPr>
            </w:pPr>
            <w:r>
              <w:rPr>
                <w:rFonts w:hint="eastAsia" w:ascii="宋体" w:hAnsi="宋体"/>
                <w:szCs w:val="21"/>
              </w:rPr>
              <w:t>评</w:t>
            </w:r>
            <w:r>
              <w:rPr>
                <w:rFonts w:ascii="宋体"/>
                <w:szCs w:val="21"/>
              </w:rPr>
              <w:t> </w:t>
            </w:r>
            <w:r>
              <w:rPr>
                <w:rFonts w:hint="eastAsia" w:ascii="宋体" w:hAnsi="宋体"/>
                <w:szCs w:val="21"/>
              </w:rPr>
              <w:t>分</w:t>
            </w:r>
            <w:r>
              <w:rPr>
                <w:rFonts w:ascii="宋体"/>
                <w:szCs w:val="21"/>
              </w:rPr>
              <w:t> </w:t>
            </w:r>
            <w:r>
              <w:rPr>
                <w:rFonts w:hint="eastAsia" w:ascii="宋体" w:hAnsi="宋体"/>
                <w:szCs w:val="21"/>
              </w:rPr>
              <w:t>标</w:t>
            </w:r>
            <w:r>
              <w:rPr>
                <w:rFonts w:ascii="宋体"/>
                <w:szCs w:val="21"/>
              </w:rPr>
              <w:t> </w:t>
            </w:r>
            <w:r>
              <w:rPr>
                <w:rFonts w:hint="eastAsia" w:ascii="宋体" w:hAnsi="宋体"/>
                <w:szCs w:val="21"/>
              </w:rPr>
              <w:t>准</w:t>
            </w:r>
          </w:p>
        </w:tc>
        <w:tc>
          <w:tcPr>
            <w:tcW w:w="705" w:type="dxa"/>
            <w:tcBorders>
              <w:top w:val="outset" w:color="auto" w:sz="6" w:space="0"/>
              <w:left w:val="nil"/>
              <w:bottom w:val="outset" w:color="auto" w:sz="6" w:space="0"/>
              <w:right w:val="outset" w:color="auto" w:sz="6" w:space="0"/>
            </w:tcBorders>
            <w:shd w:val="clear" w:color="auto" w:fill="FFFFFF"/>
            <w:tcMar>
              <w:top w:w="0" w:type="dxa"/>
              <w:left w:w="105" w:type="dxa"/>
              <w:bottom w:w="0" w:type="dxa"/>
              <w:right w:w="105" w:type="dxa"/>
            </w:tcMar>
            <w:vAlign w:val="center"/>
          </w:tcPr>
          <w:p>
            <w:pPr>
              <w:spacing w:after="150" w:line="345" w:lineRule="atLeast"/>
              <w:jc w:val="center"/>
              <w:rPr>
                <w:rFonts w:ascii="宋体"/>
                <w:szCs w:val="21"/>
              </w:rPr>
            </w:pPr>
            <w:r>
              <w:rPr>
                <w:rFonts w:hint="eastAsia" w:ascii="宋体" w:hAnsi="宋体"/>
                <w:szCs w:val="21"/>
              </w:rPr>
              <w:t>分值</w:t>
            </w:r>
          </w:p>
        </w:tc>
        <w:tc>
          <w:tcPr>
            <w:tcW w:w="570" w:type="dxa"/>
            <w:tcBorders>
              <w:top w:val="outset" w:color="auto" w:sz="6" w:space="0"/>
              <w:left w:val="nil"/>
              <w:bottom w:val="outset" w:color="auto" w:sz="6" w:space="0"/>
              <w:right w:val="outset" w:color="auto" w:sz="6" w:space="0"/>
            </w:tcBorders>
            <w:shd w:val="clear" w:color="auto" w:fill="FFFFFF"/>
            <w:tcMar>
              <w:top w:w="0" w:type="dxa"/>
              <w:left w:w="105" w:type="dxa"/>
              <w:bottom w:w="0" w:type="dxa"/>
              <w:right w:w="105" w:type="dxa"/>
            </w:tcMar>
            <w:vAlign w:val="center"/>
          </w:tcPr>
          <w:p>
            <w:pPr>
              <w:spacing w:after="150" w:line="345" w:lineRule="atLeast"/>
              <w:jc w:val="center"/>
              <w:rPr>
                <w:rFonts w:ascii="宋体"/>
                <w:szCs w:val="21"/>
              </w:rPr>
            </w:pPr>
            <w:r>
              <w:rPr>
                <w:rFonts w:hint="eastAsia" w:ascii="宋体" w:hAnsi="宋体"/>
                <w:szCs w:val="21"/>
              </w:rPr>
              <w:t>得分</w:t>
            </w:r>
          </w:p>
        </w:tc>
        <w:tc>
          <w:tcPr>
            <w:tcW w:w="3135" w:type="dxa"/>
            <w:tcBorders>
              <w:top w:val="outset" w:color="auto" w:sz="6" w:space="0"/>
              <w:left w:val="nil"/>
              <w:bottom w:val="outset" w:color="auto" w:sz="6" w:space="0"/>
              <w:right w:val="outset" w:color="auto" w:sz="6" w:space="0"/>
            </w:tcBorders>
            <w:shd w:val="clear" w:color="auto" w:fill="FFFFFF"/>
            <w:tcMar>
              <w:top w:w="0" w:type="dxa"/>
              <w:left w:w="105" w:type="dxa"/>
              <w:bottom w:w="0" w:type="dxa"/>
              <w:right w:w="105" w:type="dxa"/>
            </w:tcMar>
            <w:vAlign w:val="center"/>
          </w:tcPr>
          <w:p>
            <w:pPr>
              <w:spacing w:after="150" w:line="345" w:lineRule="atLeast"/>
              <w:jc w:val="center"/>
              <w:rPr>
                <w:rFonts w:ascii="宋体"/>
                <w:szCs w:val="21"/>
              </w:rPr>
            </w:pPr>
            <w:r>
              <w:rPr>
                <w:rFonts w:hint="eastAsia" w:ascii="宋体" w:hAnsi="宋体"/>
                <w:szCs w:val="21"/>
              </w:rPr>
              <w:t>详细说明</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425" w:type="dxa"/>
            <w:tcBorders>
              <w:top w:val="nil"/>
              <w:left w:val="outset" w:color="auto" w:sz="6" w:space="0"/>
              <w:bottom w:val="outset" w:color="auto" w:sz="6" w:space="0"/>
              <w:right w:val="outset" w:color="auto" w:sz="6" w:space="0"/>
            </w:tcBorders>
            <w:shd w:val="clear" w:color="auto" w:fill="FFFFFF"/>
            <w:tcMar>
              <w:top w:w="0" w:type="dxa"/>
              <w:left w:w="105" w:type="dxa"/>
              <w:bottom w:w="0" w:type="dxa"/>
              <w:right w:w="105" w:type="dxa"/>
            </w:tcMar>
            <w:vAlign w:val="center"/>
          </w:tcPr>
          <w:p>
            <w:pPr>
              <w:spacing w:after="150" w:line="345" w:lineRule="atLeast"/>
              <w:rPr>
                <w:rFonts w:ascii="宋体"/>
                <w:szCs w:val="21"/>
              </w:rPr>
            </w:pPr>
            <w:r>
              <w:rPr>
                <w:rFonts w:hint="eastAsia" w:ascii="宋体" w:hAnsi="宋体"/>
                <w:szCs w:val="21"/>
              </w:rPr>
              <w:t>运行环境</w:t>
            </w:r>
          </w:p>
        </w:tc>
        <w:tc>
          <w:tcPr>
            <w:tcW w:w="3570" w:type="dxa"/>
            <w:tcBorders>
              <w:top w:val="nil"/>
              <w:left w:val="nil"/>
              <w:bottom w:val="outset" w:color="auto" w:sz="6" w:space="0"/>
              <w:right w:val="outset" w:color="auto" w:sz="6" w:space="0"/>
            </w:tcBorders>
            <w:shd w:val="clear" w:color="auto" w:fill="FFFFFF"/>
            <w:tcMar>
              <w:top w:w="0" w:type="dxa"/>
              <w:left w:w="105" w:type="dxa"/>
              <w:bottom w:w="0" w:type="dxa"/>
              <w:right w:w="105" w:type="dxa"/>
            </w:tcMar>
            <w:vAlign w:val="center"/>
          </w:tcPr>
          <w:p>
            <w:pPr>
              <w:spacing w:after="150" w:line="345" w:lineRule="atLeast"/>
              <w:rPr>
                <w:rFonts w:ascii="宋体"/>
                <w:szCs w:val="21"/>
              </w:rPr>
            </w:pPr>
            <w:r>
              <w:rPr>
                <w:rFonts w:hint="eastAsia" w:ascii="宋体" w:hAnsi="宋体"/>
                <w:szCs w:val="21"/>
              </w:rPr>
              <w:t>室内整洁、干燥（RH85%以下），空调运行正常（15~35℃），保障仪器适合工作环境。</w:t>
            </w:r>
          </w:p>
        </w:tc>
        <w:tc>
          <w:tcPr>
            <w:tcW w:w="705" w:type="dxa"/>
            <w:tcBorders>
              <w:top w:val="nil"/>
              <w:left w:val="nil"/>
              <w:bottom w:val="outset" w:color="auto" w:sz="6" w:space="0"/>
              <w:right w:val="outset" w:color="auto" w:sz="6" w:space="0"/>
            </w:tcBorders>
            <w:shd w:val="clear" w:color="auto" w:fill="FFFFFF"/>
            <w:tcMar>
              <w:top w:w="0" w:type="dxa"/>
              <w:left w:w="105" w:type="dxa"/>
              <w:bottom w:w="0" w:type="dxa"/>
              <w:right w:w="105" w:type="dxa"/>
            </w:tcMar>
            <w:vAlign w:val="center"/>
          </w:tcPr>
          <w:p>
            <w:pPr>
              <w:spacing w:after="150" w:line="345" w:lineRule="atLeast"/>
              <w:rPr>
                <w:rFonts w:ascii="宋体"/>
                <w:szCs w:val="21"/>
              </w:rPr>
            </w:pPr>
            <w:r>
              <w:rPr>
                <w:rFonts w:hint="eastAsia" w:ascii="宋体" w:hAnsi="宋体"/>
                <w:szCs w:val="21"/>
              </w:rPr>
              <w:t>6</w:t>
            </w:r>
          </w:p>
        </w:tc>
        <w:tc>
          <w:tcPr>
            <w:tcW w:w="570" w:type="dxa"/>
            <w:tcBorders>
              <w:top w:val="nil"/>
              <w:left w:val="nil"/>
              <w:bottom w:val="outset" w:color="auto" w:sz="6" w:space="0"/>
              <w:right w:val="outset" w:color="auto" w:sz="6" w:space="0"/>
            </w:tcBorders>
            <w:shd w:val="clear" w:color="auto" w:fill="FFFFFF"/>
            <w:tcMar>
              <w:top w:w="0" w:type="dxa"/>
              <w:left w:w="105" w:type="dxa"/>
              <w:bottom w:w="0" w:type="dxa"/>
              <w:right w:w="105" w:type="dxa"/>
            </w:tcMar>
            <w:vAlign w:val="center"/>
          </w:tcPr>
          <w:p>
            <w:pPr>
              <w:rPr>
                <w:rFonts w:ascii="宋体"/>
                <w:szCs w:val="21"/>
              </w:rPr>
            </w:pPr>
          </w:p>
        </w:tc>
        <w:tc>
          <w:tcPr>
            <w:tcW w:w="3135" w:type="dxa"/>
            <w:tcBorders>
              <w:top w:val="nil"/>
              <w:left w:val="nil"/>
              <w:bottom w:val="outset" w:color="auto" w:sz="6" w:space="0"/>
              <w:right w:val="outset" w:color="auto" w:sz="6" w:space="0"/>
            </w:tcBorders>
            <w:shd w:val="clear" w:color="auto" w:fill="FFFFFF"/>
            <w:tcMar>
              <w:top w:w="0" w:type="dxa"/>
              <w:left w:w="105" w:type="dxa"/>
              <w:bottom w:w="0" w:type="dxa"/>
              <w:right w:w="105" w:type="dxa"/>
            </w:tcMar>
            <w:vAlign w:val="center"/>
          </w:tcPr>
          <w:p>
            <w:pPr>
              <w:spacing w:after="150" w:line="345" w:lineRule="atLeast"/>
              <w:rPr>
                <w:rFonts w:ascii="宋体"/>
                <w:szCs w:val="21"/>
              </w:rPr>
            </w:pPr>
            <w:r>
              <w:rPr>
                <w:rFonts w:hint="eastAsia" w:ascii="宋体" w:hAnsi="宋体"/>
                <w:szCs w:val="21"/>
              </w:rPr>
              <w:t>室内整洁，干燥和温度分别打分；各2分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425" w:type="dxa"/>
            <w:tcBorders>
              <w:top w:val="nil"/>
              <w:left w:val="outset" w:color="auto" w:sz="6" w:space="0"/>
              <w:bottom w:val="outset" w:color="auto" w:sz="6" w:space="0"/>
              <w:right w:val="outset" w:color="auto" w:sz="6" w:space="0"/>
            </w:tcBorders>
            <w:shd w:val="clear" w:color="auto" w:fill="FFFFFF"/>
            <w:tcMar>
              <w:top w:w="0" w:type="dxa"/>
              <w:left w:w="105" w:type="dxa"/>
              <w:bottom w:w="0" w:type="dxa"/>
              <w:right w:w="105" w:type="dxa"/>
            </w:tcMar>
            <w:vAlign w:val="center"/>
          </w:tcPr>
          <w:p>
            <w:pPr>
              <w:spacing w:after="150" w:line="345" w:lineRule="atLeast"/>
              <w:rPr>
                <w:rFonts w:ascii="宋体"/>
                <w:szCs w:val="21"/>
              </w:rPr>
            </w:pPr>
            <w:r>
              <w:rPr>
                <w:rFonts w:hint="eastAsia" w:ascii="宋体" w:hAnsi="宋体"/>
                <w:szCs w:val="21"/>
              </w:rPr>
              <w:t>日常</w:t>
            </w:r>
          </w:p>
          <w:p>
            <w:pPr>
              <w:spacing w:after="150" w:line="345" w:lineRule="atLeast"/>
              <w:rPr>
                <w:rFonts w:ascii="宋体"/>
                <w:szCs w:val="21"/>
              </w:rPr>
            </w:pPr>
            <w:r>
              <w:rPr>
                <w:rFonts w:hint="eastAsia" w:ascii="宋体" w:hAnsi="宋体"/>
                <w:szCs w:val="21"/>
              </w:rPr>
              <w:t>质控</w:t>
            </w:r>
          </w:p>
        </w:tc>
        <w:tc>
          <w:tcPr>
            <w:tcW w:w="3570" w:type="dxa"/>
            <w:tcBorders>
              <w:top w:val="nil"/>
              <w:left w:val="nil"/>
              <w:bottom w:val="outset" w:color="auto" w:sz="6" w:space="0"/>
              <w:right w:val="outset" w:color="auto" w:sz="6" w:space="0"/>
            </w:tcBorders>
            <w:shd w:val="clear" w:color="auto" w:fill="FFFFFF"/>
            <w:tcMar>
              <w:top w:w="0" w:type="dxa"/>
              <w:left w:w="105" w:type="dxa"/>
              <w:bottom w:w="0" w:type="dxa"/>
              <w:right w:w="105" w:type="dxa"/>
            </w:tcMar>
            <w:vAlign w:val="center"/>
          </w:tcPr>
          <w:p>
            <w:pPr>
              <w:spacing w:after="150" w:line="345" w:lineRule="atLeast"/>
              <w:rPr>
                <w:rFonts w:ascii="宋体"/>
                <w:szCs w:val="21"/>
              </w:rPr>
            </w:pPr>
            <w:r>
              <w:rPr>
                <w:rFonts w:hint="eastAsia" w:ascii="宋体" w:hAnsi="宋体"/>
                <w:szCs w:val="21"/>
              </w:rPr>
              <w:t>巡检记录：所有的自动监测仪器必须按要求定期进行零点、标点及流量的检查，及时更换仪器滤膜、干燥剂；仪器标识清楚。</w:t>
            </w:r>
          </w:p>
          <w:p>
            <w:pPr>
              <w:spacing w:after="150" w:line="345" w:lineRule="atLeast"/>
              <w:rPr>
                <w:rFonts w:ascii="宋体"/>
                <w:szCs w:val="21"/>
              </w:rPr>
            </w:pPr>
            <w:r>
              <w:rPr>
                <w:rFonts w:hint="eastAsia" w:ascii="宋体" w:hAnsi="宋体"/>
                <w:szCs w:val="21"/>
              </w:rPr>
              <w:t>采样口有无异物，采样管路是否干净通畅；采样总管和PM10采样管有无加热（40℃），有无避免空调直吹；观察站点周围污染源、道路变化情况，如有异常及时上报。</w:t>
            </w:r>
          </w:p>
        </w:tc>
        <w:tc>
          <w:tcPr>
            <w:tcW w:w="705" w:type="dxa"/>
            <w:tcBorders>
              <w:top w:val="nil"/>
              <w:left w:val="nil"/>
              <w:bottom w:val="outset" w:color="auto" w:sz="6" w:space="0"/>
              <w:right w:val="outset" w:color="auto" w:sz="6" w:space="0"/>
            </w:tcBorders>
            <w:shd w:val="clear" w:color="auto" w:fill="FFFFFF"/>
            <w:tcMar>
              <w:top w:w="0" w:type="dxa"/>
              <w:left w:w="105" w:type="dxa"/>
              <w:bottom w:w="0" w:type="dxa"/>
              <w:right w:w="105" w:type="dxa"/>
            </w:tcMar>
            <w:vAlign w:val="center"/>
          </w:tcPr>
          <w:p>
            <w:pPr>
              <w:spacing w:after="150" w:line="345" w:lineRule="atLeast"/>
              <w:rPr>
                <w:rFonts w:ascii="宋体"/>
                <w:szCs w:val="21"/>
              </w:rPr>
            </w:pPr>
            <w:r>
              <w:rPr>
                <w:rFonts w:hint="eastAsia" w:ascii="宋体" w:hAnsi="宋体"/>
                <w:szCs w:val="21"/>
              </w:rPr>
              <w:t>10</w:t>
            </w:r>
          </w:p>
        </w:tc>
        <w:tc>
          <w:tcPr>
            <w:tcW w:w="570" w:type="dxa"/>
            <w:tcBorders>
              <w:top w:val="nil"/>
              <w:left w:val="nil"/>
              <w:bottom w:val="outset" w:color="auto" w:sz="6" w:space="0"/>
              <w:right w:val="outset" w:color="auto" w:sz="6" w:space="0"/>
            </w:tcBorders>
            <w:shd w:val="clear" w:color="auto" w:fill="FFFFFF"/>
            <w:tcMar>
              <w:top w:w="0" w:type="dxa"/>
              <w:left w:w="105" w:type="dxa"/>
              <w:bottom w:w="0" w:type="dxa"/>
              <w:right w:w="105" w:type="dxa"/>
            </w:tcMar>
            <w:vAlign w:val="center"/>
          </w:tcPr>
          <w:p>
            <w:pPr>
              <w:rPr>
                <w:rFonts w:ascii="宋体"/>
                <w:szCs w:val="21"/>
              </w:rPr>
            </w:pPr>
          </w:p>
        </w:tc>
        <w:tc>
          <w:tcPr>
            <w:tcW w:w="3135" w:type="dxa"/>
            <w:tcBorders>
              <w:top w:val="nil"/>
              <w:left w:val="nil"/>
              <w:bottom w:val="outset" w:color="auto" w:sz="6" w:space="0"/>
              <w:right w:val="outset" w:color="auto" w:sz="6" w:space="0"/>
            </w:tcBorders>
            <w:shd w:val="clear" w:color="auto" w:fill="FFFFFF"/>
            <w:tcMar>
              <w:top w:w="0" w:type="dxa"/>
              <w:left w:w="105" w:type="dxa"/>
              <w:bottom w:w="0" w:type="dxa"/>
              <w:right w:w="105" w:type="dxa"/>
            </w:tcMar>
            <w:vAlign w:val="center"/>
          </w:tcPr>
          <w:p>
            <w:pPr>
              <w:spacing w:after="150" w:line="345" w:lineRule="atLeast"/>
              <w:rPr>
                <w:rFonts w:ascii="宋体"/>
                <w:szCs w:val="21"/>
              </w:rPr>
            </w:pPr>
            <w:r>
              <w:rPr>
                <w:rFonts w:hint="eastAsia" w:ascii="宋体" w:hAnsi="宋体"/>
                <w:szCs w:val="21"/>
              </w:rPr>
              <w:t>零/跨检查/每周</w:t>
            </w:r>
          </w:p>
          <w:p>
            <w:pPr>
              <w:spacing w:after="150" w:line="345" w:lineRule="atLeast"/>
              <w:rPr>
                <w:rFonts w:ascii="宋体"/>
                <w:szCs w:val="21"/>
              </w:rPr>
            </w:pPr>
            <w:r>
              <w:rPr>
                <w:rFonts w:hint="eastAsia" w:ascii="宋体" w:hAnsi="宋体"/>
                <w:szCs w:val="21"/>
              </w:rPr>
              <w:t>定期维护/每月</w:t>
            </w:r>
          </w:p>
          <w:p>
            <w:pPr>
              <w:spacing w:after="150" w:line="345" w:lineRule="atLeast"/>
              <w:rPr>
                <w:rFonts w:ascii="宋体"/>
                <w:szCs w:val="21"/>
              </w:rPr>
            </w:pPr>
            <w:r>
              <w:rPr>
                <w:rFonts w:hint="eastAsia" w:ascii="宋体" w:hAnsi="宋体"/>
                <w:szCs w:val="21"/>
              </w:rPr>
              <w:t>季度维护/每季度</w:t>
            </w:r>
          </w:p>
          <w:p>
            <w:pPr>
              <w:spacing w:after="150" w:line="345" w:lineRule="atLeast"/>
              <w:rPr>
                <w:rFonts w:ascii="宋体"/>
                <w:szCs w:val="21"/>
              </w:rPr>
            </w:pPr>
            <w:r>
              <w:rPr>
                <w:rFonts w:hint="eastAsia" w:ascii="宋体" w:hAnsi="宋体"/>
                <w:szCs w:val="21"/>
              </w:rPr>
              <w:t>年度维护/每半年</w:t>
            </w:r>
          </w:p>
          <w:p>
            <w:pPr>
              <w:spacing w:after="150" w:line="345" w:lineRule="atLeast"/>
              <w:rPr>
                <w:rFonts w:ascii="宋体"/>
                <w:szCs w:val="21"/>
              </w:rPr>
            </w:pPr>
            <w:r>
              <w:rPr>
                <w:rFonts w:hint="eastAsia" w:ascii="宋体" w:hAnsi="宋体"/>
                <w:szCs w:val="21"/>
              </w:rPr>
              <w:t>发现一个问题扣2分，直到扣完为止</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425" w:type="dxa"/>
            <w:tcBorders>
              <w:top w:val="nil"/>
              <w:left w:val="outset" w:color="auto" w:sz="6" w:space="0"/>
              <w:bottom w:val="outset" w:color="auto" w:sz="6" w:space="0"/>
              <w:right w:val="outset" w:color="auto" w:sz="6" w:space="0"/>
            </w:tcBorders>
            <w:shd w:val="clear" w:color="auto" w:fill="FFFFFF"/>
            <w:tcMar>
              <w:top w:w="0" w:type="dxa"/>
              <w:left w:w="105" w:type="dxa"/>
              <w:bottom w:w="0" w:type="dxa"/>
              <w:right w:w="105" w:type="dxa"/>
            </w:tcMar>
            <w:vAlign w:val="center"/>
          </w:tcPr>
          <w:p>
            <w:pPr>
              <w:spacing w:after="150" w:line="345" w:lineRule="atLeast"/>
              <w:rPr>
                <w:rFonts w:ascii="宋体"/>
                <w:szCs w:val="21"/>
              </w:rPr>
            </w:pPr>
            <w:r>
              <w:rPr>
                <w:rFonts w:hint="eastAsia" w:ascii="宋体" w:hAnsi="宋体"/>
                <w:szCs w:val="21"/>
              </w:rPr>
              <w:t>档案记录和管理</w:t>
            </w:r>
          </w:p>
        </w:tc>
        <w:tc>
          <w:tcPr>
            <w:tcW w:w="3570" w:type="dxa"/>
            <w:tcBorders>
              <w:top w:val="nil"/>
              <w:left w:val="nil"/>
              <w:bottom w:val="outset" w:color="auto" w:sz="6" w:space="0"/>
              <w:right w:val="outset" w:color="auto" w:sz="6" w:space="0"/>
            </w:tcBorders>
            <w:shd w:val="clear" w:color="auto" w:fill="FFFFFF"/>
            <w:tcMar>
              <w:top w:w="0" w:type="dxa"/>
              <w:left w:w="105" w:type="dxa"/>
              <w:bottom w:w="0" w:type="dxa"/>
              <w:right w:w="105" w:type="dxa"/>
            </w:tcMar>
            <w:vAlign w:val="center"/>
          </w:tcPr>
          <w:p>
            <w:pPr>
              <w:spacing w:after="150" w:line="345" w:lineRule="atLeast"/>
              <w:rPr>
                <w:rFonts w:ascii="宋体"/>
                <w:szCs w:val="21"/>
              </w:rPr>
            </w:pPr>
            <w:r>
              <w:rPr>
                <w:rFonts w:hint="eastAsia" w:ascii="宋体" w:hAnsi="宋体"/>
                <w:szCs w:val="21"/>
              </w:rPr>
              <w:t>校准设备每年计量认证、仪器校准、标气使用、管路清洁维护、突发情况等信息记录在档。</w:t>
            </w:r>
          </w:p>
          <w:p>
            <w:pPr>
              <w:spacing w:after="150" w:line="345" w:lineRule="atLeast"/>
              <w:rPr>
                <w:rFonts w:ascii="宋体"/>
                <w:szCs w:val="21"/>
              </w:rPr>
            </w:pPr>
            <w:r>
              <w:rPr>
                <w:rFonts w:hint="eastAsia" w:ascii="宋体" w:hAnsi="宋体"/>
                <w:szCs w:val="21"/>
              </w:rPr>
              <w:t>按照要求及时上报维护核查报告、仪器维修记录</w:t>
            </w:r>
          </w:p>
        </w:tc>
        <w:tc>
          <w:tcPr>
            <w:tcW w:w="705" w:type="dxa"/>
            <w:tcBorders>
              <w:top w:val="nil"/>
              <w:left w:val="nil"/>
              <w:bottom w:val="outset" w:color="auto" w:sz="6" w:space="0"/>
              <w:right w:val="outset" w:color="auto" w:sz="6" w:space="0"/>
            </w:tcBorders>
            <w:shd w:val="clear" w:color="auto" w:fill="FFFFFF"/>
            <w:tcMar>
              <w:top w:w="0" w:type="dxa"/>
              <w:left w:w="105" w:type="dxa"/>
              <w:bottom w:w="0" w:type="dxa"/>
              <w:right w:w="105" w:type="dxa"/>
            </w:tcMar>
            <w:vAlign w:val="center"/>
          </w:tcPr>
          <w:p>
            <w:pPr>
              <w:spacing w:after="150" w:line="345" w:lineRule="atLeast"/>
              <w:rPr>
                <w:rFonts w:ascii="宋体"/>
                <w:szCs w:val="21"/>
              </w:rPr>
            </w:pPr>
            <w:r>
              <w:rPr>
                <w:rFonts w:hint="eastAsia" w:ascii="宋体" w:hAnsi="宋体"/>
                <w:szCs w:val="21"/>
              </w:rPr>
              <w:t>10</w:t>
            </w:r>
          </w:p>
        </w:tc>
        <w:tc>
          <w:tcPr>
            <w:tcW w:w="570" w:type="dxa"/>
            <w:tcBorders>
              <w:top w:val="nil"/>
              <w:left w:val="nil"/>
              <w:bottom w:val="outset" w:color="auto" w:sz="6" w:space="0"/>
              <w:right w:val="outset" w:color="auto" w:sz="6" w:space="0"/>
            </w:tcBorders>
            <w:shd w:val="clear" w:color="auto" w:fill="FFFFFF"/>
            <w:tcMar>
              <w:top w:w="0" w:type="dxa"/>
              <w:left w:w="105" w:type="dxa"/>
              <w:bottom w:w="0" w:type="dxa"/>
              <w:right w:w="105" w:type="dxa"/>
            </w:tcMar>
            <w:vAlign w:val="center"/>
          </w:tcPr>
          <w:p>
            <w:pPr>
              <w:rPr>
                <w:rFonts w:ascii="宋体"/>
                <w:szCs w:val="21"/>
              </w:rPr>
            </w:pPr>
          </w:p>
        </w:tc>
        <w:tc>
          <w:tcPr>
            <w:tcW w:w="3135" w:type="dxa"/>
            <w:tcBorders>
              <w:top w:val="nil"/>
              <w:left w:val="nil"/>
              <w:bottom w:val="outset" w:color="auto" w:sz="6" w:space="0"/>
              <w:right w:val="outset" w:color="auto" w:sz="6" w:space="0"/>
            </w:tcBorders>
            <w:shd w:val="clear" w:color="auto" w:fill="FFFFFF"/>
            <w:tcMar>
              <w:top w:w="0" w:type="dxa"/>
              <w:left w:w="105" w:type="dxa"/>
              <w:bottom w:w="0" w:type="dxa"/>
              <w:right w:w="105" w:type="dxa"/>
            </w:tcMar>
            <w:vAlign w:val="center"/>
          </w:tcPr>
          <w:p>
            <w:pPr>
              <w:spacing w:after="150" w:line="345" w:lineRule="atLeast"/>
              <w:rPr>
                <w:rFonts w:ascii="宋体"/>
                <w:szCs w:val="21"/>
              </w:rPr>
            </w:pPr>
            <w:r>
              <w:rPr>
                <w:rFonts w:hint="eastAsia" w:ascii="宋体" w:hAnsi="宋体"/>
                <w:szCs w:val="21"/>
              </w:rPr>
              <w:t>缺少任一记录扣2分，直到扣完为止</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425" w:type="dxa"/>
            <w:tcBorders>
              <w:top w:val="nil"/>
              <w:left w:val="outset" w:color="auto" w:sz="6" w:space="0"/>
              <w:bottom w:val="outset" w:color="auto" w:sz="6" w:space="0"/>
              <w:right w:val="outset" w:color="auto" w:sz="6" w:space="0"/>
            </w:tcBorders>
            <w:shd w:val="clear" w:color="auto" w:fill="FFFFFF"/>
            <w:tcMar>
              <w:top w:w="0" w:type="dxa"/>
              <w:left w:w="105" w:type="dxa"/>
              <w:bottom w:w="0" w:type="dxa"/>
              <w:right w:w="105" w:type="dxa"/>
            </w:tcMar>
            <w:vAlign w:val="center"/>
          </w:tcPr>
          <w:p>
            <w:pPr>
              <w:spacing w:after="150" w:line="345" w:lineRule="atLeast"/>
              <w:rPr>
                <w:rFonts w:ascii="宋体"/>
                <w:szCs w:val="21"/>
              </w:rPr>
            </w:pPr>
            <w:r>
              <w:rPr>
                <w:rFonts w:hint="eastAsia" w:ascii="宋体" w:hAnsi="宋体"/>
                <w:szCs w:val="21"/>
              </w:rPr>
              <w:t>巡检和考核</w:t>
            </w:r>
          </w:p>
        </w:tc>
        <w:tc>
          <w:tcPr>
            <w:tcW w:w="3570" w:type="dxa"/>
            <w:tcBorders>
              <w:top w:val="nil"/>
              <w:left w:val="nil"/>
              <w:bottom w:val="outset" w:color="auto" w:sz="6" w:space="0"/>
              <w:right w:val="outset" w:color="auto" w:sz="6" w:space="0"/>
            </w:tcBorders>
            <w:shd w:val="clear" w:color="auto" w:fill="FFFFFF"/>
            <w:tcMar>
              <w:top w:w="0" w:type="dxa"/>
              <w:left w:w="105" w:type="dxa"/>
              <w:bottom w:w="0" w:type="dxa"/>
              <w:right w:w="105" w:type="dxa"/>
            </w:tcMar>
            <w:vAlign w:val="center"/>
          </w:tcPr>
          <w:p>
            <w:pPr>
              <w:spacing w:after="150" w:line="345" w:lineRule="atLeast"/>
              <w:rPr>
                <w:rFonts w:ascii="宋体"/>
                <w:szCs w:val="21"/>
              </w:rPr>
            </w:pPr>
            <w:r>
              <w:rPr>
                <w:rFonts w:hint="eastAsia" w:ascii="宋体" w:hAnsi="宋体"/>
                <w:szCs w:val="21"/>
              </w:rPr>
              <w:t>要求接到通知后一个小时内达到检测点位配合巡检工作和考核情况</w:t>
            </w:r>
          </w:p>
        </w:tc>
        <w:tc>
          <w:tcPr>
            <w:tcW w:w="705" w:type="dxa"/>
            <w:tcBorders>
              <w:top w:val="nil"/>
              <w:left w:val="nil"/>
              <w:bottom w:val="outset" w:color="auto" w:sz="6" w:space="0"/>
              <w:right w:val="outset" w:color="auto" w:sz="6" w:space="0"/>
            </w:tcBorders>
            <w:shd w:val="clear" w:color="auto" w:fill="FFFFFF"/>
            <w:tcMar>
              <w:top w:w="0" w:type="dxa"/>
              <w:left w:w="105" w:type="dxa"/>
              <w:bottom w:w="0" w:type="dxa"/>
              <w:right w:w="105" w:type="dxa"/>
            </w:tcMar>
            <w:vAlign w:val="center"/>
          </w:tcPr>
          <w:p>
            <w:pPr>
              <w:spacing w:after="150" w:line="345" w:lineRule="atLeast"/>
              <w:rPr>
                <w:rFonts w:ascii="宋体"/>
                <w:szCs w:val="21"/>
              </w:rPr>
            </w:pPr>
            <w:r>
              <w:rPr>
                <w:rFonts w:hint="eastAsia" w:ascii="宋体" w:hAnsi="宋体"/>
                <w:szCs w:val="21"/>
              </w:rPr>
              <w:t>20</w:t>
            </w:r>
          </w:p>
        </w:tc>
        <w:tc>
          <w:tcPr>
            <w:tcW w:w="570" w:type="dxa"/>
            <w:tcBorders>
              <w:top w:val="nil"/>
              <w:left w:val="nil"/>
              <w:bottom w:val="outset" w:color="auto" w:sz="6" w:space="0"/>
              <w:right w:val="outset" w:color="auto" w:sz="6" w:space="0"/>
            </w:tcBorders>
            <w:shd w:val="clear" w:color="auto" w:fill="FFFFFF"/>
            <w:tcMar>
              <w:top w:w="0" w:type="dxa"/>
              <w:left w:w="105" w:type="dxa"/>
              <w:bottom w:w="0" w:type="dxa"/>
              <w:right w:w="105" w:type="dxa"/>
            </w:tcMar>
            <w:vAlign w:val="center"/>
          </w:tcPr>
          <w:p>
            <w:pPr>
              <w:rPr>
                <w:rFonts w:ascii="宋体"/>
                <w:szCs w:val="21"/>
              </w:rPr>
            </w:pPr>
          </w:p>
        </w:tc>
        <w:tc>
          <w:tcPr>
            <w:tcW w:w="3135" w:type="dxa"/>
            <w:tcBorders>
              <w:top w:val="nil"/>
              <w:left w:val="nil"/>
              <w:bottom w:val="outset" w:color="auto" w:sz="6" w:space="0"/>
              <w:right w:val="outset" w:color="auto" w:sz="6" w:space="0"/>
            </w:tcBorders>
            <w:shd w:val="clear" w:color="auto" w:fill="FFFFFF"/>
            <w:tcMar>
              <w:top w:w="0" w:type="dxa"/>
              <w:left w:w="105" w:type="dxa"/>
              <w:bottom w:w="0" w:type="dxa"/>
              <w:right w:w="105" w:type="dxa"/>
            </w:tcMar>
            <w:vAlign w:val="center"/>
          </w:tcPr>
          <w:p>
            <w:pPr>
              <w:spacing w:after="150" w:line="345" w:lineRule="atLeast"/>
              <w:rPr>
                <w:rFonts w:ascii="宋体"/>
                <w:szCs w:val="21"/>
              </w:rPr>
            </w:pPr>
            <w:r>
              <w:rPr>
                <w:rFonts w:hint="eastAsia" w:ascii="宋体" w:hAnsi="宋体"/>
                <w:szCs w:val="21"/>
              </w:rPr>
              <w:t>根据国家标准现场考核，SO2、NOx、CO、PM10、PM2.5一项考核不合格扣5分。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425" w:type="dxa"/>
            <w:tcBorders>
              <w:top w:val="nil"/>
              <w:left w:val="outset" w:color="auto" w:sz="6" w:space="0"/>
              <w:bottom w:val="outset" w:color="auto" w:sz="6" w:space="0"/>
              <w:right w:val="outset" w:color="auto" w:sz="6" w:space="0"/>
            </w:tcBorders>
            <w:shd w:val="clear" w:color="auto" w:fill="FFFFFF"/>
            <w:tcMar>
              <w:top w:w="0" w:type="dxa"/>
              <w:left w:w="105" w:type="dxa"/>
              <w:bottom w:w="0" w:type="dxa"/>
              <w:right w:w="105" w:type="dxa"/>
            </w:tcMar>
            <w:vAlign w:val="center"/>
          </w:tcPr>
          <w:p>
            <w:pPr>
              <w:spacing w:after="150" w:line="345" w:lineRule="atLeast"/>
              <w:rPr>
                <w:rFonts w:ascii="宋体"/>
                <w:szCs w:val="21"/>
              </w:rPr>
            </w:pPr>
            <w:r>
              <w:rPr>
                <w:rFonts w:hint="eastAsia" w:ascii="宋体" w:hAnsi="宋体"/>
                <w:szCs w:val="21"/>
              </w:rPr>
              <w:t>数采仪状况</w:t>
            </w:r>
          </w:p>
        </w:tc>
        <w:tc>
          <w:tcPr>
            <w:tcW w:w="3570" w:type="dxa"/>
            <w:tcBorders>
              <w:top w:val="nil"/>
              <w:left w:val="nil"/>
              <w:bottom w:val="outset" w:color="auto" w:sz="6" w:space="0"/>
              <w:right w:val="outset" w:color="auto" w:sz="6" w:space="0"/>
            </w:tcBorders>
            <w:shd w:val="clear" w:color="auto" w:fill="FFFFFF"/>
            <w:tcMar>
              <w:top w:w="0" w:type="dxa"/>
              <w:left w:w="105" w:type="dxa"/>
              <w:bottom w:w="0" w:type="dxa"/>
              <w:right w:w="105" w:type="dxa"/>
            </w:tcMar>
            <w:vAlign w:val="center"/>
          </w:tcPr>
          <w:p>
            <w:pPr>
              <w:spacing w:after="150" w:line="345" w:lineRule="atLeast"/>
              <w:rPr>
                <w:rFonts w:ascii="宋体"/>
                <w:szCs w:val="21"/>
              </w:rPr>
            </w:pPr>
            <w:r>
              <w:rPr>
                <w:rFonts w:hint="eastAsia" w:ascii="宋体" w:hAnsi="宋体"/>
                <w:szCs w:val="21"/>
              </w:rPr>
              <w:t>数采仪工作正常，工控机显示数据与仪器数据一致</w:t>
            </w:r>
          </w:p>
        </w:tc>
        <w:tc>
          <w:tcPr>
            <w:tcW w:w="705" w:type="dxa"/>
            <w:tcBorders>
              <w:top w:val="nil"/>
              <w:left w:val="nil"/>
              <w:bottom w:val="outset" w:color="auto" w:sz="6" w:space="0"/>
              <w:right w:val="outset" w:color="auto" w:sz="6" w:space="0"/>
            </w:tcBorders>
            <w:shd w:val="clear" w:color="auto" w:fill="FFFFFF"/>
            <w:tcMar>
              <w:top w:w="0" w:type="dxa"/>
              <w:left w:w="105" w:type="dxa"/>
              <w:bottom w:w="0" w:type="dxa"/>
              <w:right w:w="105" w:type="dxa"/>
            </w:tcMar>
            <w:vAlign w:val="center"/>
          </w:tcPr>
          <w:p>
            <w:pPr>
              <w:spacing w:after="150" w:line="345" w:lineRule="atLeast"/>
              <w:rPr>
                <w:rFonts w:ascii="宋体"/>
                <w:szCs w:val="21"/>
              </w:rPr>
            </w:pPr>
            <w:r>
              <w:rPr>
                <w:rFonts w:hint="eastAsia" w:ascii="宋体" w:hAnsi="宋体"/>
                <w:szCs w:val="21"/>
              </w:rPr>
              <w:t>4</w:t>
            </w:r>
          </w:p>
        </w:tc>
        <w:tc>
          <w:tcPr>
            <w:tcW w:w="570" w:type="dxa"/>
            <w:tcBorders>
              <w:top w:val="nil"/>
              <w:left w:val="nil"/>
              <w:bottom w:val="outset" w:color="auto" w:sz="6" w:space="0"/>
              <w:right w:val="outset" w:color="auto" w:sz="6" w:space="0"/>
            </w:tcBorders>
            <w:shd w:val="clear" w:color="auto" w:fill="FFFFFF"/>
            <w:tcMar>
              <w:top w:w="0" w:type="dxa"/>
              <w:left w:w="105" w:type="dxa"/>
              <w:bottom w:w="0" w:type="dxa"/>
              <w:right w:w="105" w:type="dxa"/>
            </w:tcMar>
            <w:vAlign w:val="center"/>
          </w:tcPr>
          <w:p>
            <w:pPr>
              <w:rPr>
                <w:rFonts w:ascii="宋体"/>
                <w:szCs w:val="21"/>
              </w:rPr>
            </w:pPr>
          </w:p>
        </w:tc>
        <w:tc>
          <w:tcPr>
            <w:tcW w:w="3135" w:type="dxa"/>
            <w:tcBorders>
              <w:top w:val="nil"/>
              <w:left w:val="nil"/>
              <w:bottom w:val="outset" w:color="auto" w:sz="6" w:space="0"/>
              <w:right w:val="outset" w:color="auto" w:sz="6" w:space="0"/>
            </w:tcBorders>
            <w:shd w:val="clear" w:color="auto" w:fill="FFFFFF"/>
            <w:tcMar>
              <w:top w:w="0" w:type="dxa"/>
              <w:left w:w="105" w:type="dxa"/>
              <w:bottom w:w="0" w:type="dxa"/>
              <w:right w:w="105" w:type="dxa"/>
            </w:tcMar>
            <w:vAlign w:val="center"/>
          </w:tcPr>
          <w:p>
            <w:pPr>
              <w:spacing w:after="150" w:line="345" w:lineRule="atLeast"/>
              <w:rPr>
                <w:rFonts w:ascii="宋体"/>
                <w:szCs w:val="21"/>
              </w:rPr>
            </w:pPr>
            <w:r>
              <w:rPr>
                <w:rFonts w:hint="eastAsia" w:ascii="宋体" w:hAnsi="宋体"/>
                <w:szCs w:val="21"/>
              </w:rPr>
              <w:t>仪器显示与数据平台不一致即扣4分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425" w:type="dxa"/>
            <w:tcBorders>
              <w:top w:val="nil"/>
              <w:left w:val="outset" w:color="auto" w:sz="6" w:space="0"/>
              <w:bottom w:val="outset" w:color="auto" w:sz="6" w:space="0"/>
              <w:right w:val="outset" w:color="auto" w:sz="6" w:space="0"/>
            </w:tcBorders>
            <w:shd w:val="clear" w:color="auto" w:fill="FFFFFF"/>
            <w:tcMar>
              <w:top w:w="0" w:type="dxa"/>
              <w:left w:w="105" w:type="dxa"/>
              <w:bottom w:w="0" w:type="dxa"/>
              <w:right w:w="105" w:type="dxa"/>
            </w:tcMar>
            <w:vAlign w:val="center"/>
          </w:tcPr>
          <w:p>
            <w:pPr>
              <w:spacing w:after="150" w:line="345" w:lineRule="atLeast"/>
              <w:rPr>
                <w:rFonts w:ascii="宋体"/>
                <w:szCs w:val="21"/>
              </w:rPr>
            </w:pPr>
            <w:r>
              <w:rPr>
                <w:rFonts w:hint="eastAsia" w:ascii="宋体" w:hAnsi="宋体"/>
                <w:szCs w:val="21"/>
              </w:rPr>
              <w:t>流量准确性</w:t>
            </w:r>
          </w:p>
          <w:p>
            <w:pPr>
              <w:spacing w:after="150" w:line="345" w:lineRule="atLeast"/>
              <w:rPr>
                <w:rFonts w:ascii="宋体"/>
                <w:szCs w:val="21"/>
              </w:rPr>
            </w:pPr>
            <w:r>
              <w:rPr>
                <w:rFonts w:hint="eastAsia" w:ascii="宋体" w:hAnsi="宋体"/>
                <w:szCs w:val="21"/>
              </w:rPr>
              <w:t>考核</w:t>
            </w:r>
          </w:p>
        </w:tc>
        <w:tc>
          <w:tcPr>
            <w:tcW w:w="3570" w:type="dxa"/>
            <w:tcBorders>
              <w:top w:val="nil"/>
              <w:left w:val="nil"/>
              <w:bottom w:val="outset" w:color="auto" w:sz="6" w:space="0"/>
              <w:right w:val="outset" w:color="auto" w:sz="6" w:space="0"/>
            </w:tcBorders>
            <w:shd w:val="clear" w:color="auto" w:fill="FFFFFF"/>
            <w:tcMar>
              <w:top w:w="0" w:type="dxa"/>
              <w:left w:w="105" w:type="dxa"/>
              <w:bottom w:w="0" w:type="dxa"/>
              <w:right w:w="105" w:type="dxa"/>
            </w:tcMar>
            <w:vAlign w:val="center"/>
          </w:tcPr>
          <w:p>
            <w:pPr>
              <w:spacing w:after="150" w:line="345" w:lineRule="atLeast"/>
              <w:rPr>
                <w:rFonts w:ascii="宋体"/>
                <w:szCs w:val="21"/>
              </w:rPr>
            </w:pPr>
            <w:r>
              <w:rPr>
                <w:rFonts w:hint="eastAsia" w:ascii="宋体" w:hAnsi="宋体"/>
                <w:szCs w:val="21"/>
              </w:rPr>
              <w:t>动态校准仪的零气MFC流量、标气MFC流量与标准流量计误差是否在2%以内；SO2、NOx、CO、O3采样流量误差是否在10%以内；颗粒物采样流量误差是否在5%以内；</w:t>
            </w:r>
          </w:p>
        </w:tc>
        <w:tc>
          <w:tcPr>
            <w:tcW w:w="705" w:type="dxa"/>
            <w:tcBorders>
              <w:top w:val="nil"/>
              <w:left w:val="nil"/>
              <w:bottom w:val="outset" w:color="auto" w:sz="6" w:space="0"/>
              <w:right w:val="outset" w:color="auto" w:sz="6" w:space="0"/>
            </w:tcBorders>
            <w:shd w:val="clear" w:color="auto" w:fill="FFFFFF"/>
            <w:tcMar>
              <w:top w:w="0" w:type="dxa"/>
              <w:left w:w="105" w:type="dxa"/>
              <w:bottom w:w="0" w:type="dxa"/>
              <w:right w:w="105" w:type="dxa"/>
            </w:tcMar>
            <w:vAlign w:val="center"/>
          </w:tcPr>
          <w:p>
            <w:pPr>
              <w:spacing w:after="150" w:line="345" w:lineRule="atLeast"/>
              <w:rPr>
                <w:rFonts w:ascii="宋体"/>
                <w:szCs w:val="21"/>
              </w:rPr>
            </w:pPr>
            <w:r>
              <w:rPr>
                <w:rFonts w:hint="eastAsia" w:ascii="宋体" w:hAnsi="宋体"/>
                <w:szCs w:val="21"/>
              </w:rPr>
              <w:t>20</w:t>
            </w:r>
          </w:p>
        </w:tc>
        <w:tc>
          <w:tcPr>
            <w:tcW w:w="570" w:type="dxa"/>
            <w:tcBorders>
              <w:top w:val="nil"/>
              <w:left w:val="nil"/>
              <w:bottom w:val="outset" w:color="auto" w:sz="6" w:space="0"/>
              <w:right w:val="outset" w:color="auto" w:sz="6" w:space="0"/>
            </w:tcBorders>
            <w:shd w:val="clear" w:color="auto" w:fill="FFFFFF"/>
            <w:tcMar>
              <w:top w:w="0" w:type="dxa"/>
              <w:left w:w="105" w:type="dxa"/>
              <w:bottom w:w="0" w:type="dxa"/>
              <w:right w:w="105" w:type="dxa"/>
            </w:tcMar>
            <w:vAlign w:val="center"/>
          </w:tcPr>
          <w:p>
            <w:pPr>
              <w:rPr>
                <w:rFonts w:ascii="宋体"/>
                <w:szCs w:val="21"/>
              </w:rPr>
            </w:pPr>
          </w:p>
        </w:tc>
        <w:tc>
          <w:tcPr>
            <w:tcW w:w="3135" w:type="dxa"/>
            <w:tcBorders>
              <w:top w:val="nil"/>
              <w:left w:val="nil"/>
              <w:bottom w:val="outset" w:color="auto" w:sz="6" w:space="0"/>
              <w:right w:val="outset" w:color="auto" w:sz="6" w:space="0"/>
            </w:tcBorders>
            <w:shd w:val="clear" w:color="auto" w:fill="FFFFFF"/>
            <w:tcMar>
              <w:top w:w="0" w:type="dxa"/>
              <w:left w:w="105" w:type="dxa"/>
              <w:bottom w:w="0" w:type="dxa"/>
              <w:right w:w="105" w:type="dxa"/>
            </w:tcMar>
            <w:vAlign w:val="center"/>
          </w:tcPr>
          <w:p>
            <w:pPr>
              <w:spacing w:after="150" w:line="345" w:lineRule="atLeast"/>
              <w:rPr>
                <w:rFonts w:ascii="宋体"/>
                <w:szCs w:val="21"/>
              </w:rPr>
            </w:pPr>
            <w:r>
              <w:rPr>
                <w:rFonts w:hint="eastAsia" w:ascii="宋体" w:hAnsi="宋体"/>
                <w:szCs w:val="21"/>
              </w:rPr>
              <w:t>校准仪零气流量4000 ml，流量计流量3900ml，误差</w:t>
            </w:r>
            <w:r>
              <w:rPr>
                <w:rFonts w:ascii="宋体"/>
                <w:szCs w:val="21"/>
              </w:rPr>
              <w:t> </w:t>
            </w:r>
            <w:r>
              <w:rPr>
                <w:rFonts w:hint="eastAsia" w:ascii="宋体" w:hAnsi="宋体"/>
                <w:szCs w:val="21"/>
              </w:rPr>
              <w:t>2.5%；校准仪标气（任选）流量</w:t>
            </w:r>
            <w:r>
              <w:rPr>
                <w:rFonts w:ascii="宋体"/>
                <w:szCs w:val="21"/>
              </w:rPr>
              <w:t>   </w:t>
            </w:r>
            <w:r>
              <w:rPr>
                <w:rFonts w:hint="eastAsia" w:ascii="宋体" w:hAnsi="宋体"/>
                <w:szCs w:val="21"/>
              </w:rPr>
              <w:t>40ml，流量计流量</w:t>
            </w:r>
            <w:r>
              <w:rPr>
                <w:rFonts w:ascii="宋体"/>
                <w:szCs w:val="21"/>
              </w:rPr>
              <w:t> </w:t>
            </w:r>
            <w:r>
              <w:rPr>
                <w:rFonts w:hint="eastAsia" w:ascii="宋体" w:hAnsi="宋体"/>
                <w:szCs w:val="21"/>
              </w:rPr>
              <w:t>38ml，误差</w:t>
            </w:r>
            <w:r>
              <w:rPr>
                <w:rFonts w:ascii="宋体"/>
                <w:szCs w:val="21"/>
              </w:rPr>
              <w:t> </w:t>
            </w:r>
            <w:r>
              <w:rPr>
                <w:rFonts w:hint="eastAsia" w:ascii="宋体" w:hAnsi="宋体"/>
                <w:szCs w:val="21"/>
              </w:rPr>
              <w:t>5%；气体监测仪器流量检测方式同校准仪；任一不在误差要求范围内即扣3分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425" w:type="dxa"/>
            <w:tcBorders>
              <w:top w:val="nil"/>
              <w:left w:val="outset" w:color="auto" w:sz="6" w:space="0"/>
              <w:bottom w:val="outset" w:color="auto" w:sz="6" w:space="0"/>
              <w:right w:val="outset" w:color="auto" w:sz="6" w:space="0"/>
            </w:tcBorders>
            <w:shd w:val="clear" w:color="auto" w:fill="FFFFFF"/>
            <w:tcMar>
              <w:top w:w="0" w:type="dxa"/>
              <w:left w:w="105" w:type="dxa"/>
              <w:bottom w:w="0" w:type="dxa"/>
              <w:right w:w="105" w:type="dxa"/>
            </w:tcMar>
            <w:vAlign w:val="center"/>
          </w:tcPr>
          <w:p>
            <w:pPr>
              <w:spacing w:after="150" w:line="345" w:lineRule="atLeast"/>
              <w:rPr>
                <w:rFonts w:ascii="宋体"/>
                <w:szCs w:val="21"/>
              </w:rPr>
            </w:pPr>
            <w:r>
              <w:rPr>
                <w:rFonts w:hint="eastAsia" w:ascii="宋体" w:hAnsi="宋体"/>
                <w:szCs w:val="21"/>
              </w:rPr>
              <w:t>系统保障</w:t>
            </w:r>
          </w:p>
        </w:tc>
        <w:tc>
          <w:tcPr>
            <w:tcW w:w="3570" w:type="dxa"/>
            <w:tcBorders>
              <w:top w:val="nil"/>
              <w:left w:val="nil"/>
              <w:bottom w:val="outset" w:color="auto" w:sz="6" w:space="0"/>
              <w:right w:val="outset" w:color="auto" w:sz="6" w:space="0"/>
            </w:tcBorders>
            <w:shd w:val="clear" w:color="auto" w:fill="FFFFFF"/>
            <w:tcMar>
              <w:top w:w="0" w:type="dxa"/>
              <w:left w:w="105" w:type="dxa"/>
              <w:bottom w:w="0" w:type="dxa"/>
              <w:right w:w="105" w:type="dxa"/>
            </w:tcMar>
            <w:vAlign w:val="center"/>
          </w:tcPr>
          <w:p>
            <w:pPr>
              <w:spacing w:after="150" w:line="345" w:lineRule="atLeast"/>
              <w:rPr>
                <w:rFonts w:ascii="宋体"/>
                <w:szCs w:val="21"/>
              </w:rPr>
            </w:pPr>
            <w:r>
              <w:rPr>
                <w:rFonts w:hint="eastAsia" w:ascii="宋体" w:hAnsi="宋体"/>
                <w:szCs w:val="21"/>
              </w:rPr>
              <w:t>备机的库存和资料清晰，其维护记录和使用记录具备可追溯性；运维车辆和运维人员的配置管理是否合理；应急响应速度及应急事件及故障处理方案是否符合规范要求；数据传输网络是否正常</w:t>
            </w:r>
          </w:p>
        </w:tc>
        <w:tc>
          <w:tcPr>
            <w:tcW w:w="705" w:type="dxa"/>
            <w:tcBorders>
              <w:top w:val="nil"/>
              <w:left w:val="nil"/>
              <w:bottom w:val="outset" w:color="auto" w:sz="6" w:space="0"/>
              <w:right w:val="outset" w:color="auto" w:sz="6" w:space="0"/>
            </w:tcBorders>
            <w:shd w:val="clear" w:color="auto" w:fill="FFFFFF"/>
            <w:tcMar>
              <w:top w:w="0" w:type="dxa"/>
              <w:left w:w="105" w:type="dxa"/>
              <w:bottom w:w="0" w:type="dxa"/>
              <w:right w:w="105" w:type="dxa"/>
            </w:tcMar>
            <w:vAlign w:val="center"/>
          </w:tcPr>
          <w:p>
            <w:pPr>
              <w:spacing w:after="150" w:line="345" w:lineRule="atLeast"/>
              <w:rPr>
                <w:rFonts w:ascii="宋体"/>
                <w:szCs w:val="21"/>
              </w:rPr>
            </w:pPr>
            <w:r>
              <w:rPr>
                <w:rFonts w:hint="eastAsia" w:ascii="宋体" w:hAnsi="宋体"/>
                <w:szCs w:val="21"/>
              </w:rPr>
              <w:t>10</w:t>
            </w:r>
          </w:p>
        </w:tc>
        <w:tc>
          <w:tcPr>
            <w:tcW w:w="570" w:type="dxa"/>
            <w:tcBorders>
              <w:top w:val="nil"/>
              <w:left w:val="nil"/>
              <w:bottom w:val="outset" w:color="auto" w:sz="6" w:space="0"/>
              <w:right w:val="outset" w:color="auto" w:sz="6" w:space="0"/>
            </w:tcBorders>
            <w:shd w:val="clear" w:color="auto" w:fill="FFFFFF"/>
            <w:tcMar>
              <w:top w:w="0" w:type="dxa"/>
              <w:left w:w="105" w:type="dxa"/>
              <w:bottom w:w="0" w:type="dxa"/>
              <w:right w:w="105" w:type="dxa"/>
            </w:tcMar>
            <w:vAlign w:val="center"/>
          </w:tcPr>
          <w:p>
            <w:pPr>
              <w:rPr>
                <w:rFonts w:ascii="宋体"/>
                <w:szCs w:val="21"/>
              </w:rPr>
            </w:pPr>
          </w:p>
        </w:tc>
        <w:tc>
          <w:tcPr>
            <w:tcW w:w="3135" w:type="dxa"/>
            <w:tcBorders>
              <w:top w:val="nil"/>
              <w:left w:val="nil"/>
              <w:bottom w:val="outset" w:color="auto" w:sz="6" w:space="0"/>
              <w:right w:val="outset" w:color="auto" w:sz="6" w:space="0"/>
            </w:tcBorders>
            <w:shd w:val="clear" w:color="auto" w:fill="FFFFFF"/>
            <w:tcMar>
              <w:top w:w="0" w:type="dxa"/>
              <w:left w:w="105" w:type="dxa"/>
              <w:bottom w:w="0" w:type="dxa"/>
              <w:right w:w="105" w:type="dxa"/>
            </w:tcMar>
            <w:vAlign w:val="center"/>
          </w:tcPr>
          <w:p>
            <w:pPr>
              <w:spacing w:after="150" w:line="345" w:lineRule="atLeast"/>
              <w:rPr>
                <w:rFonts w:ascii="宋体"/>
                <w:szCs w:val="21"/>
              </w:rPr>
            </w:pPr>
            <w:r>
              <w:rPr>
                <w:rFonts w:hint="eastAsia" w:ascii="宋体" w:hAnsi="宋体"/>
                <w:szCs w:val="21"/>
              </w:rPr>
              <w:t>无备机、备机维护不当不符合规范扣3分；无应急事件及故障处理方案未达到要求扣3分；应急响应速度未达到要求扣2分；数据传输故障处理措施未达到要求扣2分；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425" w:type="dxa"/>
            <w:tcBorders>
              <w:top w:val="nil"/>
              <w:left w:val="outset" w:color="auto" w:sz="6" w:space="0"/>
              <w:bottom w:val="outset" w:color="auto" w:sz="6" w:space="0"/>
              <w:right w:val="outset" w:color="auto" w:sz="6" w:space="0"/>
            </w:tcBorders>
            <w:shd w:val="clear" w:color="auto" w:fill="FFFFFF"/>
            <w:tcMar>
              <w:top w:w="0" w:type="dxa"/>
              <w:left w:w="105" w:type="dxa"/>
              <w:bottom w:w="0" w:type="dxa"/>
              <w:right w:w="105" w:type="dxa"/>
            </w:tcMar>
            <w:vAlign w:val="center"/>
          </w:tcPr>
          <w:p>
            <w:pPr>
              <w:spacing w:after="150" w:line="345" w:lineRule="atLeast"/>
              <w:rPr>
                <w:rFonts w:ascii="宋体"/>
                <w:szCs w:val="21"/>
              </w:rPr>
            </w:pPr>
            <w:r>
              <w:rPr>
                <w:rFonts w:hint="eastAsia" w:ascii="宋体" w:hAnsi="宋体"/>
                <w:szCs w:val="21"/>
              </w:rPr>
              <w:t>数据上报</w:t>
            </w:r>
          </w:p>
        </w:tc>
        <w:tc>
          <w:tcPr>
            <w:tcW w:w="3570" w:type="dxa"/>
            <w:tcBorders>
              <w:top w:val="nil"/>
              <w:left w:val="nil"/>
              <w:bottom w:val="outset" w:color="auto" w:sz="6" w:space="0"/>
              <w:right w:val="outset" w:color="auto" w:sz="6" w:space="0"/>
            </w:tcBorders>
            <w:shd w:val="clear" w:color="auto" w:fill="FFFFFF"/>
            <w:tcMar>
              <w:top w:w="0" w:type="dxa"/>
              <w:left w:w="105" w:type="dxa"/>
              <w:bottom w:w="0" w:type="dxa"/>
              <w:right w:w="105" w:type="dxa"/>
            </w:tcMar>
            <w:vAlign w:val="center"/>
          </w:tcPr>
          <w:p>
            <w:pPr>
              <w:spacing w:after="150" w:line="345" w:lineRule="atLeast"/>
              <w:rPr>
                <w:rFonts w:ascii="宋体"/>
                <w:szCs w:val="21"/>
              </w:rPr>
            </w:pPr>
            <w:r>
              <w:rPr>
                <w:rFonts w:hint="eastAsia" w:ascii="宋体" w:hAnsi="宋体"/>
                <w:szCs w:val="21"/>
              </w:rPr>
              <w:t>运维站的数据审核、备案和上报工作</w:t>
            </w:r>
          </w:p>
        </w:tc>
        <w:tc>
          <w:tcPr>
            <w:tcW w:w="705" w:type="dxa"/>
            <w:tcBorders>
              <w:top w:val="nil"/>
              <w:left w:val="nil"/>
              <w:bottom w:val="outset" w:color="auto" w:sz="6" w:space="0"/>
              <w:right w:val="outset" w:color="auto" w:sz="6" w:space="0"/>
            </w:tcBorders>
            <w:shd w:val="clear" w:color="auto" w:fill="FFFFFF"/>
            <w:tcMar>
              <w:top w:w="0" w:type="dxa"/>
              <w:left w:w="105" w:type="dxa"/>
              <w:bottom w:w="0" w:type="dxa"/>
              <w:right w:w="105" w:type="dxa"/>
            </w:tcMar>
            <w:vAlign w:val="center"/>
          </w:tcPr>
          <w:p>
            <w:pPr>
              <w:spacing w:after="150" w:line="345" w:lineRule="atLeast"/>
              <w:rPr>
                <w:rFonts w:ascii="宋体"/>
                <w:szCs w:val="21"/>
              </w:rPr>
            </w:pPr>
            <w:r>
              <w:rPr>
                <w:rFonts w:hint="eastAsia" w:ascii="宋体" w:hAnsi="宋体"/>
                <w:szCs w:val="21"/>
              </w:rPr>
              <w:t>10</w:t>
            </w:r>
          </w:p>
        </w:tc>
        <w:tc>
          <w:tcPr>
            <w:tcW w:w="570" w:type="dxa"/>
            <w:tcBorders>
              <w:top w:val="nil"/>
              <w:left w:val="nil"/>
              <w:bottom w:val="outset" w:color="auto" w:sz="6" w:space="0"/>
              <w:right w:val="outset" w:color="auto" w:sz="6" w:space="0"/>
            </w:tcBorders>
            <w:shd w:val="clear" w:color="auto" w:fill="FFFFFF"/>
            <w:tcMar>
              <w:top w:w="0" w:type="dxa"/>
              <w:left w:w="105" w:type="dxa"/>
              <w:bottom w:w="0" w:type="dxa"/>
              <w:right w:w="105" w:type="dxa"/>
            </w:tcMar>
            <w:vAlign w:val="center"/>
          </w:tcPr>
          <w:p>
            <w:pPr>
              <w:rPr>
                <w:rFonts w:ascii="宋体"/>
                <w:szCs w:val="21"/>
              </w:rPr>
            </w:pPr>
          </w:p>
        </w:tc>
        <w:tc>
          <w:tcPr>
            <w:tcW w:w="3135" w:type="dxa"/>
            <w:tcBorders>
              <w:top w:val="nil"/>
              <w:left w:val="nil"/>
              <w:bottom w:val="outset" w:color="auto" w:sz="6" w:space="0"/>
              <w:right w:val="outset" w:color="auto" w:sz="6" w:space="0"/>
            </w:tcBorders>
            <w:shd w:val="clear" w:color="auto" w:fill="FFFFFF"/>
            <w:tcMar>
              <w:top w:w="0" w:type="dxa"/>
              <w:left w:w="105" w:type="dxa"/>
              <w:bottom w:w="0" w:type="dxa"/>
              <w:right w:w="105" w:type="dxa"/>
            </w:tcMar>
            <w:vAlign w:val="center"/>
          </w:tcPr>
          <w:p>
            <w:pPr>
              <w:spacing w:after="150" w:line="345" w:lineRule="atLeast"/>
              <w:rPr>
                <w:rFonts w:ascii="宋体"/>
                <w:szCs w:val="21"/>
              </w:rPr>
            </w:pPr>
            <w:r>
              <w:rPr>
                <w:rFonts w:hint="eastAsia" w:ascii="宋体" w:hAnsi="宋体"/>
                <w:szCs w:val="21"/>
              </w:rPr>
              <w:t>上报率（数据获取率）≥98%不扣分；90%≤上报率（数据获取率）＜98%扣5分，上报率（数据获取率）＜90%扣10分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425" w:type="dxa"/>
            <w:tcBorders>
              <w:top w:val="nil"/>
              <w:left w:val="outset" w:color="auto" w:sz="6" w:space="0"/>
              <w:bottom w:val="outset" w:color="auto" w:sz="6" w:space="0"/>
              <w:right w:val="outset" w:color="auto" w:sz="6" w:space="0"/>
            </w:tcBorders>
            <w:shd w:val="clear" w:color="auto" w:fill="FFFFFF"/>
            <w:tcMar>
              <w:top w:w="0" w:type="dxa"/>
              <w:left w:w="105" w:type="dxa"/>
              <w:bottom w:w="0" w:type="dxa"/>
              <w:right w:w="105" w:type="dxa"/>
            </w:tcMar>
            <w:vAlign w:val="center"/>
          </w:tcPr>
          <w:p>
            <w:pPr>
              <w:spacing w:after="150" w:line="345" w:lineRule="atLeast"/>
              <w:rPr>
                <w:rFonts w:ascii="宋体"/>
                <w:szCs w:val="21"/>
              </w:rPr>
            </w:pPr>
            <w:r>
              <w:rPr>
                <w:rFonts w:hint="eastAsia" w:ascii="宋体" w:hAnsi="宋体"/>
                <w:szCs w:val="21"/>
              </w:rPr>
              <w:t>数据统计与分析</w:t>
            </w:r>
          </w:p>
        </w:tc>
        <w:tc>
          <w:tcPr>
            <w:tcW w:w="3570" w:type="dxa"/>
            <w:tcBorders>
              <w:top w:val="nil"/>
              <w:left w:val="nil"/>
              <w:bottom w:val="outset" w:color="auto" w:sz="6" w:space="0"/>
              <w:right w:val="outset" w:color="auto" w:sz="6" w:space="0"/>
            </w:tcBorders>
            <w:shd w:val="clear" w:color="auto" w:fill="FFFFFF"/>
            <w:tcMar>
              <w:top w:w="0" w:type="dxa"/>
              <w:left w:w="105" w:type="dxa"/>
              <w:bottom w:w="0" w:type="dxa"/>
              <w:right w:w="105" w:type="dxa"/>
            </w:tcMar>
            <w:vAlign w:val="center"/>
          </w:tcPr>
          <w:p>
            <w:pPr>
              <w:spacing w:after="150" w:line="345" w:lineRule="atLeast"/>
              <w:rPr>
                <w:rFonts w:ascii="宋体"/>
                <w:szCs w:val="21"/>
              </w:rPr>
            </w:pPr>
            <w:r>
              <w:rPr>
                <w:rFonts w:hint="eastAsia" w:ascii="宋体" w:hAnsi="宋体"/>
                <w:szCs w:val="21"/>
              </w:rPr>
              <w:t>各部门要求的平均浓度、质量指数、综合指数、排名等统计数据和分析报告；超标天气报警及成因分析。</w:t>
            </w:r>
          </w:p>
        </w:tc>
        <w:tc>
          <w:tcPr>
            <w:tcW w:w="705" w:type="dxa"/>
            <w:tcBorders>
              <w:top w:val="nil"/>
              <w:left w:val="nil"/>
              <w:bottom w:val="outset" w:color="auto" w:sz="6" w:space="0"/>
              <w:right w:val="outset" w:color="auto" w:sz="6" w:space="0"/>
            </w:tcBorders>
            <w:shd w:val="clear" w:color="auto" w:fill="FFFFFF"/>
            <w:tcMar>
              <w:top w:w="0" w:type="dxa"/>
              <w:left w:w="105" w:type="dxa"/>
              <w:bottom w:w="0" w:type="dxa"/>
              <w:right w:w="105" w:type="dxa"/>
            </w:tcMar>
            <w:vAlign w:val="center"/>
          </w:tcPr>
          <w:p>
            <w:pPr>
              <w:spacing w:after="150" w:line="345" w:lineRule="atLeast"/>
              <w:rPr>
                <w:rFonts w:ascii="宋体"/>
                <w:szCs w:val="21"/>
              </w:rPr>
            </w:pPr>
            <w:r>
              <w:rPr>
                <w:rFonts w:hint="eastAsia" w:ascii="宋体" w:hAnsi="宋体"/>
                <w:szCs w:val="21"/>
              </w:rPr>
              <w:t>10</w:t>
            </w:r>
          </w:p>
        </w:tc>
        <w:tc>
          <w:tcPr>
            <w:tcW w:w="570" w:type="dxa"/>
            <w:tcBorders>
              <w:top w:val="nil"/>
              <w:left w:val="nil"/>
              <w:bottom w:val="outset" w:color="auto" w:sz="6" w:space="0"/>
              <w:right w:val="outset" w:color="auto" w:sz="6" w:space="0"/>
            </w:tcBorders>
            <w:shd w:val="clear" w:color="auto" w:fill="FFFFFF"/>
            <w:tcMar>
              <w:top w:w="0" w:type="dxa"/>
              <w:left w:w="105" w:type="dxa"/>
              <w:bottom w:w="0" w:type="dxa"/>
              <w:right w:w="105" w:type="dxa"/>
            </w:tcMar>
            <w:vAlign w:val="center"/>
          </w:tcPr>
          <w:p>
            <w:pPr>
              <w:rPr>
                <w:rFonts w:ascii="宋体"/>
                <w:szCs w:val="21"/>
              </w:rPr>
            </w:pPr>
          </w:p>
        </w:tc>
        <w:tc>
          <w:tcPr>
            <w:tcW w:w="3135" w:type="dxa"/>
            <w:tcBorders>
              <w:top w:val="nil"/>
              <w:left w:val="nil"/>
              <w:bottom w:val="outset" w:color="auto" w:sz="6" w:space="0"/>
              <w:right w:val="outset" w:color="auto" w:sz="6" w:space="0"/>
            </w:tcBorders>
            <w:shd w:val="clear" w:color="auto" w:fill="FFFFFF"/>
            <w:tcMar>
              <w:top w:w="0" w:type="dxa"/>
              <w:left w:w="105" w:type="dxa"/>
              <w:bottom w:w="0" w:type="dxa"/>
              <w:right w:w="105" w:type="dxa"/>
            </w:tcMar>
            <w:vAlign w:val="center"/>
          </w:tcPr>
          <w:p>
            <w:pPr>
              <w:spacing w:after="150" w:line="345" w:lineRule="atLeast"/>
              <w:rPr>
                <w:rFonts w:ascii="宋体"/>
                <w:szCs w:val="21"/>
              </w:rPr>
            </w:pPr>
            <w:r>
              <w:rPr>
                <w:rFonts w:hint="eastAsia" w:ascii="宋体" w:hAnsi="宋体"/>
                <w:szCs w:val="21"/>
              </w:rPr>
              <w:t>平均浓度、质量指数、综合指数、排名等统计数据和分析报告未完成1项任务扣2分；报警工作末完成1项任务扣5分，扣完为止。</w:t>
            </w:r>
          </w:p>
        </w:tc>
      </w:tr>
    </w:tbl>
    <w:p>
      <w:pPr>
        <w:spacing w:after="150" w:line="375" w:lineRule="atLeast"/>
        <w:ind w:firstLine="630"/>
        <w:rPr>
          <w:rFonts w:ascii="宋体"/>
          <w:szCs w:val="21"/>
        </w:rPr>
      </w:pPr>
      <w:r>
        <w:rPr>
          <w:rFonts w:ascii="宋体"/>
          <w:b/>
          <w:bCs/>
          <w:szCs w:val="21"/>
        </w:rPr>
        <w:t> </w:t>
      </w:r>
      <w:r>
        <w:rPr>
          <w:rFonts w:hint="eastAsia" w:ascii="宋体" w:hAnsi="宋体"/>
          <w:b/>
          <w:bCs/>
          <w:szCs w:val="21"/>
        </w:rPr>
        <w:t>考核人：</w:t>
      </w:r>
      <w:r>
        <w:rPr>
          <w:rFonts w:ascii="宋体"/>
          <w:b/>
          <w:bCs/>
          <w:szCs w:val="21"/>
        </w:rPr>
        <w:t> </w:t>
      </w:r>
      <w:r>
        <w:rPr>
          <w:rFonts w:ascii="宋体"/>
          <w:szCs w:val="21"/>
        </w:rPr>
        <w:t>        </w:t>
      </w:r>
      <w:r>
        <w:rPr>
          <w:rFonts w:hint="eastAsia" w:ascii="宋体" w:hAnsi="宋体"/>
          <w:szCs w:val="21"/>
        </w:rPr>
        <w:t xml:space="preserve">                 </w:t>
      </w:r>
      <w:r>
        <w:rPr>
          <w:rFonts w:hint="eastAsia" w:ascii="宋体" w:hAnsi="宋体"/>
          <w:b/>
          <w:bCs/>
          <w:szCs w:val="21"/>
        </w:rPr>
        <w:t>审核人：</w:t>
      </w:r>
    </w:p>
    <w:p>
      <w:pPr>
        <w:spacing w:after="150"/>
        <w:ind w:firstLine="840"/>
        <w:rPr>
          <w:rFonts w:ascii="宋体"/>
          <w:szCs w:val="21"/>
        </w:rPr>
      </w:pPr>
      <w:r>
        <w:rPr>
          <w:rFonts w:hint="eastAsia" w:ascii="宋体" w:hAnsi="宋体"/>
          <w:b/>
          <w:bCs/>
          <w:szCs w:val="21"/>
        </w:rPr>
        <w:t>日</w:t>
      </w:r>
      <w:r>
        <w:rPr>
          <w:rFonts w:ascii="宋体"/>
          <w:b/>
          <w:bCs/>
          <w:szCs w:val="21"/>
        </w:rPr>
        <w:t> </w:t>
      </w:r>
      <w:r>
        <w:rPr>
          <w:rFonts w:hint="eastAsia" w:ascii="宋体" w:hAnsi="宋体"/>
          <w:b/>
          <w:bCs/>
          <w:szCs w:val="21"/>
        </w:rPr>
        <w:t>期：</w:t>
      </w:r>
      <w:r>
        <w:rPr>
          <w:rFonts w:ascii="宋体"/>
          <w:b/>
          <w:bCs/>
          <w:szCs w:val="21"/>
        </w:rPr>
        <w:t>            </w:t>
      </w:r>
      <w:r>
        <w:rPr>
          <w:rFonts w:hint="eastAsia" w:ascii="宋体" w:hAnsi="宋体"/>
          <w:b/>
          <w:bCs/>
          <w:szCs w:val="21"/>
        </w:rPr>
        <w:t xml:space="preserve">                日</w:t>
      </w:r>
      <w:r>
        <w:rPr>
          <w:rFonts w:ascii="宋体"/>
          <w:b/>
          <w:bCs/>
          <w:szCs w:val="21"/>
        </w:rPr>
        <w:t> </w:t>
      </w:r>
      <w:r>
        <w:rPr>
          <w:rFonts w:hint="eastAsia" w:ascii="宋体" w:hAnsi="宋体"/>
          <w:b/>
          <w:bCs/>
          <w:szCs w:val="21"/>
        </w:rPr>
        <w:t>期：</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方正仿宋_GBK">
    <w:altName w:val="仿宋_GB2312"/>
    <w:panose1 w:val="00000000000000000000"/>
    <w:charset w:val="86"/>
    <w:family w:val="script"/>
    <w:pitch w:val="default"/>
    <w:sig w:usb0="00000000" w:usb1="00000000" w:usb2="0000001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DEC"/>
    <w:rsid w:val="003D3DEC"/>
    <w:rsid w:val="004C2362"/>
    <w:rsid w:val="006B79A8"/>
    <w:rsid w:val="00725E03"/>
    <w:rsid w:val="007557A2"/>
    <w:rsid w:val="0089527A"/>
    <w:rsid w:val="00CE27FB"/>
    <w:rsid w:val="054415FF"/>
    <w:rsid w:val="23E1589E"/>
    <w:rsid w:val="29DF28DB"/>
    <w:rsid w:val="6BFC1538"/>
    <w:rsid w:val="7D2566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9" w:name="heading 3"/>
    <w:lsdException w:qFormat="1" w:uiPriority="9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3"/>
    <w:basedOn w:val="1"/>
    <w:next w:val="1"/>
    <w:link w:val="8"/>
    <w:semiHidden/>
    <w:unhideWhenUsed/>
    <w:qFormat/>
    <w:uiPriority w:val="99"/>
    <w:pPr>
      <w:spacing w:before="100" w:beforeAutospacing="1" w:after="100" w:afterAutospacing="1"/>
      <w:jc w:val="left"/>
      <w:outlineLvl w:val="2"/>
    </w:pPr>
    <w:rPr>
      <w:rFonts w:ascii="宋体" w:hAnsi="宋体" w:cs="宋体"/>
      <w:b/>
      <w:kern w:val="0"/>
      <w:sz w:val="27"/>
      <w:szCs w:val="27"/>
    </w:rPr>
  </w:style>
  <w:style w:type="paragraph" w:styleId="3">
    <w:name w:val="heading 4"/>
    <w:basedOn w:val="1"/>
    <w:next w:val="1"/>
    <w:link w:val="9"/>
    <w:semiHidden/>
    <w:unhideWhenUsed/>
    <w:qFormat/>
    <w:uiPriority w:val="99"/>
    <w:pPr>
      <w:keepNext/>
      <w:keepLines/>
      <w:spacing w:before="280" w:after="290" w:line="374" w:lineRule="auto"/>
      <w:outlineLvl w:val="3"/>
    </w:pPr>
    <w:rPr>
      <w:rFonts w:ascii="Arial" w:hAnsi="Arial" w:eastAsia="黑体"/>
      <w:b/>
      <w:bCs/>
      <w:sz w:val="28"/>
      <w:szCs w:val="28"/>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4">
    <w:name w:val="footer"/>
    <w:basedOn w:val="1"/>
    <w:link w:val="12"/>
    <w:semiHidden/>
    <w:unhideWhenUsed/>
    <w:uiPriority w:val="99"/>
    <w:pPr>
      <w:tabs>
        <w:tab w:val="center" w:pos="4153"/>
        <w:tab w:val="right" w:pos="8306"/>
      </w:tabs>
      <w:snapToGrid w:val="0"/>
      <w:jc w:val="left"/>
    </w:pPr>
    <w:rPr>
      <w:sz w:val="18"/>
      <w:szCs w:val="18"/>
    </w:rPr>
  </w:style>
  <w:style w:type="paragraph" w:styleId="5">
    <w:name w:val="header"/>
    <w:basedOn w:val="1"/>
    <w:link w:val="11"/>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标题 3 Char"/>
    <w:basedOn w:val="7"/>
    <w:link w:val="2"/>
    <w:semiHidden/>
    <w:uiPriority w:val="99"/>
    <w:rPr>
      <w:rFonts w:ascii="宋体" w:hAnsi="宋体" w:eastAsia="宋体" w:cs="宋体"/>
      <w:b/>
      <w:kern w:val="0"/>
      <w:sz w:val="27"/>
      <w:szCs w:val="27"/>
    </w:rPr>
  </w:style>
  <w:style w:type="character" w:customStyle="1" w:styleId="9">
    <w:name w:val="标题 4 Char"/>
    <w:basedOn w:val="7"/>
    <w:link w:val="3"/>
    <w:semiHidden/>
    <w:uiPriority w:val="99"/>
    <w:rPr>
      <w:rFonts w:ascii="Arial" w:hAnsi="Arial" w:eastAsia="黑体" w:cs="Times New Roman"/>
      <w:b/>
      <w:bCs/>
      <w:sz w:val="28"/>
      <w:szCs w:val="28"/>
    </w:rPr>
  </w:style>
  <w:style w:type="paragraph" w:styleId="10">
    <w:name w:val="List Paragraph"/>
    <w:basedOn w:val="1"/>
    <w:qFormat/>
    <w:uiPriority w:val="99"/>
    <w:pPr>
      <w:ind w:firstLine="420" w:firstLineChars="200"/>
    </w:pPr>
    <w:rPr>
      <w:rFonts w:ascii="Times New Roman" w:hAnsi="Times New Roman"/>
      <w:szCs w:val="20"/>
    </w:rPr>
  </w:style>
  <w:style w:type="character" w:customStyle="1" w:styleId="11">
    <w:name w:val="页眉 Char"/>
    <w:basedOn w:val="7"/>
    <w:link w:val="5"/>
    <w:semiHidden/>
    <w:uiPriority w:val="99"/>
    <w:rPr>
      <w:rFonts w:ascii="Calibri" w:hAnsi="Calibri" w:eastAsia="宋体" w:cs="Times New Roman"/>
      <w:sz w:val="18"/>
      <w:szCs w:val="18"/>
    </w:rPr>
  </w:style>
  <w:style w:type="character" w:customStyle="1" w:styleId="12">
    <w:name w:val="页脚 Char"/>
    <w:basedOn w:val="7"/>
    <w:link w:val="4"/>
    <w:semiHidden/>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9</Pages>
  <Words>1216</Words>
  <Characters>6935</Characters>
  <Lines>57</Lines>
  <Paragraphs>16</Paragraphs>
  <TotalTime>3</TotalTime>
  <ScaleCrop>false</ScaleCrop>
  <LinksUpToDate>false</LinksUpToDate>
  <CharactersWithSpaces>8135</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2021-01-15T06:47:00Z</dcterms:created>
  <dc:creator>微软用户</dc:creator>
  <cp:lastModifiedBy>LKITRR</cp:lastModifiedBy>
  <dcterms:modified xsi:type="dcterms:W3CDTF">2021-02-01T09:10:32Z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